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5AAA8" w14:textId="77777777" w:rsidR="00013814" w:rsidRDefault="00013814" w:rsidP="00013814">
      <w:pPr>
        <w:widowControl w:val="0"/>
        <w:tabs>
          <w:tab w:val="left" w:pos="180"/>
        </w:tabs>
        <w:rPr>
          <w:rFonts w:ascii="Arial" w:hAnsi="Arial" w:cs="Arial"/>
          <w:b/>
          <w:sz w:val="28"/>
          <w:szCs w:val="28"/>
          <w:lang w:val="en-US"/>
        </w:rPr>
      </w:pPr>
    </w:p>
    <w:tbl>
      <w:tblPr>
        <w:tblW w:w="9640" w:type="dxa"/>
        <w:tblInd w:w="-134" w:type="dxa"/>
        <w:tblLayout w:type="fixed"/>
        <w:tblCellMar>
          <w:left w:w="0" w:type="dxa"/>
          <w:right w:w="0" w:type="dxa"/>
        </w:tblCellMar>
        <w:tblLook w:val="0000" w:firstRow="0" w:lastRow="0" w:firstColumn="0" w:lastColumn="0" w:noHBand="0" w:noVBand="0"/>
      </w:tblPr>
      <w:tblGrid>
        <w:gridCol w:w="142"/>
        <w:gridCol w:w="4962"/>
        <w:gridCol w:w="4536"/>
      </w:tblGrid>
      <w:tr w:rsidR="00013814" w:rsidRPr="00CC1BDE" w14:paraId="77B0B8BA" w14:textId="77777777" w:rsidTr="00E00709">
        <w:trPr>
          <w:cantSplit/>
          <w:trHeight w:hRule="exact" w:val="2040"/>
        </w:trPr>
        <w:tc>
          <w:tcPr>
            <w:tcW w:w="5104" w:type="dxa"/>
            <w:gridSpan w:val="2"/>
            <w:vAlign w:val="bottom"/>
          </w:tcPr>
          <w:p w14:paraId="4FA0CC51" w14:textId="77777777" w:rsidR="00013814" w:rsidRPr="00CC1BDE" w:rsidRDefault="00013814" w:rsidP="00E00709">
            <w:pPr>
              <w:pStyle w:val="Logo"/>
              <w:rPr>
                <w:rFonts w:ascii="Coventry City Council Logo" w:hAnsi="Coventry City Council Logo"/>
                <w:sz w:val="210"/>
              </w:rPr>
            </w:pPr>
            <w:r w:rsidRPr="00CC1BDE">
              <w:rPr>
                <w:rFonts w:ascii="Coventry City Council Logo" w:hAnsi="Coventry City Council Logo"/>
                <w:sz w:val="210"/>
              </w:rPr>
              <w:t></w:t>
            </w:r>
            <w:r w:rsidRPr="00CC1BDE">
              <w:rPr>
                <w:rFonts w:ascii="Coventry City Council Logo" w:hAnsi="Coventry City Council Logo"/>
                <w:sz w:val="210"/>
              </w:rPr>
              <w:t></w:t>
            </w:r>
            <w:r w:rsidRPr="00CC1BDE">
              <w:rPr>
                <w:rFonts w:ascii="Coventry City Council Logo" w:hAnsi="Coventry City Council Logo"/>
                <w:sz w:val="210"/>
              </w:rPr>
              <w:t></w:t>
            </w:r>
          </w:p>
        </w:tc>
        <w:tc>
          <w:tcPr>
            <w:tcW w:w="4536" w:type="dxa"/>
            <w:vAlign w:val="bottom"/>
          </w:tcPr>
          <w:p w14:paraId="66CB1EBC" w14:textId="27758243" w:rsidR="00013814" w:rsidRPr="00CC1BDE" w:rsidRDefault="00013814" w:rsidP="00E00709">
            <w:pPr>
              <w:pStyle w:val="Department"/>
              <w:jc w:val="right"/>
              <w:rPr>
                <w:sz w:val="36"/>
                <w:szCs w:val="36"/>
              </w:rPr>
            </w:pPr>
            <w:r w:rsidRPr="00CC1BDE">
              <w:rPr>
                <w:sz w:val="36"/>
                <w:szCs w:val="36"/>
              </w:rPr>
              <w:t xml:space="preserve">Coventry Schools Forum </w:t>
            </w:r>
            <w:r w:rsidR="00A81517">
              <w:rPr>
                <w:sz w:val="36"/>
                <w:szCs w:val="36"/>
              </w:rPr>
              <w:t>2</w:t>
            </w:r>
            <w:r w:rsidR="00917B1A">
              <w:rPr>
                <w:sz w:val="36"/>
                <w:szCs w:val="36"/>
              </w:rPr>
              <w:t>2</w:t>
            </w:r>
            <w:r w:rsidR="00917B1A" w:rsidRPr="00917B1A">
              <w:rPr>
                <w:sz w:val="36"/>
                <w:szCs w:val="36"/>
                <w:vertAlign w:val="superscript"/>
              </w:rPr>
              <w:t>nd</w:t>
            </w:r>
            <w:r w:rsidR="00917B1A">
              <w:rPr>
                <w:sz w:val="36"/>
                <w:szCs w:val="36"/>
              </w:rPr>
              <w:t xml:space="preserve"> </w:t>
            </w:r>
            <w:r w:rsidR="002F5398" w:rsidRPr="00CC1BDE">
              <w:rPr>
                <w:sz w:val="36"/>
                <w:szCs w:val="36"/>
              </w:rPr>
              <w:t>January</w:t>
            </w:r>
            <w:r w:rsidR="00154083" w:rsidRPr="00CC1BDE">
              <w:rPr>
                <w:sz w:val="36"/>
                <w:szCs w:val="36"/>
              </w:rPr>
              <w:t xml:space="preserve"> 20</w:t>
            </w:r>
            <w:r w:rsidR="00BE010E" w:rsidRPr="00CC1BDE">
              <w:rPr>
                <w:sz w:val="36"/>
                <w:szCs w:val="36"/>
              </w:rPr>
              <w:t>2</w:t>
            </w:r>
            <w:r w:rsidR="00917B1A">
              <w:rPr>
                <w:sz w:val="36"/>
                <w:szCs w:val="36"/>
              </w:rPr>
              <w:t>6</w:t>
            </w:r>
          </w:p>
          <w:p w14:paraId="1966EDF0" w14:textId="77777777" w:rsidR="00013814" w:rsidRPr="00CC1BDE" w:rsidRDefault="00013814" w:rsidP="00E00709">
            <w:pPr>
              <w:pStyle w:val="Department"/>
              <w:jc w:val="right"/>
              <w:rPr>
                <w:sz w:val="36"/>
                <w:szCs w:val="36"/>
              </w:rPr>
            </w:pPr>
          </w:p>
          <w:p w14:paraId="1CC2C949" w14:textId="48E484FF" w:rsidR="00013814" w:rsidRPr="00CC1BDE" w:rsidRDefault="00013814" w:rsidP="00F10CF2">
            <w:pPr>
              <w:pStyle w:val="Department"/>
              <w:jc w:val="right"/>
              <w:rPr>
                <w:sz w:val="36"/>
                <w:szCs w:val="36"/>
              </w:rPr>
            </w:pPr>
            <w:r w:rsidRPr="00CC1BDE">
              <w:rPr>
                <w:sz w:val="36"/>
                <w:szCs w:val="36"/>
              </w:rPr>
              <w:t xml:space="preserve">Agenda Item </w:t>
            </w:r>
            <w:r w:rsidR="00C8375D">
              <w:rPr>
                <w:sz w:val="36"/>
                <w:szCs w:val="36"/>
              </w:rPr>
              <w:t>10</w:t>
            </w:r>
          </w:p>
        </w:tc>
      </w:tr>
      <w:tr w:rsidR="00013814" w:rsidRPr="00CC1BDE" w14:paraId="236E8B2A" w14:textId="77777777" w:rsidTr="00E00709">
        <w:trPr>
          <w:gridBefore w:val="1"/>
          <w:wBefore w:w="142" w:type="dxa"/>
          <w:cantSplit/>
          <w:trHeight w:hRule="exact" w:val="660"/>
        </w:trPr>
        <w:tc>
          <w:tcPr>
            <w:tcW w:w="4962" w:type="dxa"/>
            <w:vAlign w:val="center"/>
          </w:tcPr>
          <w:p w14:paraId="51ABB526" w14:textId="77777777" w:rsidR="00013814" w:rsidRPr="00CC1BDE" w:rsidRDefault="00013814" w:rsidP="00E00709">
            <w:pPr>
              <w:pStyle w:val="Reference"/>
            </w:pPr>
            <w:bookmarkStart w:id="0" w:name="PandC"/>
            <w:bookmarkEnd w:id="0"/>
          </w:p>
        </w:tc>
        <w:tc>
          <w:tcPr>
            <w:tcW w:w="4536" w:type="dxa"/>
            <w:vAlign w:val="center"/>
          </w:tcPr>
          <w:p w14:paraId="43515D21" w14:textId="77777777" w:rsidR="00013814" w:rsidRPr="00CC1BDE" w:rsidRDefault="00013814" w:rsidP="00E00709">
            <w:pPr>
              <w:rPr>
                <w:sz w:val="18"/>
              </w:rPr>
            </w:pPr>
          </w:p>
        </w:tc>
      </w:tr>
      <w:tr w:rsidR="00013814" w:rsidRPr="00CC1BDE" w14:paraId="68388F6E" w14:textId="77777777" w:rsidTr="00E00709">
        <w:trPr>
          <w:gridBefore w:val="1"/>
          <w:wBefore w:w="142" w:type="dxa"/>
          <w:cantSplit/>
          <w:trHeight w:hRule="exact" w:val="520"/>
        </w:trPr>
        <w:tc>
          <w:tcPr>
            <w:tcW w:w="9498" w:type="dxa"/>
            <w:gridSpan w:val="2"/>
            <w:tcBorders>
              <w:top w:val="single" w:sz="18" w:space="0" w:color="auto"/>
              <w:bottom w:val="single" w:sz="4" w:space="0" w:color="auto"/>
            </w:tcBorders>
            <w:vAlign w:val="center"/>
          </w:tcPr>
          <w:p w14:paraId="62DD8B5E" w14:textId="58E1E879" w:rsidR="00013814" w:rsidRPr="00CC1BDE" w:rsidRDefault="0081663B" w:rsidP="001F602F">
            <w:pPr>
              <w:pStyle w:val="Department"/>
              <w:rPr>
                <w:sz w:val="28"/>
                <w:szCs w:val="28"/>
              </w:rPr>
            </w:pPr>
            <w:r>
              <w:rPr>
                <w:sz w:val="28"/>
                <w:szCs w:val="28"/>
              </w:rPr>
              <w:t>Children’s &amp; Education Services</w:t>
            </w:r>
            <w:r w:rsidR="00013814" w:rsidRPr="00CC1BDE">
              <w:rPr>
                <w:sz w:val="28"/>
                <w:szCs w:val="28"/>
              </w:rPr>
              <w:t xml:space="preserve"> </w:t>
            </w:r>
            <w:r w:rsidR="00013814" w:rsidRPr="00CC1BDE">
              <w:rPr>
                <w:b w:val="0"/>
                <w:sz w:val="28"/>
                <w:szCs w:val="28"/>
              </w:rPr>
              <w:t xml:space="preserve"> </w:t>
            </w:r>
            <w:bookmarkStart w:id="1" w:name="Service"/>
            <w:bookmarkEnd w:id="1"/>
          </w:p>
        </w:tc>
      </w:tr>
    </w:tbl>
    <w:p w14:paraId="5CE35995" w14:textId="77777777" w:rsidR="00013814" w:rsidRPr="00CC1BDE" w:rsidRDefault="00013814" w:rsidP="00013814">
      <w:pPr>
        <w:widowControl w:val="0"/>
        <w:jc w:val="center"/>
        <w:rPr>
          <w:b/>
          <w:sz w:val="28"/>
          <w:szCs w:val="28"/>
          <w:lang w:val="en-US"/>
        </w:rPr>
      </w:pPr>
    </w:p>
    <w:p w14:paraId="18F0952E" w14:textId="26C0171C" w:rsidR="00013814" w:rsidRPr="00CC1BDE" w:rsidRDefault="00013814" w:rsidP="00013814">
      <w:pPr>
        <w:rPr>
          <w:rFonts w:ascii="Arial" w:hAnsi="Arial" w:cs="Arial"/>
          <w:b/>
          <w:sz w:val="28"/>
          <w:szCs w:val="28"/>
        </w:rPr>
      </w:pPr>
      <w:r w:rsidRPr="00CC1BDE">
        <w:rPr>
          <w:rFonts w:ascii="Arial" w:hAnsi="Arial" w:cs="Arial"/>
          <w:b/>
          <w:sz w:val="28"/>
          <w:szCs w:val="28"/>
        </w:rPr>
        <w:t xml:space="preserve">Title: </w:t>
      </w:r>
      <w:r w:rsidR="000B6BF3" w:rsidRPr="00CC1BDE">
        <w:rPr>
          <w:rFonts w:ascii="Arial" w:hAnsi="Arial" w:cs="Arial"/>
          <w:b/>
          <w:sz w:val="28"/>
          <w:szCs w:val="28"/>
        </w:rPr>
        <w:t xml:space="preserve">Approval of </w:t>
      </w:r>
      <w:r w:rsidR="004410AC" w:rsidRPr="00CC1BDE">
        <w:rPr>
          <w:rFonts w:ascii="Arial" w:hAnsi="Arial" w:cs="Arial"/>
          <w:b/>
          <w:sz w:val="28"/>
          <w:szCs w:val="28"/>
        </w:rPr>
        <w:t>Fair Funding Scheme of Delegation</w:t>
      </w:r>
      <w:r w:rsidR="006007DD">
        <w:rPr>
          <w:rFonts w:ascii="Arial" w:hAnsi="Arial" w:cs="Arial"/>
          <w:b/>
          <w:sz w:val="28"/>
          <w:szCs w:val="28"/>
        </w:rPr>
        <w:t xml:space="preserve"> (FFSD)</w:t>
      </w:r>
    </w:p>
    <w:p w14:paraId="6097B656" w14:textId="77777777" w:rsidR="00013814" w:rsidRPr="00CC1BDE" w:rsidRDefault="00013814" w:rsidP="00013814">
      <w:pPr>
        <w:rPr>
          <w:rFonts w:ascii="Arial" w:hAnsi="Arial" w:cs="Arial"/>
          <w:b/>
        </w:rPr>
      </w:pPr>
      <w:r w:rsidRPr="00CC1BDE">
        <w:rPr>
          <w:rFonts w:ascii="Arial" w:hAnsi="Arial" w:cs="Arial"/>
          <w:b/>
        </w:rPr>
        <w:t>Recommendation</w:t>
      </w:r>
    </w:p>
    <w:p w14:paraId="373AFD06" w14:textId="77777777" w:rsidR="000B6BF3" w:rsidRPr="00CC1BDE" w:rsidRDefault="00013814" w:rsidP="000B6BF3">
      <w:pPr>
        <w:rPr>
          <w:rFonts w:ascii="Arial" w:hAnsi="Arial" w:cs="Arial"/>
        </w:rPr>
      </w:pPr>
      <w:r w:rsidRPr="00CC1BDE">
        <w:rPr>
          <w:rFonts w:ascii="Arial" w:hAnsi="Arial" w:cs="Arial"/>
        </w:rPr>
        <w:t xml:space="preserve">This item is for the School Forum </w:t>
      </w:r>
      <w:r w:rsidR="00BE49EF" w:rsidRPr="00CC1BDE">
        <w:rPr>
          <w:rFonts w:ascii="Arial" w:hAnsi="Arial" w:cs="Arial"/>
        </w:rPr>
        <w:t>to approve:</w:t>
      </w:r>
    </w:p>
    <w:p w14:paraId="6D09ABB7" w14:textId="34C65AF0" w:rsidR="004410AC" w:rsidRPr="00CC1BDE" w:rsidRDefault="009B209F" w:rsidP="009C1D8F">
      <w:pPr>
        <w:numPr>
          <w:ilvl w:val="0"/>
          <w:numId w:val="3"/>
        </w:numPr>
        <w:rPr>
          <w:rFonts w:ascii="Arial" w:hAnsi="Arial" w:cs="Arial"/>
          <w:b/>
        </w:rPr>
      </w:pPr>
      <w:r w:rsidRPr="00CC1BDE">
        <w:rPr>
          <w:rFonts w:ascii="Arial" w:hAnsi="Arial" w:cs="Arial"/>
          <w:b/>
        </w:rPr>
        <w:t xml:space="preserve">The Schools Forum should approve </w:t>
      </w:r>
      <w:r w:rsidR="0081663B">
        <w:rPr>
          <w:rFonts w:ascii="Arial" w:hAnsi="Arial" w:cs="Arial"/>
          <w:b/>
        </w:rPr>
        <w:t xml:space="preserve">the </w:t>
      </w:r>
      <w:r w:rsidR="00AD04F6" w:rsidRPr="00CC1BDE">
        <w:rPr>
          <w:rFonts w:ascii="Arial" w:hAnsi="Arial" w:cs="Arial"/>
          <w:b/>
        </w:rPr>
        <w:t>proposed change</w:t>
      </w:r>
      <w:r w:rsidR="0081663B">
        <w:rPr>
          <w:rFonts w:ascii="Arial" w:hAnsi="Arial" w:cs="Arial"/>
          <w:b/>
        </w:rPr>
        <w:t>s</w:t>
      </w:r>
      <w:r w:rsidR="00AD04F6" w:rsidRPr="00CC1BDE">
        <w:rPr>
          <w:rFonts w:ascii="Arial" w:hAnsi="Arial" w:cs="Arial"/>
          <w:b/>
        </w:rPr>
        <w:t xml:space="preserve"> to the Fair Funding Scheme of Delegation as set out in</w:t>
      </w:r>
      <w:r w:rsidR="004410AC" w:rsidRPr="00CC1BDE">
        <w:rPr>
          <w:rFonts w:ascii="Arial" w:hAnsi="Arial" w:cs="Arial"/>
          <w:b/>
        </w:rPr>
        <w:t xml:space="preserve"> section 2 of</w:t>
      </w:r>
      <w:r w:rsidR="00AD04F6" w:rsidRPr="00CC1BDE">
        <w:rPr>
          <w:rFonts w:ascii="Arial" w:hAnsi="Arial" w:cs="Arial"/>
          <w:b/>
        </w:rPr>
        <w:t xml:space="preserve"> th</w:t>
      </w:r>
      <w:r w:rsidR="004410AC" w:rsidRPr="00CC1BDE">
        <w:rPr>
          <w:rFonts w:ascii="Arial" w:hAnsi="Arial" w:cs="Arial"/>
          <w:b/>
        </w:rPr>
        <w:t>is</w:t>
      </w:r>
      <w:r w:rsidR="00AD04F6" w:rsidRPr="00CC1BDE">
        <w:rPr>
          <w:rFonts w:ascii="Arial" w:hAnsi="Arial" w:cs="Arial"/>
          <w:b/>
        </w:rPr>
        <w:t xml:space="preserve"> report.</w:t>
      </w:r>
    </w:p>
    <w:p w14:paraId="270D71D6" w14:textId="77777777" w:rsidR="00013814" w:rsidRPr="00CC1BDE" w:rsidRDefault="00013814" w:rsidP="00BE49EF">
      <w:pPr>
        <w:ind w:firstLine="709"/>
        <w:rPr>
          <w:rFonts w:ascii="Arial" w:hAnsi="Arial" w:cs="Arial"/>
        </w:rPr>
      </w:pPr>
      <w:r w:rsidRPr="00CC1BDE">
        <w:rPr>
          <w:rFonts w:ascii="Arial" w:hAnsi="Arial" w:cs="Arial"/>
          <w:b/>
        </w:rPr>
        <w:t xml:space="preserve">Voting: </w:t>
      </w:r>
      <w:r w:rsidR="00AD04F6" w:rsidRPr="00CC1BDE">
        <w:rPr>
          <w:rFonts w:ascii="Arial" w:hAnsi="Arial" w:cs="Arial"/>
        </w:rPr>
        <w:t>Maintained</w:t>
      </w:r>
      <w:r w:rsidR="00416F96" w:rsidRPr="00CC1BDE">
        <w:rPr>
          <w:rFonts w:ascii="Arial" w:hAnsi="Arial" w:cs="Arial"/>
        </w:rPr>
        <w:t xml:space="preserve"> </w:t>
      </w:r>
      <w:r w:rsidR="00AD04F6" w:rsidRPr="00CC1BDE">
        <w:rPr>
          <w:rFonts w:ascii="Arial" w:hAnsi="Arial" w:cs="Arial"/>
        </w:rPr>
        <w:t>Members</w:t>
      </w:r>
    </w:p>
    <w:p w14:paraId="49D4D703" w14:textId="77777777" w:rsidR="004410AC" w:rsidRPr="00CC1BDE" w:rsidRDefault="004410AC" w:rsidP="004410AC">
      <w:pPr>
        <w:ind w:right="-472"/>
        <w:rPr>
          <w:rFonts w:ascii="Arial" w:hAnsi="Arial" w:cs="Arial"/>
          <w:b/>
        </w:rPr>
      </w:pPr>
      <w:r w:rsidRPr="00CC1BDE">
        <w:rPr>
          <w:rFonts w:ascii="Arial" w:hAnsi="Arial" w:cs="Arial"/>
          <w:b/>
        </w:rPr>
        <w:t>_____________________________________________________________________________</w:t>
      </w:r>
    </w:p>
    <w:p w14:paraId="054977BE" w14:textId="77777777" w:rsidR="00692F6F" w:rsidRPr="00CC1BDE" w:rsidRDefault="00692F6F" w:rsidP="00423C82">
      <w:pPr>
        <w:pStyle w:val="Heading2"/>
      </w:pPr>
      <w:r w:rsidRPr="00CC1BDE">
        <w:t>Background</w:t>
      </w:r>
    </w:p>
    <w:p w14:paraId="6E836BD8" w14:textId="77777777" w:rsidR="00AD04F6" w:rsidRPr="00CC1BDE" w:rsidRDefault="00AD04F6" w:rsidP="00AD04F6">
      <w:pPr>
        <w:pStyle w:val="Heading3"/>
      </w:pPr>
      <w:r w:rsidRPr="00CC1BDE">
        <w:t>Section 48 of the School Standards and Framework Act 1998, and Schedule 14 to the Act set out that Local Authorities should have a Scheme of Delegation.</w:t>
      </w:r>
    </w:p>
    <w:p w14:paraId="42CD23AC" w14:textId="77777777" w:rsidR="00AD04F6" w:rsidRPr="00CC1BDE" w:rsidRDefault="00AD04F6" w:rsidP="00AD04F6">
      <w:pPr>
        <w:pStyle w:val="Heading3"/>
      </w:pPr>
      <w:r w:rsidRPr="00CC1BDE">
        <w:t>Local authorities are required to publish schemes for financing schools setting out the financial relationship between them and the schools they maintain.</w:t>
      </w:r>
    </w:p>
    <w:p w14:paraId="52DE4E08" w14:textId="77777777" w:rsidR="00AD04F6" w:rsidRPr="00CC1BDE" w:rsidRDefault="00AD04F6" w:rsidP="00AD04F6">
      <w:pPr>
        <w:pStyle w:val="Heading3"/>
      </w:pPr>
      <w:r w:rsidRPr="00CC1BDE">
        <w:t xml:space="preserve">In making any changes to their schemes, local authorities must consult all schools in their area and receive the approval of the members of their </w:t>
      </w:r>
      <w:r w:rsidR="004410AC" w:rsidRPr="00CC1BDE">
        <w:t>S</w:t>
      </w:r>
      <w:r w:rsidRPr="00CC1BDE">
        <w:t xml:space="preserve">chools </w:t>
      </w:r>
      <w:r w:rsidR="004410AC" w:rsidRPr="00CC1BDE">
        <w:t>F</w:t>
      </w:r>
      <w:r w:rsidRPr="00CC1BDE">
        <w:t xml:space="preserve">orum representing maintained schools. Local authorities must take this guidance into account when they revise their schemes, in consultation with the </w:t>
      </w:r>
      <w:r w:rsidR="004410AC" w:rsidRPr="00CC1BDE">
        <w:t>S</w:t>
      </w:r>
      <w:r w:rsidRPr="00CC1BDE">
        <w:t xml:space="preserve">chools </w:t>
      </w:r>
      <w:r w:rsidR="004410AC" w:rsidRPr="00CC1BDE">
        <w:t>F</w:t>
      </w:r>
      <w:r w:rsidRPr="00CC1BDE">
        <w:t>orum.</w:t>
      </w:r>
    </w:p>
    <w:p w14:paraId="7B83B143" w14:textId="154BDCF5" w:rsidR="00A81517" w:rsidRDefault="00AD04F6" w:rsidP="00A81517">
      <w:pPr>
        <w:pStyle w:val="Heading3"/>
      </w:pPr>
      <w:r w:rsidRPr="00CC1BDE">
        <w:t>The link to the draft consultation version of Fair Funding Scheme of Delegation is available</w:t>
      </w:r>
      <w:r w:rsidR="00520500">
        <w:t xml:space="preserve"> </w:t>
      </w:r>
      <w:r w:rsidRPr="00CC1BDE">
        <w:t>at</w:t>
      </w:r>
      <w:r w:rsidR="00400228">
        <w:t>:</w:t>
      </w:r>
    </w:p>
    <w:p w14:paraId="4C568DE7" w14:textId="2769145E" w:rsidR="00917B1A" w:rsidRPr="00917B1A" w:rsidRDefault="00917B1A" w:rsidP="00917B1A">
      <w:pPr>
        <w:ind w:left="709"/>
        <w:rPr>
          <w:rFonts w:ascii="Arial" w:hAnsi="Arial" w:cs="Arial"/>
        </w:rPr>
      </w:pPr>
      <w:hyperlink r:id="rId8" w:history="1">
        <w:r w:rsidRPr="00917B1A">
          <w:rPr>
            <w:rStyle w:val="Hyperlink"/>
            <w:rFonts w:ascii="Arial" w:hAnsi="Arial" w:cs="Arial"/>
          </w:rPr>
          <w:t>https://www.coventry.gov.uk/downloads/file/45972/fair-funding-scheme-of-delegation-september-2025</w:t>
        </w:r>
      </w:hyperlink>
    </w:p>
    <w:p w14:paraId="68B11999" w14:textId="77777777" w:rsidR="00AD04F6" w:rsidRPr="00CC1BDE" w:rsidRDefault="00AD04F6" w:rsidP="00AD04F6">
      <w:pPr>
        <w:pStyle w:val="Heading2"/>
      </w:pPr>
      <w:r w:rsidRPr="00CC1BDE">
        <w:t>Proposed way forward</w:t>
      </w:r>
    </w:p>
    <w:p w14:paraId="1AAB1305" w14:textId="5A044A99" w:rsidR="00FB44C8" w:rsidRPr="00FB44C8" w:rsidRDefault="007E04C5" w:rsidP="00DB5E92">
      <w:pPr>
        <w:pStyle w:val="Heading3"/>
      </w:pPr>
      <w:r>
        <w:t xml:space="preserve">There are </w:t>
      </w:r>
      <w:r w:rsidR="00DC2B7C">
        <w:t xml:space="preserve">several </w:t>
      </w:r>
      <w:r>
        <w:t>areas of change in the FFSD for 2026/27. These changes are summarised below:</w:t>
      </w:r>
    </w:p>
    <w:p w14:paraId="4393AF53" w14:textId="77777777" w:rsidR="007E04C5" w:rsidRDefault="007E04C5" w:rsidP="00AB12A3">
      <w:pPr>
        <w:pStyle w:val="Heading4"/>
        <w:ind w:left="1134" w:hanging="850"/>
      </w:pPr>
      <w:r w:rsidRPr="007C0BCE">
        <w:rPr>
          <w:b/>
          <w:bCs/>
        </w:rPr>
        <w:t>Section 2.5.3 (Virement Limits)</w:t>
      </w:r>
      <w:r w:rsidRPr="007E04C5">
        <w:t xml:space="preserve"> has been updated to show that the limit whereby budget virements require Governing Body Approval must not exceed £13,000. </w:t>
      </w:r>
      <w:r w:rsidRPr="007E04C5">
        <w:lastRenderedPageBreak/>
        <w:t>This limit was previously £10,000 and has not been updated since 2019. The increase of £3,000 mirrors inflation levels since 2019.</w:t>
      </w:r>
    </w:p>
    <w:p w14:paraId="644F7186" w14:textId="110B02FB" w:rsidR="007E04C5" w:rsidRDefault="007E04C5" w:rsidP="00AB12A3">
      <w:pPr>
        <w:pStyle w:val="Heading4"/>
        <w:ind w:left="1134" w:hanging="850"/>
        <w:rPr>
          <w:rStyle w:val="Heading4Char"/>
        </w:rPr>
      </w:pPr>
      <w:r w:rsidRPr="007C0BCE">
        <w:rPr>
          <w:rStyle w:val="Heading4Char"/>
          <w:b/>
          <w:bCs/>
        </w:rPr>
        <w:t>Section 2.10.3 (Procurement Directives)</w:t>
      </w:r>
      <w:r w:rsidRPr="007E04C5">
        <w:rPr>
          <w:rStyle w:val="Heading4Char"/>
        </w:rPr>
        <w:t xml:space="preserve"> has been updated to show the relevant regulations have been updated. This section in the previous Fair Funding Scheme of delegation read as follows:</w:t>
      </w:r>
    </w:p>
    <w:p w14:paraId="13105C17" w14:textId="77777777" w:rsidR="007E04C5" w:rsidRPr="007E04C5" w:rsidRDefault="007E04C5" w:rsidP="00AB12A3">
      <w:pPr>
        <w:pStyle w:val="Heading2"/>
        <w:numPr>
          <w:ilvl w:val="0"/>
          <w:numId w:val="0"/>
        </w:numPr>
        <w:ind w:left="1134"/>
        <w:jc w:val="both"/>
        <w:rPr>
          <w:rStyle w:val="Heading4Char"/>
          <w:b w:val="0"/>
          <w:i/>
          <w:iCs/>
        </w:rPr>
      </w:pPr>
      <w:r w:rsidRPr="007E04C5">
        <w:rPr>
          <w:rStyle w:val="Heading4Char"/>
          <w:b w:val="0"/>
          <w:i/>
          <w:iCs/>
        </w:rPr>
        <w:t>European Procurement Directives 2014 and Public Contract Regulations 2015 require the City Council to operate a tendering process and appoint suppliers for those goods and services where the total value of the business places by the City Council exceeds a given amounts. All parts of the City Council are obliged to use those suppliers, or comply independently with European Procurement Directives and Public Procurement Legislation. Failure to do so can jeopardise the City Council’s eligibility for grant funding, incur challenges through court injunctions potentially leading to contracts being revoked with substantial fines and damages.</w:t>
      </w:r>
    </w:p>
    <w:p w14:paraId="75A98B76" w14:textId="77777777" w:rsidR="007E04C5" w:rsidRPr="007E04C5" w:rsidRDefault="007E04C5" w:rsidP="00AB12A3">
      <w:pPr>
        <w:pStyle w:val="Heading2"/>
        <w:numPr>
          <w:ilvl w:val="0"/>
          <w:numId w:val="0"/>
        </w:numPr>
        <w:ind w:left="1134"/>
        <w:rPr>
          <w:rStyle w:val="Heading4Char"/>
          <w:b w:val="0"/>
        </w:rPr>
      </w:pPr>
      <w:r w:rsidRPr="007E04C5">
        <w:rPr>
          <w:rStyle w:val="Heading4Char"/>
          <w:b w:val="0"/>
        </w:rPr>
        <w:t>The proposed way forward is for this section to now read as follows:</w:t>
      </w:r>
    </w:p>
    <w:p w14:paraId="0458150C" w14:textId="77777777" w:rsidR="007E04C5" w:rsidRDefault="007E04C5" w:rsidP="00AB12A3">
      <w:pPr>
        <w:pStyle w:val="Heading2"/>
        <w:numPr>
          <w:ilvl w:val="0"/>
          <w:numId w:val="0"/>
        </w:numPr>
        <w:ind w:left="1134"/>
        <w:jc w:val="both"/>
        <w:rPr>
          <w:rStyle w:val="Heading4Char"/>
          <w:b w:val="0"/>
          <w:i/>
          <w:iCs/>
        </w:rPr>
      </w:pPr>
      <w:r w:rsidRPr="007E04C5">
        <w:rPr>
          <w:rStyle w:val="Heading4Char"/>
          <w:b w:val="0"/>
          <w:i/>
          <w:iCs/>
        </w:rPr>
        <w:t>The Procurement Act 2023 and associated Procurement Regulations 2024 require the City Council to operate a tendering process and appoint suppliers for those goods, services and works where the total value of the business placed by the City Council exceeds public sector thresholds. Additionally, the Council is required to adhere to the Health Care Services (Provider Selection Regime) Regulations 2023 with regards to the procurement of healthcare related services.  All parts of the City Council are obliged to adhere to public sector legislation and the Council’s internal Contract Procedure Rules, embedded within its Constitution.  Failure to do so can jeopardise the City Council’s eligibility for grant funding, incur challenges through court injunctions potentially leading to contracts being revoked with substantial fines and damages.</w:t>
      </w:r>
    </w:p>
    <w:p w14:paraId="6711D9D4" w14:textId="77777777" w:rsidR="00A77597" w:rsidRDefault="00A77597" w:rsidP="00AB12A3">
      <w:pPr>
        <w:pStyle w:val="Heading4"/>
        <w:ind w:left="1134" w:hanging="850"/>
      </w:pPr>
      <w:r w:rsidRPr="008E77EB">
        <w:rPr>
          <w:b/>
          <w:bCs/>
        </w:rPr>
        <w:t>Section 2.10.10 (Governing Body’s Own Purchasing Arrangements)</w:t>
      </w:r>
      <w:r w:rsidRPr="00A77597">
        <w:t xml:space="preserve"> has been updated to show how 5 written quotations must be sought (up from 3 written quotations received) and thresholds where procedures in the Procurement Act 2023 or Health Care Services Regulations 2023 must be followed has increased from £181,302 for goods &amp; services and £4,551,413 for works to £214,904 &amp; £5,372,609 respectively. Previously this section read as follows:</w:t>
      </w:r>
    </w:p>
    <w:tbl>
      <w:tblPr>
        <w:tblW w:w="7889"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2502"/>
      </w:tblGrid>
      <w:tr w:rsidR="00A77597" w:rsidRPr="00A77597" w14:paraId="0AA5E81B" w14:textId="77777777" w:rsidTr="008E77EB">
        <w:tc>
          <w:tcPr>
            <w:tcW w:w="5387" w:type="dxa"/>
            <w:shd w:val="clear" w:color="auto" w:fill="D9D9D9"/>
          </w:tcPr>
          <w:p w14:paraId="1153DB67" w14:textId="77777777" w:rsidR="00A77597" w:rsidRPr="00A77597" w:rsidRDefault="00A77597" w:rsidP="00120FE1">
            <w:pPr>
              <w:pStyle w:val="NormalWeb"/>
              <w:spacing w:before="0" w:beforeAutospacing="0" w:after="0" w:afterAutospacing="0"/>
              <w:rPr>
                <w:rFonts w:ascii="Arial" w:hAnsi="Arial" w:cs="Arial"/>
                <w:sz w:val="22"/>
                <w:szCs w:val="22"/>
              </w:rPr>
            </w:pPr>
            <w:r w:rsidRPr="00A77597">
              <w:rPr>
                <w:rFonts w:ascii="Arial" w:hAnsi="Arial" w:cs="Arial"/>
                <w:sz w:val="22"/>
                <w:szCs w:val="22"/>
              </w:rPr>
              <w:t>Purchasing Procedure</w:t>
            </w:r>
          </w:p>
        </w:tc>
        <w:tc>
          <w:tcPr>
            <w:tcW w:w="2502" w:type="dxa"/>
            <w:shd w:val="clear" w:color="auto" w:fill="D9D9D9"/>
          </w:tcPr>
          <w:p w14:paraId="5914B663" w14:textId="77777777" w:rsidR="00A77597" w:rsidRPr="00A77597" w:rsidRDefault="00A77597" w:rsidP="00120FE1">
            <w:pPr>
              <w:pStyle w:val="NormalWeb"/>
              <w:spacing w:before="0" w:beforeAutospacing="0" w:after="0" w:afterAutospacing="0"/>
              <w:rPr>
                <w:rFonts w:ascii="Arial" w:hAnsi="Arial" w:cs="Arial"/>
                <w:sz w:val="22"/>
                <w:szCs w:val="22"/>
              </w:rPr>
            </w:pPr>
            <w:r w:rsidRPr="00A77597">
              <w:rPr>
                <w:rFonts w:ascii="Arial" w:hAnsi="Arial" w:cs="Arial"/>
                <w:sz w:val="22"/>
                <w:szCs w:val="22"/>
              </w:rPr>
              <w:t>Order Value</w:t>
            </w:r>
          </w:p>
        </w:tc>
      </w:tr>
      <w:tr w:rsidR="00A77597" w:rsidRPr="00A77597" w14:paraId="0EC68066" w14:textId="77777777" w:rsidTr="008E77EB">
        <w:tc>
          <w:tcPr>
            <w:tcW w:w="5387" w:type="dxa"/>
          </w:tcPr>
          <w:p w14:paraId="19C61C1E" w14:textId="77777777" w:rsidR="00A77597" w:rsidRPr="00A77597" w:rsidRDefault="00A77597" w:rsidP="00120FE1">
            <w:pPr>
              <w:pStyle w:val="NormalWeb"/>
              <w:spacing w:before="0" w:beforeAutospacing="0" w:after="0" w:afterAutospacing="0"/>
              <w:rPr>
                <w:rFonts w:ascii="Arial" w:hAnsi="Arial" w:cs="Arial"/>
                <w:color w:val="000000"/>
                <w:sz w:val="22"/>
                <w:szCs w:val="22"/>
              </w:rPr>
            </w:pPr>
            <w:r w:rsidRPr="00A77597">
              <w:rPr>
                <w:rFonts w:ascii="Arial" w:hAnsi="Arial" w:cs="Arial"/>
                <w:color w:val="000000"/>
                <w:sz w:val="22"/>
                <w:szCs w:val="22"/>
              </w:rPr>
              <w:t>At the discretion of the Governing Body</w:t>
            </w:r>
          </w:p>
          <w:p w14:paraId="6031693D" w14:textId="77777777" w:rsidR="00A77597" w:rsidRPr="00A77597" w:rsidRDefault="00A77597" w:rsidP="00120FE1">
            <w:pPr>
              <w:pStyle w:val="NormalWeb"/>
              <w:spacing w:before="0" w:beforeAutospacing="0" w:after="0" w:afterAutospacing="0"/>
              <w:rPr>
                <w:rFonts w:ascii="Arial" w:hAnsi="Arial" w:cs="Arial"/>
                <w:color w:val="000000"/>
                <w:sz w:val="22"/>
                <w:szCs w:val="22"/>
              </w:rPr>
            </w:pPr>
          </w:p>
        </w:tc>
        <w:tc>
          <w:tcPr>
            <w:tcW w:w="2502" w:type="dxa"/>
          </w:tcPr>
          <w:p w14:paraId="629F27CB" w14:textId="77777777" w:rsidR="00A77597" w:rsidRPr="00A77597" w:rsidRDefault="00A77597" w:rsidP="00120FE1">
            <w:pPr>
              <w:pStyle w:val="NormalWeb"/>
              <w:spacing w:before="0" w:beforeAutospacing="0" w:after="0" w:afterAutospacing="0"/>
              <w:rPr>
                <w:rFonts w:ascii="Arial" w:hAnsi="Arial" w:cs="Arial"/>
                <w:color w:val="000000"/>
              </w:rPr>
            </w:pPr>
            <w:r w:rsidRPr="00A77597">
              <w:rPr>
                <w:rFonts w:ascii="Arial" w:hAnsi="Arial" w:cs="Arial"/>
                <w:color w:val="000000"/>
                <w:sz w:val="22"/>
                <w:szCs w:val="22"/>
              </w:rPr>
              <w:t>Up to £10,000</w:t>
            </w:r>
          </w:p>
        </w:tc>
      </w:tr>
      <w:tr w:rsidR="00A77597" w:rsidRPr="00A77597" w14:paraId="6BF41604" w14:textId="77777777" w:rsidTr="008E77EB">
        <w:tc>
          <w:tcPr>
            <w:tcW w:w="5387" w:type="dxa"/>
          </w:tcPr>
          <w:p w14:paraId="703880E0" w14:textId="77777777" w:rsidR="00A77597" w:rsidRPr="00A77597" w:rsidRDefault="00A77597" w:rsidP="00120FE1">
            <w:pPr>
              <w:pStyle w:val="NormalWeb"/>
              <w:spacing w:before="0" w:beforeAutospacing="0" w:after="0" w:afterAutospacing="0"/>
              <w:rPr>
                <w:rFonts w:ascii="Arial" w:hAnsi="Arial" w:cs="Arial"/>
                <w:color w:val="000000"/>
              </w:rPr>
            </w:pPr>
            <w:r w:rsidRPr="00A77597">
              <w:rPr>
                <w:rFonts w:ascii="Arial" w:hAnsi="Arial" w:cs="Arial"/>
                <w:color w:val="000000"/>
                <w:sz w:val="22"/>
                <w:szCs w:val="22"/>
              </w:rPr>
              <w:t>At least 3 written quotations (where appropriate, a minimum of two should be local)</w:t>
            </w:r>
          </w:p>
        </w:tc>
        <w:tc>
          <w:tcPr>
            <w:tcW w:w="2502" w:type="dxa"/>
          </w:tcPr>
          <w:p w14:paraId="42B4F794" w14:textId="77777777" w:rsidR="00A77597" w:rsidRPr="00A77597" w:rsidRDefault="00A77597" w:rsidP="00120FE1">
            <w:pPr>
              <w:pStyle w:val="NormalWeb"/>
              <w:spacing w:before="0" w:beforeAutospacing="0" w:after="0" w:afterAutospacing="0"/>
              <w:rPr>
                <w:rFonts w:ascii="Arial" w:hAnsi="Arial" w:cs="Arial"/>
                <w:color w:val="000000"/>
                <w:sz w:val="22"/>
                <w:szCs w:val="22"/>
              </w:rPr>
            </w:pPr>
            <w:r w:rsidRPr="00A77597">
              <w:rPr>
                <w:rFonts w:ascii="Arial" w:hAnsi="Arial" w:cs="Arial"/>
                <w:color w:val="000000"/>
                <w:sz w:val="22"/>
                <w:szCs w:val="22"/>
              </w:rPr>
              <w:t>£10,001 to £50,000</w:t>
            </w:r>
          </w:p>
          <w:p w14:paraId="338AB951" w14:textId="77777777" w:rsidR="00A77597" w:rsidRPr="00A77597" w:rsidRDefault="00A77597" w:rsidP="00120FE1">
            <w:pPr>
              <w:pStyle w:val="NormalWeb"/>
              <w:spacing w:before="0" w:beforeAutospacing="0" w:after="0" w:afterAutospacing="0"/>
              <w:rPr>
                <w:rFonts w:ascii="Arial" w:hAnsi="Arial" w:cs="Arial"/>
                <w:color w:val="000000"/>
              </w:rPr>
            </w:pPr>
          </w:p>
        </w:tc>
      </w:tr>
      <w:tr w:rsidR="00A77597" w:rsidRPr="00A77597" w14:paraId="7BE41A5A" w14:textId="77777777" w:rsidTr="008E77EB">
        <w:tc>
          <w:tcPr>
            <w:tcW w:w="5387" w:type="dxa"/>
          </w:tcPr>
          <w:p w14:paraId="0DFD7D22" w14:textId="77777777" w:rsidR="00A77597" w:rsidRPr="00A77597" w:rsidRDefault="00A77597" w:rsidP="00120FE1">
            <w:pPr>
              <w:pStyle w:val="NormalWeb"/>
              <w:spacing w:before="0" w:beforeAutospacing="0" w:after="0" w:afterAutospacing="0"/>
              <w:rPr>
                <w:rFonts w:ascii="Arial" w:hAnsi="Arial" w:cs="Arial"/>
                <w:color w:val="000000"/>
              </w:rPr>
            </w:pPr>
            <w:r w:rsidRPr="00A77597">
              <w:rPr>
                <w:rFonts w:ascii="Arial" w:hAnsi="Arial" w:cs="Arial"/>
                <w:color w:val="000000"/>
                <w:sz w:val="22"/>
                <w:szCs w:val="22"/>
              </w:rPr>
              <w:t>Competitive Tendering process, which must be advertised. Minimum of 3 tenders received.</w:t>
            </w:r>
          </w:p>
        </w:tc>
        <w:tc>
          <w:tcPr>
            <w:tcW w:w="2502" w:type="dxa"/>
          </w:tcPr>
          <w:p w14:paraId="50B6478F" w14:textId="77777777" w:rsidR="00A77597" w:rsidRPr="00A77597" w:rsidRDefault="00A77597" w:rsidP="00120FE1">
            <w:pPr>
              <w:pStyle w:val="NormalWeb"/>
              <w:spacing w:before="0" w:beforeAutospacing="0" w:after="0" w:afterAutospacing="0"/>
              <w:rPr>
                <w:rFonts w:ascii="Arial" w:hAnsi="Arial" w:cs="Arial"/>
                <w:color w:val="000000"/>
              </w:rPr>
            </w:pPr>
            <w:r w:rsidRPr="00A77597">
              <w:rPr>
                <w:rFonts w:ascii="Arial" w:hAnsi="Arial" w:cs="Arial"/>
                <w:color w:val="000000"/>
                <w:sz w:val="22"/>
                <w:szCs w:val="22"/>
              </w:rPr>
              <w:t>£50,001 to EU Thresholds*</w:t>
            </w:r>
          </w:p>
        </w:tc>
      </w:tr>
      <w:tr w:rsidR="00A77597" w:rsidRPr="00A77597" w14:paraId="31EBEDF9" w14:textId="77777777" w:rsidTr="008E77EB">
        <w:tc>
          <w:tcPr>
            <w:tcW w:w="5387" w:type="dxa"/>
          </w:tcPr>
          <w:p w14:paraId="78D3F3FD" w14:textId="77777777" w:rsidR="00A77597" w:rsidRPr="00A77597" w:rsidRDefault="00A77597" w:rsidP="00120FE1">
            <w:pPr>
              <w:pStyle w:val="NormalWeb"/>
              <w:spacing w:before="0" w:beforeAutospacing="0" w:after="0" w:afterAutospacing="0"/>
              <w:rPr>
                <w:rFonts w:ascii="Arial" w:hAnsi="Arial" w:cs="Arial"/>
                <w:color w:val="000000"/>
              </w:rPr>
            </w:pPr>
            <w:r w:rsidRPr="00A77597">
              <w:rPr>
                <w:rFonts w:ascii="Arial" w:hAnsi="Arial" w:cs="Arial"/>
                <w:color w:val="000000"/>
                <w:sz w:val="22"/>
                <w:szCs w:val="22"/>
              </w:rPr>
              <w:t>Advert in OJEU and procedures defined in the Public Contract Regulations 2015.</w:t>
            </w:r>
          </w:p>
        </w:tc>
        <w:tc>
          <w:tcPr>
            <w:tcW w:w="2502" w:type="dxa"/>
          </w:tcPr>
          <w:p w14:paraId="76443681" w14:textId="77777777" w:rsidR="00A77597" w:rsidRPr="00A77597" w:rsidRDefault="00A77597" w:rsidP="00120FE1">
            <w:pPr>
              <w:pStyle w:val="NormalWeb"/>
              <w:spacing w:before="0" w:beforeAutospacing="0" w:after="0" w:afterAutospacing="0"/>
              <w:rPr>
                <w:rFonts w:ascii="Arial" w:hAnsi="Arial" w:cs="Arial"/>
                <w:color w:val="000000"/>
                <w:sz w:val="22"/>
                <w:szCs w:val="22"/>
              </w:rPr>
            </w:pPr>
            <w:r w:rsidRPr="00A77597">
              <w:rPr>
                <w:rFonts w:ascii="Arial" w:hAnsi="Arial" w:cs="Arial"/>
                <w:color w:val="000000"/>
                <w:sz w:val="22"/>
                <w:szCs w:val="22"/>
              </w:rPr>
              <w:t>EU Thresholds* &amp; above</w:t>
            </w:r>
          </w:p>
        </w:tc>
      </w:tr>
    </w:tbl>
    <w:p w14:paraId="43152DB8" w14:textId="77777777" w:rsidR="00A77597" w:rsidRPr="00A77597" w:rsidRDefault="00A77597" w:rsidP="008E77EB">
      <w:pPr>
        <w:pStyle w:val="NormalWeb"/>
        <w:spacing w:before="0" w:beforeAutospacing="0" w:after="0" w:afterAutospacing="0"/>
        <w:ind w:left="414" w:firstLine="720"/>
        <w:rPr>
          <w:rFonts w:ascii="Arial" w:hAnsi="Arial" w:cs="Arial"/>
          <w:color w:val="000000"/>
          <w:sz w:val="20"/>
        </w:rPr>
      </w:pPr>
      <w:r w:rsidRPr="00A77597">
        <w:rPr>
          <w:rFonts w:ascii="Arial" w:hAnsi="Arial" w:cs="Arial"/>
          <w:color w:val="000000"/>
          <w:sz w:val="20"/>
        </w:rPr>
        <w:t>*2018 EU thresholds: £181,302 for Goods and Services; £4,551,413 for Works</w:t>
      </w:r>
    </w:p>
    <w:p w14:paraId="70ABFE9E" w14:textId="77777777" w:rsidR="00A77597" w:rsidRPr="00A77597" w:rsidRDefault="00A77597" w:rsidP="00A77597">
      <w:pPr>
        <w:rPr>
          <w:rFonts w:ascii="Arial" w:hAnsi="Arial" w:cs="Arial"/>
        </w:rPr>
      </w:pPr>
    </w:p>
    <w:p w14:paraId="023F0375" w14:textId="58224B40" w:rsidR="00A77597" w:rsidRPr="00AB12A3" w:rsidRDefault="00A77597" w:rsidP="00AB12A3">
      <w:pPr>
        <w:pStyle w:val="NormalWeb"/>
        <w:spacing w:before="0" w:beforeAutospacing="0" w:after="0" w:afterAutospacing="0"/>
        <w:ind w:left="1134" w:firstLine="1"/>
        <w:rPr>
          <w:rFonts w:ascii="Arial" w:hAnsi="Arial" w:cs="Arial"/>
          <w:color w:val="000000"/>
          <w:sz w:val="22"/>
          <w:szCs w:val="22"/>
        </w:rPr>
      </w:pPr>
      <w:r w:rsidRPr="00AB12A3">
        <w:rPr>
          <w:rFonts w:ascii="Arial" w:hAnsi="Arial" w:cs="Arial"/>
          <w:color w:val="000000"/>
          <w:sz w:val="22"/>
          <w:szCs w:val="22"/>
        </w:rPr>
        <w:t>The proposed way forward is for this section to now read as follows:</w:t>
      </w:r>
    </w:p>
    <w:p w14:paraId="467455FB" w14:textId="77777777" w:rsidR="00A77597" w:rsidRPr="00AB12A3" w:rsidRDefault="00A77597" w:rsidP="00A77597">
      <w:pPr>
        <w:pStyle w:val="Heading8"/>
        <w:tabs>
          <w:tab w:val="clear" w:pos="1440"/>
        </w:tabs>
        <w:ind w:left="1560" w:firstLine="0"/>
        <w:rPr>
          <w:rFonts w:cs="Arial"/>
          <w:sz w:val="20"/>
          <w:szCs w:val="18"/>
        </w:rPr>
      </w:pPr>
    </w:p>
    <w:p w14:paraId="78134AAD" w14:textId="77777777" w:rsidR="00A77597" w:rsidRPr="00A77597" w:rsidRDefault="00A77597" w:rsidP="00A77597">
      <w:pPr>
        <w:pStyle w:val="Heading8"/>
        <w:tabs>
          <w:tab w:val="clear" w:pos="1440"/>
        </w:tabs>
        <w:ind w:left="1560" w:firstLine="0"/>
        <w:rPr>
          <w:rFonts w:cs="Arial"/>
        </w:rPr>
      </w:pPr>
    </w:p>
    <w:p w14:paraId="1724D8DE" w14:textId="77777777" w:rsidR="00A77597" w:rsidRPr="00A77597" w:rsidRDefault="00A77597" w:rsidP="00A77597">
      <w:pPr>
        <w:pStyle w:val="Heading8"/>
        <w:tabs>
          <w:tab w:val="clear" w:pos="1440"/>
        </w:tabs>
        <w:ind w:left="1560" w:firstLine="0"/>
        <w:rPr>
          <w:rFonts w:cs="Arial"/>
        </w:rPr>
      </w:pPr>
    </w:p>
    <w:p w14:paraId="7BA08699" w14:textId="77777777" w:rsidR="00A77597" w:rsidRPr="00A77597" w:rsidRDefault="00A77597" w:rsidP="00A77597">
      <w:pPr>
        <w:pStyle w:val="Heading8"/>
        <w:tabs>
          <w:tab w:val="clear" w:pos="1440"/>
        </w:tabs>
        <w:ind w:left="1560" w:firstLine="0"/>
        <w:rPr>
          <w:rFonts w:cs="Arial"/>
        </w:rPr>
      </w:pPr>
    </w:p>
    <w:p w14:paraId="5858A67F" w14:textId="77777777" w:rsidR="00A77597" w:rsidRPr="00A77597" w:rsidRDefault="00A77597" w:rsidP="00A77597">
      <w:pPr>
        <w:pStyle w:val="Heading8"/>
        <w:tabs>
          <w:tab w:val="clear" w:pos="1440"/>
        </w:tabs>
        <w:ind w:left="1560" w:firstLine="0"/>
        <w:rPr>
          <w:rFonts w:cs="Arial"/>
        </w:rPr>
      </w:pPr>
    </w:p>
    <w:p w14:paraId="5BF84D59" w14:textId="77777777" w:rsidR="00A77597" w:rsidRPr="00A77597" w:rsidRDefault="00A77597" w:rsidP="00A77597">
      <w:pPr>
        <w:pStyle w:val="Heading8"/>
        <w:tabs>
          <w:tab w:val="clear" w:pos="1440"/>
        </w:tabs>
        <w:ind w:left="1560" w:firstLine="0"/>
        <w:rPr>
          <w:rFonts w:cs="Arial"/>
        </w:rPr>
      </w:pP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2217"/>
      </w:tblGrid>
      <w:tr w:rsidR="00A77597" w:rsidRPr="00A77597" w14:paraId="576A4AF7" w14:textId="77777777" w:rsidTr="008E77EB">
        <w:tc>
          <w:tcPr>
            <w:tcW w:w="5670" w:type="dxa"/>
            <w:shd w:val="clear" w:color="auto" w:fill="D9D9D9"/>
          </w:tcPr>
          <w:p w14:paraId="5FBC28CB" w14:textId="77777777" w:rsidR="00A77597" w:rsidRPr="00A77597" w:rsidRDefault="00A77597" w:rsidP="00120FE1">
            <w:pPr>
              <w:pStyle w:val="NormalWeb"/>
              <w:spacing w:before="0" w:beforeAutospacing="0" w:after="0" w:afterAutospacing="0"/>
              <w:rPr>
                <w:rFonts w:ascii="Arial" w:hAnsi="Arial" w:cs="Arial"/>
                <w:sz w:val="22"/>
                <w:szCs w:val="22"/>
              </w:rPr>
            </w:pPr>
            <w:r w:rsidRPr="00A77597">
              <w:rPr>
                <w:rFonts w:ascii="Arial" w:hAnsi="Arial" w:cs="Arial"/>
                <w:sz w:val="22"/>
                <w:szCs w:val="22"/>
              </w:rPr>
              <w:t>Purchasing Procedure</w:t>
            </w:r>
          </w:p>
        </w:tc>
        <w:tc>
          <w:tcPr>
            <w:tcW w:w="2217" w:type="dxa"/>
            <w:shd w:val="clear" w:color="auto" w:fill="D9D9D9"/>
          </w:tcPr>
          <w:p w14:paraId="5075EF4D" w14:textId="77777777" w:rsidR="00A77597" w:rsidRPr="00A77597" w:rsidRDefault="00A77597" w:rsidP="00120FE1">
            <w:pPr>
              <w:pStyle w:val="NormalWeb"/>
              <w:spacing w:before="0" w:beforeAutospacing="0" w:after="0" w:afterAutospacing="0"/>
              <w:rPr>
                <w:rFonts w:ascii="Arial" w:hAnsi="Arial" w:cs="Arial"/>
                <w:sz w:val="22"/>
                <w:szCs w:val="22"/>
              </w:rPr>
            </w:pPr>
            <w:r w:rsidRPr="00A77597">
              <w:rPr>
                <w:rFonts w:ascii="Arial" w:hAnsi="Arial" w:cs="Arial"/>
                <w:sz w:val="22"/>
                <w:szCs w:val="22"/>
              </w:rPr>
              <w:t>Order Value</w:t>
            </w:r>
          </w:p>
        </w:tc>
      </w:tr>
      <w:tr w:rsidR="00A77597" w:rsidRPr="00A77597" w14:paraId="731B0CC4" w14:textId="77777777" w:rsidTr="008E77EB">
        <w:tc>
          <w:tcPr>
            <w:tcW w:w="5670" w:type="dxa"/>
          </w:tcPr>
          <w:p w14:paraId="23CAD873" w14:textId="77777777" w:rsidR="00A77597" w:rsidRPr="00A77597" w:rsidRDefault="00A77597" w:rsidP="00120FE1">
            <w:pPr>
              <w:pStyle w:val="NormalWeb"/>
              <w:spacing w:before="0" w:beforeAutospacing="0" w:after="0" w:afterAutospacing="0"/>
              <w:rPr>
                <w:rFonts w:ascii="Arial" w:hAnsi="Arial" w:cs="Arial"/>
                <w:color w:val="000000"/>
                <w:sz w:val="22"/>
                <w:szCs w:val="22"/>
              </w:rPr>
            </w:pPr>
            <w:r w:rsidRPr="00A77597">
              <w:rPr>
                <w:rFonts w:ascii="Arial" w:hAnsi="Arial" w:cs="Arial"/>
                <w:color w:val="000000"/>
                <w:sz w:val="22"/>
                <w:szCs w:val="22"/>
              </w:rPr>
              <w:t>At the discretion of the Governing Body</w:t>
            </w:r>
          </w:p>
          <w:p w14:paraId="37DE6AC7" w14:textId="77777777" w:rsidR="00A77597" w:rsidRPr="00A77597" w:rsidRDefault="00A77597" w:rsidP="00120FE1">
            <w:pPr>
              <w:pStyle w:val="NormalWeb"/>
              <w:spacing w:before="0" w:beforeAutospacing="0" w:after="0" w:afterAutospacing="0"/>
              <w:rPr>
                <w:rFonts w:ascii="Arial" w:hAnsi="Arial" w:cs="Arial"/>
                <w:color w:val="000000"/>
                <w:sz w:val="22"/>
                <w:szCs w:val="22"/>
              </w:rPr>
            </w:pPr>
          </w:p>
        </w:tc>
        <w:tc>
          <w:tcPr>
            <w:tcW w:w="2217" w:type="dxa"/>
          </w:tcPr>
          <w:p w14:paraId="6AB31434" w14:textId="77777777" w:rsidR="00A77597" w:rsidRPr="00A77597" w:rsidRDefault="00A77597" w:rsidP="00120FE1">
            <w:pPr>
              <w:pStyle w:val="NormalWeb"/>
              <w:spacing w:before="0" w:beforeAutospacing="0" w:after="0" w:afterAutospacing="0"/>
              <w:rPr>
                <w:rFonts w:ascii="Arial" w:hAnsi="Arial" w:cs="Arial"/>
                <w:color w:val="000000"/>
              </w:rPr>
            </w:pPr>
            <w:r w:rsidRPr="00A77597">
              <w:rPr>
                <w:rFonts w:ascii="Arial" w:hAnsi="Arial" w:cs="Arial"/>
                <w:color w:val="000000"/>
                <w:sz w:val="22"/>
                <w:szCs w:val="22"/>
              </w:rPr>
              <w:t>Up to £10,000</w:t>
            </w:r>
          </w:p>
        </w:tc>
      </w:tr>
      <w:tr w:rsidR="00A77597" w:rsidRPr="00A77597" w14:paraId="4C4D7E9D" w14:textId="77777777" w:rsidTr="008E77EB">
        <w:tc>
          <w:tcPr>
            <w:tcW w:w="5670" w:type="dxa"/>
          </w:tcPr>
          <w:p w14:paraId="6FC5C166" w14:textId="77777777" w:rsidR="00A77597" w:rsidRPr="00A77597" w:rsidRDefault="00A77597" w:rsidP="00120FE1">
            <w:pPr>
              <w:pStyle w:val="NormalWeb"/>
              <w:spacing w:before="0" w:beforeAutospacing="0" w:after="0" w:afterAutospacing="0"/>
              <w:rPr>
                <w:rFonts w:ascii="Arial" w:hAnsi="Arial" w:cs="Arial"/>
                <w:color w:val="000000"/>
              </w:rPr>
            </w:pPr>
            <w:r w:rsidRPr="00A77597">
              <w:rPr>
                <w:rFonts w:ascii="Arial" w:hAnsi="Arial" w:cs="Arial"/>
                <w:color w:val="000000"/>
                <w:sz w:val="22"/>
                <w:szCs w:val="22"/>
              </w:rPr>
              <w:t>Seek at least 5 written quotations (where appropriate, a minimum of two should be local)</w:t>
            </w:r>
          </w:p>
        </w:tc>
        <w:tc>
          <w:tcPr>
            <w:tcW w:w="2217" w:type="dxa"/>
          </w:tcPr>
          <w:p w14:paraId="10994C2F" w14:textId="77777777" w:rsidR="00A77597" w:rsidRPr="00A77597" w:rsidRDefault="00A77597" w:rsidP="00120FE1">
            <w:pPr>
              <w:pStyle w:val="NormalWeb"/>
              <w:spacing w:before="0" w:beforeAutospacing="0" w:after="0" w:afterAutospacing="0"/>
              <w:rPr>
                <w:rFonts w:ascii="Arial" w:hAnsi="Arial" w:cs="Arial"/>
                <w:color w:val="000000"/>
                <w:sz w:val="22"/>
                <w:szCs w:val="22"/>
              </w:rPr>
            </w:pPr>
            <w:r w:rsidRPr="00A77597">
              <w:rPr>
                <w:rFonts w:ascii="Arial" w:hAnsi="Arial" w:cs="Arial"/>
                <w:color w:val="000000"/>
                <w:sz w:val="22"/>
                <w:szCs w:val="22"/>
              </w:rPr>
              <w:t>£10,001 to £50,000</w:t>
            </w:r>
          </w:p>
          <w:p w14:paraId="640C70BA" w14:textId="77777777" w:rsidR="00A77597" w:rsidRPr="00A77597" w:rsidRDefault="00A77597" w:rsidP="00120FE1">
            <w:pPr>
              <w:pStyle w:val="NormalWeb"/>
              <w:spacing w:before="0" w:beforeAutospacing="0" w:after="0" w:afterAutospacing="0"/>
              <w:rPr>
                <w:rFonts w:ascii="Arial" w:hAnsi="Arial" w:cs="Arial"/>
                <w:color w:val="000000"/>
              </w:rPr>
            </w:pPr>
          </w:p>
        </w:tc>
      </w:tr>
      <w:tr w:rsidR="00A77597" w:rsidRPr="00A77597" w14:paraId="40F1FC09" w14:textId="77777777" w:rsidTr="008E77EB">
        <w:tc>
          <w:tcPr>
            <w:tcW w:w="5670" w:type="dxa"/>
          </w:tcPr>
          <w:p w14:paraId="53FF2E37" w14:textId="77777777" w:rsidR="00A77597" w:rsidRPr="00A77597" w:rsidRDefault="00A77597" w:rsidP="00120FE1">
            <w:pPr>
              <w:pStyle w:val="NormalWeb"/>
              <w:spacing w:before="0" w:beforeAutospacing="0" w:after="0" w:afterAutospacing="0"/>
              <w:rPr>
                <w:rFonts w:ascii="Arial" w:hAnsi="Arial" w:cs="Arial"/>
                <w:color w:val="000000"/>
              </w:rPr>
            </w:pPr>
            <w:r w:rsidRPr="00A77597">
              <w:rPr>
                <w:rFonts w:ascii="Arial" w:hAnsi="Arial" w:cs="Arial"/>
                <w:color w:val="000000"/>
                <w:sz w:val="22"/>
                <w:szCs w:val="22"/>
              </w:rPr>
              <w:t>Competitive Tendering process, which must be advertised. Minimum of 5 tenders sought.</w:t>
            </w:r>
          </w:p>
        </w:tc>
        <w:tc>
          <w:tcPr>
            <w:tcW w:w="2217" w:type="dxa"/>
          </w:tcPr>
          <w:p w14:paraId="7F9CE45F" w14:textId="77777777" w:rsidR="00A77597" w:rsidRPr="00A77597" w:rsidRDefault="00A77597" w:rsidP="00120FE1">
            <w:pPr>
              <w:pStyle w:val="NormalWeb"/>
              <w:spacing w:before="0" w:beforeAutospacing="0" w:after="0" w:afterAutospacing="0"/>
              <w:rPr>
                <w:rFonts w:ascii="Arial" w:hAnsi="Arial" w:cs="Arial"/>
                <w:color w:val="000000"/>
              </w:rPr>
            </w:pPr>
            <w:r w:rsidRPr="00A77597">
              <w:rPr>
                <w:rFonts w:ascii="Arial" w:hAnsi="Arial" w:cs="Arial"/>
                <w:color w:val="000000"/>
                <w:sz w:val="22"/>
                <w:szCs w:val="22"/>
              </w:rPr>
              <w:t>£50,001 to threshold*</w:t>
            </w:r>
          </w:p>
        </w:tc>
      </w:tr>
      <w:tr w:rsidR="00A77597" w:rsidRPr="00A77597" w14:paraId="72CB7919" w14:textId="77777777" w:rsidTr="008E77EB">
        <w:tc>
          <w:tcPr>
            <w:tcW w:w="5670" w:type="dxa"/>
          </w:tcPr>
          <w:p w14:paraId="1E5EB1EC" w14:textId="77777777" w:rsidR="00A77597" w:rsidRPr="00A77597" w:rsidRDefault="00A77597" w:rsidP="00120FE1">
            <w:pPr>
              <w:pStyle w:val="NormalWeb"/>
              <w:spacing w:before="0" w:beforeAutospacing="0" w:after="0" w:afterAutospacing="0"/>
              <w:rPr>
                <w:rFonts w:ascii="Arial" w:hAnsi="Arial" w:cs="Arial"/>
                <w:color w:val="000000"/>
              </w:rPr>
            </w:pPr>
            <w:r w:rsidRPr="00A77597">
              <w:rPr>
                <w:rFonts w:ascii="Arial" w:hAnsi="Arial" w:cs="Arial"/>
                <w:color w:val="000000"/>
                <w:sz w:val="22"/>
                <w:szCs w:val="22"/>
              </w:rPr>
              <w:t>Advert in Central Digital Platform and procedures defined in the Procurement Act 2023 or Health Care Services (Providers Selection Regime) Regulations 2023.</w:t>
            </w:r>
          </w:p>
        </w:tc>
        <w:tc>
          <w:tcPr>
            <w:tcW w:w="2217" w:type="dxa"/>
          </w:tcPr>
          <w:p w14:paraId="31DC7D9B" w14:textId="77777777" w:rsidR="00A77597" w:rsidRPr="00A77597" w:rsidRDefault="00A77597" w:rsidP="00120FE1">
            <w:pPr>
              <w:pStyle w:val="NormalWeb"/>
              <w:spacing w:before="0" w:beforeAutospacing="0" w:after="0" w:afterAutospacing="0"/>
              <w:rPr>
                <w:rFonts w:ascii="Arial" w:hAnsi="Arial" w:cs="Arial"/>
                <w:color w:val="000000"/>
                <w:sz w:val="22"/>
                <w:szCs w:val="22"/>
              </w:rPr>
            </w:pPr>
            <w:r w:rsidRPr="00A77597">
              <w:rPr>
                <w:rFonts w:ascii="Arial" w:hAnsi="Arial" w:cs="Arial"/>
                <w:color w:val="000000"/>
                <w:sz w:val="22"/>
                <w:szCs w:val="22"/>
              </w:rPr>
              <w:t>Threshold* &amp; above</w:t>
            </w:r>
          </w:p>
        </w:tc>
      </w:tr>
    </w:tbl>
    <w:p w14:paraId="02F1B377" w14:textId="77777777" w:rsidR="00A77597" w:rsidRPr="00A77597" w:rsidRDefault="00A77597" w:rsidP="008E77EB">
      <w:pPr>
        <w:pStyle w:val="NormalWeb"/>
        <w:spacing w:before="0" w:beforeAutospacing="0" w:after="0" w:afterAutospacing="0"/>
        <w:ind w:left="1134"/>
        <w:rPr>
          <w:rFonts w:ascii="Arial" w:hAnsi="Arial" w:cs="Arial"/>
          <w:color w:val="000000"/>
          <w:sz w:val="20"/>
        </w:rPr>
      </w:pPr>
      <w:r w:rsidRPr="00A77597">
        <w:rPr>
          <w:rFonts w:ascii="Arial" w:hAnsi="Arial" w:cs="Arial"/>
          <w:color w:val="000000"/>
          <w:sz w:val="20"/>
        </w:rPr>
        <w:t>*2025 thresholds: £214,904 (inclusive of VAT) for Goods and Services; £5,372,609 (inclusive of VAT) for Works. There are no thresholds in relation to the procurement of healthcare related services captured by the Provider Selection Regime, and as such, any such identified procurement must follow the processes set out by the legislation.</w:t>
      </w:r>
    </w:p>
    <w:p w14:paraId="0254975A" w14:textId="77777777" w:rsidR="00A77597" w:rsidRPr="00A77597" w:rsidRDefault="00A77597" w:rsidP="00A77597"/>
    <w:p w14:paraId="0BE49925" w14:textId="77777777" w:rsidR="00A77597" w:rsidRPr="00A77597" w:rsidRDefault="00A77597" w:rsidP="00AB12A3">
      <w:pPr>
        <w:pStyle w:val="Heading4"/>
        <w:ind w:left="1134" w:hanging="850"/>
      </w:pPr>
      <w:r w:rsidRPr="008E77EB">
        <w:rPr>
          <w:b/>
          <w:bCs/>
        </w:rPr>
        <w:t>Section 2.14.7 (Capital Spending from Budget Shares)</w:t>
      </w:r>
      <w:r w:rsidRPr="00A77597">
        <w:t xml:space="preserve"> has been updated to show that where planning permission is not required for proposed works on premises owned by the City Council (including Voluntary Controlled Schools), the LA will require at least 4 week’s notice prior to commencement.</w:t>
      </w:r>
    </w:p>
    <w:p w14:paraId="3FD4DC99" w14:textId="77777777" w:rsidR="00A77597" w:rsidRPr="00A77597" w:rsidRDefault="00A77597" w:rsidP="00AB12A3">
      <w:pPr>
        <w:pStyle w:val="Heading4"/>
        <w:ind w:left="1134" w:hanging="850"/>
      </w:pPr>
      <w:r w:rsidRPr="008E77EB">
        <w:rPr>
          <w:b/>
          <w:bCs/>
        </w:rPr>
        <w:t>Section 4.9.6 (The Deficit Recovery Plan)</w:t>
      </w:r>
      <w:r w:rsidRPr="00A77597">
        <w:t xml:space="preserve"> has been updated to include an extra example of when suspension of governing body financial delegation powers could be considered. This example is information is not provided within timescales set by the City Council.</w:t>
      </w:r>
    </w:p>
    <w:p w14:paraId="3259F75A" w14:textId="77777777" w:rsidR="00A77597" w:rsidRPr="00A77597" w:rsidRDefault="00A77597" w:rsidP="00AB12A3">
      <w:pPr>
        <w:pStyle w:val="Heading4"/>
        <w:ind w:left="1134" w:hanging="850"/>
      </w:pPr>
      <w:r w:rsidRPr="008E77EB">
        <w:rPr>
          <w:b/>
          <w:bCs/>
        </w:rPr>
        <w:t xml:space="preserve">Section 6.2.8 (Circumstances in which charges may be made to the school budget share) </w:t>
      </w:r>
      <w:r w:rsidRPr="00A77597">
        <w:t>has been updated to remove the Board of Inland Revenue &amp; include the Environment Agency as examples of bodies whereby penalties imposed can be recovered by charging the school budget share</w:t>
      </w:r>
    </w:p>
    <w:p w14:paraId="0554503B" w14:textId="77777777" w:rsidR="00A77597" w:rsidRPr="00A77597" w:rsidRDefault="00A77597" w:rsidP="00AB12A3">
      <w:pPr>
        <w:pStyle w:val="Heading4"/>
        <w:ind w:left="1134" w:hanging="850"/>
      </w:pPr>
      <w:r w:rsidRPr="008E77EB">
        <w:rPr>
          <w:b/>
          <w:bCs/>
        </w:rPr>
        <w:t>Section 6.2.9 (Circumstances in which charges may be made to the school budget share)</w:t>
      </w:r>
      <w:r w:rsidRPr="00A77597">
        <w:t xml:space="preserve"> has been updated to include the example of pension deductions as an error in calculating charges that can be corrected by charging the school budget share</w:t>
      </w:r>
    </w:p>
    <w:p w14:paraId="4A333283" w14:textId="77777777" w:rsidR="00A77597" w:rsidRDefault="00A77597" w:rsidP="00AB12A3">
      <w:pPr>
        <w:pStyle w:val="Heading4"/>
        <w:ind w:left="1134" w:hanging="850"/>
      </w:pPr>
      <w:r w:rsidRPr="00A77597">
        <w:t xml:space="preserve">Previous years </w:t>
      </w:r>
      <w:r w:rsidRPr="008E77EB">
        <w:rPr>
          <w:b/>
          <w:bCs/>
        </w:rPr>
        <w:t>Section 6.2.20 (Circumstances in which charges may be made to the school budget share)</w:t>
      </w:r>
      <w:r w:rsidRPr="00A77597">
        <w:t xml:space="preserve"> has been removed as it is no longer included in the DfE guidance. Below is the section that has been removed: </w:t>
      </w:r>
    </w:p>
    <w:p w14:paraId="51C22E8D" w14:textId="7BE65BDB" w:rsidR="00A77597" w:rsidRPr="00A77597" w:rsidRDefault="00A77597" w:rsidP="00AB12A3">
      <w:pPr>
        <w:ind w:left="1134"/>
        <w:rPr>
          <w:rFonts w:ascii="Arial" w:hAnsi="Arial" w:cs="Arial"/>
          <w:i/>
          <w:iCs/>
        </w:rPr>
      </w:pPr>
      <w:r w:rsidRPr="00A77597">
        <w:rPr>
          <w:rFonts w:ascii="Arial" w:hAnsi="Arial" w:cs="Arial"/>
          <w:i/>
          <w:iCs/>
        </w:rPr>
        <w:t>Costs of successful claims made against the City Council under the Late Payment of Commercial Debts (Interest) Act 1998, where liability for that claim has arisen due to a school’s failure to process invoices within the given credit period.</w:t>
      </w:r>
    </w:p>
    <w:p w14:paraId="58A801D5" w14:textId="43366C7E" w:rsidR="00A77597" w:rsidRDefault="00A77597" w:rsidP="00AB12A3">
      <w:pPr>
        <w:pStyle w:val="Heading4"/>
        <w:ind w:left="1134" w:hanging="850"/>
      </w:pPr>
      <w:r w:rsidRPr="008E77EB">
        <w:rPr>
          <w:b/>
          <w:bCs/>
        </w:rPr>
        <w:t>Section 6.2.20 &amp; 6.2.21 (Circumstances in which charges may be made to the school budget share)</w:t>
      </w:r>
      <w:r w:rsidRPr="00A77597">
        <w:t xml:space="preserve"> have been added due to updated DfE guidance. These sections read as follows: </w:t>
      </w:r>
    </w:p>
    <w:p w14:paraId="53A6F23F" w14:textId="77777777" w:rsidR="00A77597" w:rsidRPr="00A77597" w:rsidRDefault="00A77597" w:rsidP="00AB12A3">
      <w:pPr>
        <w:pStyle w:val="Style3"/>
        <w:numPr>
          <w:ilvl w:val="0"/>
          <w:numId w:val="0"/>
        </w:numPr>
        <w:ind w:left="1134"/>
        <w:rPr>
          <w:b/>
          <w:i/>
          <w:iCs/>
        </w:rPr>
      </w:pPr>
      <w:r w:rsidRPr="00A77597">
        <w:rPr>
          <w:i/>
          <w:iCs/>
        </w:rPr>
        <w:t>Costs incurred by the local authority in administering admissions appeals, where the local authority is the admissions authority and the funding for admission appeals has been delegated to all schools as part of their formula allocation.</w:t>
      </w:r>
    </w:p>
    <w:p w14:paraId="46A83B2B" w14:textId="77777777" w:rsidR="00A77597" w:rsidRPr="00A77597" w:rsidRDefault="00A77597" w:rsidP="00AB12A3">
      <w:pPr>
        <w:pStyle w:val="Style3"/>
        <w:numPr>
          <w:ilvl w:val="0"/>
          <w:numId w:val="0"/>
        </w:numPr>
        <w:ind w:left="1134"/>
        <w:rPr>
          <w:i/>
          <w:iCs/>
        </w:rPr>
      </w:pPr>
      <w:r w:rsidRPr="00A77597">
        <w:rPr>
          <w:i/>
          <w:iCs/>
        </w:rPr>
        <w:lastRenderedPageBreak/>
        <w:t>The cost of an undisputed invoice for energy where a school has entered into an agreement with the Secretary of State for the supply of energy and failed to pay such an invoice (Regulation 23 of the regulations).</w:t>
      </w:r>
    </w:p>
    <w:p w14:paraId="26E5A991" w14:textId="77777777" w:rsidR="00A77597" w:rsidRPr="00A77597" w:rsidRDefault="00A77597" w:rsidP="00A77597"/>
    <w:p w14:paraId="57916643" w14:textId="77777777" w:rsidR="00A77597" w:rsidRDefault="00A77597" w:rsidP="00AB12A3">
      <w:pPr>
        <w:pStyle w:val="Heading4"/>
        <w:ind w:left="1134" w:hanging="850"/>
      </w:pPr>
      <w:r w:rsidRPr="008E77EB">
        <w:rPr>
          <w:b/>
          <w:bCs/>
        </w:rPr>
        <w:t xml:space="preserve">Section 13.2 (Community Facilities – Consultation with the LA – Financial Aspects) </w:t>
      </w:r>
      <w:r w:rsidRPr="00A77597">
        <w:t>has been updated to show that schools no longer have to consult with the City Council when establishing community facilities. Previously, this section read as follows:</w:t>
      </w:r>
    </w:p>
    <w:p w14:paraId="284DE898" w14:textId="77777777" w:rsidR="00A77597" w:rsidRPr="00A77597" w:rsidRDefault="00A77597" w:rsidP="00AB12A3">
      <w:pPr>
        <w:pStyle w:val="Style3"/>
        <w:numPr>
          <w:ilvl w:val="0"/>
          <w:numId w:val="0"/>
        </w:numPr>
        <w:ind w:left="1134"/>
        <w:jc w:val="both"/>
        <w:rPr>
          <w:i/>
          <w:iCs/>
        </w:rPr>
      </w:pPr>
      <w:r w:rsidRPr="00A77597">
        <w:rPr>
          <w:i/>
          <w:iCs/>
        </w:rPr>
        <w:t>School governing bodies are required to consult the City Council before exercising their community facilities power, and have regard to advice given to them.</w:t>
      </w:r>
    </w:p>
    <w:p w14:paraId="4FE0C94A" w14:textId="77777777" w:rsidR="00A77597" w:rsidRPr="00A77597" w:rsidRDefault="00A77597" w:rsidP="00DC2B7C">
      <w:pPr>
        <w:pStyle w:val="Style3"/>
        <w:numPr>
          <w:ilvl w:val="0"/>
          <w:numId w:val="0"/>
        </w:numPr>
        <w:ind w:left="1134"/>
        <w:jc w:val="both"/>
        <w:rPr>
          <w:i/>
          <w:iCs/>
        </w:rPr>
      </w:pPr>
      <w:r w:rsidRPr="00A77597">
        <w:rPr>
          <w:i/>
          <w:iCs/>
        </w:rPr>
        <w:t>Before exercising community facilities power a business and financial plan approved by the full Governing Body should be submitted at least 12 weeks before the facility is due to begin.  This plan should detail:</w:t>
      </w:r>
    </w:p>
    <w:p w14:paraId="7D96ECF4" w14:textId="77777777" w:rsidR="00A77597" w:rsidRPr="00A77597" w:rsidRDefault="00A77597" w:rsidP="00DC2B7C">
      <w:pPr>
        <w:pStyle w:val="Style4"/>
        <w:ind w:left="1702"/>
        <w:rPr>
          <w:i/>
          <w:iCs/>
        </w:rPr>
      </w:pPr>
      <w:r w:rsidRPr="00A77597">
        <w:rPr>
          <w:i/>
          <w:iCs/>
        </w:rPr>
        <w:t>the nature of the community facility;</w:t>
      </w:r>
    </w:p>
    <w:p w14:paraId="220D3B03" w14:textId="77777777" w:rsidR="00A77597" w:rsidRPr="00A77597" w:rsidRDefault="00A77597" w:rsidP="00DC2B7C">
      <w:pPr>
        <w:pStyle w:val="Style4"/>
        <w:ind w:left="1702"/>
        <w:rPr>
          <w:i/>
          <w:iCs/>
        </w:rPr>
      </w:pPr>
      <w:r w:rsidRPr="00A77597">
        <w:rPr>
          <w:i/>
          <w:iCs/>
        </w:rPr>
        <w:t>the funding arrangements;</w:t>
      </w:r>
    </w:p>
    <w:p w14:paraId="709DAAFE" w14:textId="77777777" w:rsidR="00A77597" w:rsidRPr="00A77597" w:rsidRDefault="00A77597" w:rsidP="00DC2B7C">
      <w:pPr>
        <w:pStyle w:val="Style4"/>
        <w:ind w:left="1702"/>
        <w:rPr>
          <w:i/>
          <w:iCs/>
        </w:rPr>
      </w:pPr>
      <w:r w:rsidRPr="00A77597">
        <w:rPr>
          <w:i/>
          <w:iCs/>
        </w:rPr>
        <w:t>a detailed costing of the project including income projections;</w:t>
      </w:r>
    </w:p>
    <w:p w14:paraId="6BB5C85C" w14:textId="77777777" w:rsidR="00A77597" w:rsidRPr="00A77597" w:rsidRDefault="00A77597" w:rsidP="00DC2B7C">
      <w:pPr>
        <w:pStyle w:val="Style4"/>
        <w:ind w:left="1702"/>
        <w:rPr>
          <w:i/>
          <w:iCs/>
        </w:rPr>
      </w:pPr>
      <w:r w:rsidRPr="00A77597">
        <w:rPr>
          <w:i/>
          <w:iCs/>
        </w:rPr>
        <w:t>an explanation of how the project will comply with relevant Health and Safety and Child Protection legislation.</w:t>
      </w:r>
    </w:p>
    <w:p w14:paraId="37D45574" w14:textId="77777777" w:rsidR="00A77597" w:rsidRPr="00A77597" w:rsidRDefault="00A77597" w:rsidP="00DC2B7C">
      <w:pPr>
        <w:pStyle w:val="Style3"/>
        <w:numPr>
          <w:ilvl w:val="0"/>
          <w:numId w:val="0"/>
        </w:numPr>
        <w:ind w:left="1134"/>
        <w:jc w:val="both"/>
        <w:rPr>
          <w:i/>
          <w:iCs/>
        </w:rPr>
      </w:pPr>
      <w:r w:rsidRPr="00A77597">
        <w:rPr>
          <w:i/>
          <w:iCs/>
        </w:rPr>
        <w:t xml:space="preserve">The City Council will provide advice to the school governing body within 6 weeks of being consulted on the proposal.  The school governing body are required to inform the City Council of the action taken following receipt of this advice before the commencement of the project. </w:t>
      </w:r>
    </w:p>
    <w:p w14:paraId="67DF097F" w14:textId="77777777" w:rsidR="00A77597" w:rsidRPr="00A77597" w:rsidRDefault="00A77597" w:rsidP="00DC2B7C">
      <w:pPr>
        <w:pStyle w:val="Style3"/>
        <w:numPr>
          <w:ilvl w:val="0"/>
          <w:numId w:val="0"/>
        </w:numPr>
        <w:ind w:left="1134"/>
        <w:jc w:val="both"/>
      </w:pPr>
      <w:r w:rsidRPr="00A77597">
        <w:t>The proposed way forward is for this section to read as follows:</w:t>
      </w:r>
    </w:p>
    <w:p w14:paraId="727C3C7A" w14:textId="77777777" w:rsidR="00A77597" w:rsidRPr="00A77597" w:rsidRDefault="00A77597" w:rsidP="00DC2B7C">
      <w:pPr>
        <w:pStyle w:val="Style3"/>
        <w:numPr>
          <w:ilvl w:val="0"/>
          <w:numId w:val="0"/>
        </w:numPr>
        <w:ind w:left="1134"/>
        <w:jc w:val="both"/>
        <w:rPr>
          <w:i/>
          <w:iCs/>
        </w:rPr>
      </w:pPr>
      <w:r w:rsidRPr="00A77597">
        <w:rPr>
          <w:i/>
          <w:iCs/>
        </w:rPr>
        <w:t>Schools no longer need to consult the City Council when establishing community facilities under Section 27 of the Education Act 2002. Nor do they have to have regard to advice given to them by the City Council</w:t>
      </w:r>
    </w:p>
    <w:p w14:paraId="23291161" w14:textId="77777777" w:rsidR="00A77597" w:rsidRPr="00A77597" w:rsidRDefault="00A77597" w:rsidP="00DC2B7C">
      <w:pPr>
        <w:pStyle w:val="Style3"/>
        <w:numPr>
          <w:ilvl w:val="0"/>
          <w:numId w:val="0"/>
        </w:numPr>
        <w:ind w:left="1134"/>
        <w:jc w:val="both"/>
        <w:rPr>
          <w:i/>
          <w:iCs/>
          <w:sz w:val="20"/>
          <w:szCs w:val="20"/>
        </w:rPr>
      </w:pPr>
      <w:r w:rsidRPr="00A77597">
        <w:rPr>
          <w:i/>
          <w:iCs/>
        </w:rPr>
        <w:t>However, as public bodies, schools are expected to act reasonably, and this includes consulting those affected by decisions that they make.</w:t>
      </w:r>
    </w:p>
    <w:p w14:paraId="6F12E4CF" w14:textId="77777777" w:rsidR="00AD04F6" w:rsidRPr="00CC1BDE" w:rsidRDefault="00AD04F6" w:rsidP="00CE182F">
      <w:pPr>
        <w:pStyle w:val="Heading2"/>
      </w:pPr>
      <w:r w:rsidRPr="00CC1BDE">
        <w:t>Consultation</w:t>
      </w:r>
    </w:p>
    <w:p w14:paraId="42E0C446" w14:textId="2120ED5E" w:rsidR="00AD04F6" w:rsidRDefault="00AD04F6" w:rsidP="00AD04F6">
      <w:pPr>
        <w:pStyle w:val="Heading3"/>
      </w:pPr>
      <w:r w:rsidRPr="00CC1BDE">
        <w:t>The change</w:t>
      </w:r>
      <w:r w:rsidR="00A81517">
        <w:t>s</w:t>
      </w:r>
      <w:r w:rsidRPr="00CC1BDE">
        <w:t xml:space="preserve"> set out in section </w:t>
      </w:r>
      <w:r w:rsidR="004410AC" w:rsidRPr="00CC1BDE">
        <w:t>2</w:t>
      </w:r>
      <w:r w:rsidRPr="00CC1BDE">
        <w:t xml:space="preserve"> w</w:t>
      </w:r>
      <w:r w:rsidR="00941914">
        <w:t>as</w:t>
      </w:r>
      <w:r w:rsidRPr="00CC1BDE">
        <w:t xml:space="preserve"> included within the 202</w:t>
      </w:r>
      <w:r w:rsidR="008E77EB">
        <w:t>6</w:t>
      </w:r>
      <w:r w:rsidR="00A81517">
        <w:t>/</w:t>
      </w:r>
      <w:r w:rsidRPr="00CC1BDE">
        <w:t>2</w:t>
      </w:r>
      <w:r w:rsidR="008E77EB">
        <w:t>7</w:t>
      </w:r>
      <w:r>
        <w:t xml:space="preserve"> Fair Funding Consultation and stakeholders were asked to feed back any general comments they had in relation to the scheme or the proposed change.</w:t>
      </w:r>
    </w:p>
    <w:p w14:paraId="43D67AA2" w14:textId="548D3E3B" w:rsidR="00AD04F6" w:rsidRPr="00AD04F6" w:rsidRDefault="00AD04F6" w:rsidP="00AD04F6">
      <w:pPr>
        <w:pStyle w:val="Heading3"/>
      </w:pPr>
      <w:r>
        <w:t>No responses were received that disagreed with the proposed change.</w:t>
      </w:r>
    </w:p>
    <w:p w14:paraId="162B8474" w14:textId="77777777" w:rsidR="00013814" w:rsidRPr="00631E41" w:rsidRDefault="00013814" w:rsidP="00CE182F">
      <w:pPr>
        <w:pStyle w:val="Heading2"/>
      </w:pPr>
      <w:r w:rsidRPr="00631E41">
        <w:t>Who does the report affect?</w:t>
      </w:r>
    </w:p>
    <w:p w14:paraId="1E850353" w14:textId="411CC179" w:rsidR="00563CCE" w:rsidRDefault="00E06E50" w:rsidP="004410AC">
      <w:pPr>
        <w:pStyle w:val="Heading3"/>
        <w:rPr>
          <w:b/>
        </w:rPr>
      </w:pPr>
      <w:r w:rsidRPr="00AD04F6">
        <w:t>The issues in this report affect all</w:t>
      </w:r>
      <w:r w:rsidR="00CE182F" w:rsidRPr="00AD04F6">
        <w:t xml:space="preserve"> main</w:t>
      </w:r>
      <w:r w:rsidR="00D40B41">
        <w:t>tained</w:t>
      </w:r>
      <w:r w:rsidR="00CE182F" w:rsidRPr="00AD04F6">
        <w:t xml:space="preserve"> schools in the city as </w:t>
      </w:r>
      <w:r w:rsidR="004410AC">
        <w:t>the scheme sets out the financial relationship between the LA and the schools it maintains.</w:t>
      </w:r>
      <w:r w:rsidR="004410AC">
        <w:rPr>
          <w:b/>
        </w:rPr>
        <w:t xml:space="preserve"> </w:t>
      </w:r>
    </w:p>
    <w:p w14:paraId="6FDD4EEE" w14:textId="77777777" w:rsidR="004410AC" w:rsidRDefault="004410AC" w:rsidP="00612C1B">
      <w:pPr>
        <w:tabs>
          <w:tab w:val="left" w:pos="567"/>
        </w:tabs>
        <w:rPr>
          <w:rFonts w:ascii="Arial" w:hAnsi="Arial" w:cs="Arial"/>
          <w:b/>
        </w:rPr>
      </w:pPr>
    </w:p>
    <w:p w14:paraId="12918569" w14:textId="77777777" w:rsidR="008E77EB" w:rsidRDefault="008E77EB" w:rsidP="00612C1B">
      <w:pPr>
        <w:tabs>
          <w:tab w:val="left" w:pos="567"/>
        </w:tabs>
        <w:rPr>
          <w:rFonts w:ascii="Arial" w:hAnsi="Arial" w:cs="Arial"/>
          <w:b/>
        </w:rPr>
      </w:pPr>
    </w:p>
    <w:p w14:paraId="1E798ABB" w14:textId="77777777" w:rsidR="00A42036" w:rsidRPr="00A42036" w:rsidRDefault="00A42036" w:rsidP="00612C1B">
      <w:pPr>
        <w:tabs>
          <w:tab w:val="left" w:pos="567"/>
        </w:tabs>
        <w:rPr>
          <w:rFonts w:ascii="Arial" w:hAnsi="Arial" w:cs="Arial"/>
          <w:b/>
        </w:rPr>
      </w:pPr>
      <w:r w:rsidRPr="00A42036">
        <w:rPr>
          <w:rFonts w:ascii="Arial" w:hAnsi="Arial" w:cs="Arial"/>
          <w:b/>
        </w:rPr>
        <w:lastRenderedPageBreak/>
        <w:t xml:space="preserve">Report author(s):  </w:t>
      </w:r>
    </w:p>
    <w:p w14:paraId="37CBEF91" w14:textId="352EAEDE" w:rsidR="00E06E50" w:rsidRPr="00A42036" w:rsidRDefault="00E06E50" w:rsidP="00E06E50">
      <w:pPr>
        <w:rPr>
          <w:rFonts w:ascii="Arial" w:hAnsi="Arial" w:cs="Arial"/>
          <w:b/>
          <w:bCs/>
        </w:rPr>
      </w:pPr>
      <w:r w:rsidRPr="00A42036">
        <w:rPr>
          <w:rFonts w:ascii="Arial" w:hAnsi="Arial" w:cs="Arial"/>
          <w:b/>
          <w:bCs/>
        </w:rPr>
        <w:t xml:space="preserve">Name and job title:  </w:t>
      </w:r>
      <w:r w:rsidR="00A81517">
        <w:rPr>
          <w:rFonts w:ascii="Arial" w:hAnsi="Arial" w:cs="Arial"/>
        </w:rPr>
        <w:t>Paul Hammond</w:t>
      </w:r>
      <w:r w:rsidRPr="00E20A34">
        <w:rPr>
          <w:rFonts w:ascii="Arial" w:hAnsi="Arial" w:cs="Arial"/>
        </w:rPr>
        <w:t xml:space="preserve">, </w:t>
      </w:r>
      <w:r w:rsidR="00E20A34" w:rsidRPr="00E20A34">
        <w:rPr>
          <w:rFonts w:ascii="Arial" w:hAnsi="Arial" w:cs="Arial"/>
        </w:rPr>
        <w:t xml:space="preserve">Lead </w:t>
      </w:r>
      <w:r w:rsidR="00EC232D" w:rsidRPr="00E20A34">
        <w:rPr>
          <w:rFonts w:ascii="Arial" w:hAnsi="Arial" w:cs="Arial"/>
        </w:rPr>
        <w:t>Accountant</w:t>
      </w:r>
    </w:p>
    <w:p w14:paraId="25B25A08" w14:textId="6F9CB9BC" w:rsidR="00E06E50" w:rsidRPr="00E20A34" w:rsidRDefault="0018664A" w:rsidP="00E06E50">
      <w:pPr>
        <w:rPr>
          <w:rFonts w:ascii="Arial" w:hAnsi="Arial" w:cs="Arial"/>
        </w:rPr>
      </w:pPr>
      <w:r>
        <w:rPr>
          <w:rFonts w:ascii="Arial" w:hAnsi="Arial" w:cs="Arial"/>
          <w:b/>
          <w:bCs/>
        </w:rPr>
        <w:t>Service</w:t>
      </w:r>
      <w:r w:rsidR="00E06E50" w:rsidRPr="00A42036">
        <w:rPr>
          <w:rFonts w:ascii="Arial" w:hAnsi="Arial" w:cs="Arial"/>
          <w:b/>
          <w:bCs/>
        </w:rPr>
        <w:t xml:space="preserve">: </w:t>
      </w:r>
      <w:r w:rsidRPr="00E20A34">
        <w:rPr>
          <w:rFonts w:ascii="Arial" w:hAnsi="Arial" w:cs="Arial"/>
        </w:rPr>
        <w:t>Financial Management</w:t>
      </w:r>
    </w:p>
    <w:p w14:paraId="6B4DD331" w14:textId="3CEC752C" w:rsidR="00E06E50" w:rsidRPr="00E20A34" w:rsidRDefault="00E06E50" w:rsidP="00E06E50">
      <w:pPr>
        <w:rPr>
          <w:rFonts w:ascii="Arial" w:hAnsi="Arial" w:cs="Arial"/>
        </w:rPr>
      </w:pPr>
      <w:r w:rsidRPr="00A42036">
        <w:rPr>
          <w:rFonts w:ascii="Arial" w:hAnsi="Arial" w:cs="Arial"/>
          <w:b/>
          <w:bCs/>
        </w:rPr>
        <w:t>Tel and</w:t>
      </w:r>
      <w:r w:rsidR="00485AE2">
        <w:rPr>
          <w:rFonts w:ascii="Arial" w:hAnsi="Arial" w:cs="Arial"/>
          <w:b/>
          <w:bCs/>
        </w:rPr>
        <w:t xml:space="preserve"> </w:t>
      </w:r>
      <w:r w:rsidR="001C40DD">
        <w:rPr>
          <w:rFonts w:ascii="Arial" w:hAnsi="Arial" w:cs="Arial"/>
          <w:b/>
          <w:bCs/>
        </w:rPr>
        <w:t xml:space="preserve">email contact: </w:t>
      </w:r>
      <w:r w:rsidR="001C40DD" w:rsidRPr="00377BE6">
        <w:rPr>
          <w:rFonts w:ascii="Arial" w:hAnsi="Arial" w:cs="Arial"/>
        </w:rPr>
        <w:t xml:space="preserve">024 7697 </w:t>
      </w:r>
      <w:r w:rsidR="00E20A34" w:rsidRPr="00377BE6">
        <w:rPr>
          <w:rFonts w:ascii="Arial" w:hAnsi="Arial" w:cs="Arial"/>
        </w:rPr>
        <w:t>2</w:t>
      </w:r>
      <w:r w:rsidR="00A81517">
        <w:rPr>
          <w:rFonts w:ascii="Arial" w:hAnsi="Arial" w:cs="Arial"/>
        </w:rPr>
        <w:t>635</w:t>
      </w:r>
      <w:r w:rsidR="00E20A34">
        <w:rPr>
          <w:rFonts w:ascii="Arial" w:hAnsi="Arial" w:cs="Arial"/>
        </w:rPr>
        <w:t xml:space="preserve"> </w:t>
      </w:r>
      <w:r w:rsidR="00A81517">
        <w:rPr>
          <w:rFonts w:ascii="Arial" w:hAnsi="Arial" w:cs="Arial"/>
        </w:rPr>
        <w:t>Paul.Hammond</w:t>
      </w:r>
      <w:r w:rsidRPr="00E20A34">
        <w:rPr>
          <w:rFonts w:ascii="Arial" w:hAnsi="Arial" w:cs="Arial"/>
        </w:rPr>
        <w:t>@coventry.gov.uk</w:t>
      </w:r>
    </w:p>
    <w:p w14:paraId="23ABFCAF" w14:textId="77777777" w:rsidR="00A42036" w:rsidRDefault="00A42036" w:rsidP="00A42036">
      <w:pPr>
        <w:rPr>
          <w:rFonts w:ascii="Arial" w:hAnsi="Arial" w:cs="Arial"/>
        </w:rPr>
      </w:pPr>
      <w:r w:rsidRPr="00A42036">
        <w:rPr>
          <w:rFonts w:ascii="Arial" w:hAnsi="Arial" w:cs="Arial"/>
        </w:rPr>
        <w:t>Enquiries should b</w:t>
      </w:r>
      <w:r>
        <w:rPr>
          <w:rFonts w:ascii="Arial" w:hAnsi="Arial" w:cs="Arial"/>
        </w:rPr>
        <w:t>e directed to the above person.</w:t>
      </w:r>
    </w:p>
    <w:p w14:paraId="18097F0C" w14:textId="77777777" w:rsidR="00330A01" w:rsidRPr="00A42036" w:rsidRDefault="00330A01" w:rsidP="00A42036">
      <w:pPr>
        <w:rPr>
          <w:rFonts w:ascii="Arial" w:hAnsi="Arial" w:cs="Arial"/>
        </w:rPr>
      </w:pPr>
    </w:p>
    <w:tbl>
      <w:tblP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6"/>
        <w:gridCol w:w="1696"/>
        <w:gridCol w:w="1798"/>
        <w:gridCol w:w="1302"/>
        <w:gridCol w:w="1983"/>
      </w:tblGrid>
      <w:tr w:rsidR="00A42036" w:rsidRPr="003476A4" w14:paraId="6D5776DF" w14:textId="77777777" w:rsidTr="00A42036">
        <w:tc>
          <w:tcPr>
            <w:tcW w:w="2906" w:type="dxa"/>
          </w:tcPr>
          <w:p w14:paraId="3F5BAF0C" w14:textId="77777777" w:rsidR="00A42036" w:rsidRPr="00304ED8" w:rsidRDefault="00A42036" w:rsidP="00E00709">
            <w:pPr>
              <w:rPr>
                <w:rFonts w:ascii="Arial" w:hAnsi="Arial" w:cs="Arial"/>
                <w:sz w:val="20"/>
              </w:rPr>
            </w:pPr>
            <w:r w:rsidRPr="00304ED8">
              <w:rPr>
                <w:rFonts w:ascii="Arial" w:hAnsi="Arial" w:cs="Arial"/>
                <w:sz w:val="20"/>
              </w:rPr>
              <w:t>Contributor/approver name</w:t>
            </w:r>
          </w:p>
        </w:tc>
        <w:tc>
          <w:tcPr>
            <w:tcW w:w="1696" w:type="dxa"/>
          </w:tcPr>
          <w:p w14:paraId="3B574856" w14:textId="77777777" w:rsidR="00A42036" w:rsidRPr="00304ED8" w:rsidRDefault="00A42036" w:rsidP="00E00709">
            <w:pPr>
              <w:rPr>
                <w:rFonts w:ascii="Arial" w:hAnsi="Arial" w:cs="Arial"/>
                <w:sz w:val="20"/>
              </w:rPr>
            </w:pPr>
            <w:r w:rsidRPr="00304ED8">
              <w:rPr>
                <w:rFonts w:ascii="Arial" w:hAnsi="Arial" w:cs="Arial"/>
                <w:sz w:val="20"/>
              </w:rPr>
              <w:t>Title</w:t>
            </w:r>
          </w:p>
        </w:tc>
        <w:tc>
          <w:tcPr>
            <w:tcW w:w="1798" w:type="dxa"/>
          </w:tcPr>
          <w:p w14:paraId="1E7ED114" w14:textId="77777777" w:rsidR="00A42036" w:rsidRPr="00304ED8" w:rsidRDefault="00A42036" w:rsidP="00E00709">
            <w:pPr>
              <w:rPr>
                <w:rFonts w:ascii="Arial" w:hAnsi="Arial" w:cs="Arial"/>
                <w:sz w:val="20"/>
              </w:rPr>
            </w:pPr>
            <w:r w:rsidRPr="00304ED8">
              <w:rPr>
                <w:rFonts w:ascii="Arial" w:hAnsi="Arial" w:cs="Arial"/>
                <w:sz w:val="20"/>
              </w:rPr>
              <w:t>Directorate or organisation</w:t>
            </w:r>
          </w:p>
        </w:tc>
        <w:tc>
          <w:tcPr>
            <w:tcW w:w="1302" w:type="dxa"/>
          </w:tcPr>
          <w:p w14:paraId="0227AAD6" w14:textId="77777777" w:rsidR="00A42036" w:rsidRPr="00304ED8" w:rsidRDefault="00A42036" w:rsidP="00E00709">
            <w:pPr>
              <w:rPr>
                <w:rFonts w:ascii="Arial" w:hAnsi="Arial" w:cs="Arial"/>
                <w:sz w:val="20"/>
              </w:rPr>
            </w:pPr>
            <w:r w:rsidRPr="00304ED8">
              <w:rPr>
                <w:rFonts w:ascii="Arial" w:hAnsi="Arial" w:cs="Arial"/>
                <w:sz w:val="20"/>
              </w:rPr>
              <w:t xml:space="preserve">Date doc </w:t>
            </w:r>
            <w:r w:rsidR="00E06E50" w:rsidRPr="00304ED8">
              <w:rPr>
                <w:rFonts w:ascii="Arial" w:hAnsi="Arial" w:cs="Arial"/>
                <w:sz w:val="20"/>
              </w:rPr>
              <w:t>/</w:t>
            </w:r>
            <w:r w:rsidRPr="00304ED8">
              <w:rPr>
                <w:rFonts w:ascii="Arial" w:hAnsi="Arial" w:cs="Arial"/>
                <w:sz w:val="20"/>
              </w:rPr>
              <w:t>sent out</w:t>
            </w:r>
            <w:r w:rsidR="00E06E50" w:rsidRPr="00304ED8">
              <w:rPr>
                <w:rFonts w:ascii="Arial" w:hAnsi="Arial" w:cs="Arial"/>
                <w:sz w:val="20"/>
              </w:rPr>
              <w:t>/</w:t>
            </w:r>
          </w:p>
        </w:tc>
        <w:tc>
          <w:tcPr>
            <w:tcW w:w="1983" w:type="dxa"/>
          </w:tcPr>
          <w:p w14:paraId="46D17A8E" w14:textId="77777777" w:rsidR="00A42036" w:rsidRPr="00304ED8" w:rsidRDefault="00A42036" w:rsidP="00E00709">
            <w:pPr>
              <w:rPr>
                <w:rFonts w:ascii="Arial" w:hAnsi="Arial" w:cs="Arial"/>
                <w:sz w:val="20"/>
              </w:rPr>
            </w:pPr>
            <w:r w:rsidRPr="00304ED8">
              <w:rPr>
                <w:rFonts w:ascii="Arial" w:hAnsi="Arial" w:cs="Arial"/>
                <w:sz w:val="20"/>
              </w:rPr>
              <w:t>Date response received or approved</w:t>
            </w:r>
          </w:p>
        </w:tc>
      </w:tr>
      <w:tr w:rsidR="001C40DD" w:rsidRPr="00A42036" w14:paraId="31C478A5" w14:textId="77777777" w:rsidTr="00A42036">
        <w:tc>
          <w:tcPr>
            <w:tcW w:w="2906" w:type="dxa"/>
          </w:tcPr>
          <w:p w14:paraId="4F783F53" w14:textId="360A07A5" w:rsidR="001C40DD" w:rsidRPr="00A42036" w:rsidRDefault="00AE3F7E" w:rsidP="001C40DD">
            <w:pPr>
              <w:rPr>
                <w:rFonts w:ascii="Arial" w:hAnsi="Arial" w:cs="Arial"/>
                <w:sz w:val="20"/>
              </w:rPr>
            </w:pPr>
            <w:r>
              <w:rPr>
                <w:rFonts w:ascii="Arial" w:hAnsi="Arial" w:cs="Arial"/>
                <w:sz w:val="20"/>
              </w:rPr>
              <w:t>Sarah Kinsell</w:t>
            </w:r>
          </w:p>
        </w:tc>
        <w:tc>
          <w:tcPr>
            <w:tcW w:w="1696" w:type="dxa"/>
          </w:tcPr>
          <w:p w14:paraId="532225CC" w14:textId="77777777" w:rsidR="001C40DD" w:rsidRPr="00A42036" w:rsidRDefault="001C40DD" w:rsidP="001C40DD">
            <w:pPr>
              <w:rPr>
                <w:rFonts w:ascii="Arial" w:hAnsi="Arial" w:cs="Arial"/>
                <w:sz w:val="20"/>
              </w:rPr>
            </w:pPr>
            <w:r>
              <w:rPr>
                <w:rFonts w:ascii="Arial" w:hAnsi="Arial" w:cs="Arial"/>
                <w:sz w:val="20"/>
              </w:rPr>
              <w:t>Finance Manager</w:t>
            </w:r>
          </w:p>
        </w:tc>
        <w:tc>
          <w:tcPr>
            <w:tcW w:w="1798" w:type="dxa"/>
          </w:tcPr>
          <w:p w14:paraId="6010EA5C" w14:textId="601C1A9F" w:rsidR="001C40DD" w:rsidRPr="00A42036" w:rsidRDefault="00EC232D" w:rsidP="001C40DD">
            <w:pPr>
              <w:rPr>
                <w:rFonts w:ascii="Arial" w:hAnsi="Arial" w:cs="Arial"/>
                <w:sz w:val="20"/>
              </w:rPr>
            </w:pPr>
            <w:r>
              <w:rPr>
                <w:rFonts w:ascii="Arial" w:hAnsi="Arial" w:cs="Arial"/>
                <w:sz w:val="20"/>
              </w:rPr>
              <w:t>Financial Management</w:t>
            </w:r>
          </w:p>
        </w:tc>
        <w:tc>
          <w:tcPr>
            <w:tcW w:w="1302" w:type="dxa"/>
          </w:tcPr>
          <w:p w14:paraId="03FBB0CE" w14:textId="072D3BF2" w:rsidR="001C40DD" w:rsidRPr="00286400" w:rsidRDefault="006007DD" w:rsidP="001C40DD">
            <w:pPr>
              <w:rPr>
                <w:rFonts w:ascii="Arial" w:hAnsi="Arial" w:cs="Arial"/>
                <w:sz w:val="20"/>
              </w:rPr>
            </w:pPr>
            <w:r>
              <w:rPr>
                <w:rFonts w:ascii="Arial" w:hAnsi="Arial" w:cs="Arial"/>
                <w:sz w:val="20"/>
              </w:rPr>
              <w:t>13/01/2026</w:t>
            </w:r>
          </w:p>
        </w:tc>
        <w:tc>
          <w:tcPr>
            <w:tcW w:w="1983" w:type="dxa"/>
          </w:tcPr>
          <w:p w14:paraId="69BA7918" w14:textId="287C4C75" w:rsidR="001C40DD" w:rsidRPr="00286400" w:rsidRDefault="006007DD" w:rsidP="001C40DD">
            <w:pPr>
              <w:rPr>
                <w:rFonts w:ascii="Arial" w:hAnsi="Arial" w:cs="Arial"/>
                <w:sz w:val="20"/>
              </w:rPr>
            </w:pPr>
            <w:r>
              <w:rPr>
                <w:rFonts w:ascii="Arial" w:hAnsi="Arial" w:cs="Arial"/>
                <w:sz w:val="20"/>
              </w:rPr>
              <w:t>13/01/2026</w:t>
            </w:r>
          </w:p>
        </w:tc>
      </w:tr>
    </w:tbl>
    <w:p w14:paraId="59550D22" w14:textId="77777777" w:rsidR="00A42036" w:rsidRPr="00A42036" w:rsidRDefault="00A42036" w:rsidP="00A42036">
      <w:pPr>
        <w:rPr>
          <w:rFonts w:ascii="Arial" w:hAnsi="Arial" w:cs="Arial"/>
          <w:sz w:val="20"/>
        </w:rPr>
      </w:pPr>
    </w:p>
    <w:p w14:paraId="2EE5BE39" w14:textId="77777777" w:rsidR="00BA0103" w:rsidRPr="00A42036" w:rsidRDefault="00BA0103" w:rsidP="00BA0103">
      <w:pPr>
        <w:rPr>
          <w:rFonts w:ascii="Arial" w:hAnsi="Arial" w:cs="Arial"/>
        </w:rPr>
      </w:pPr>
      <w:r w:rsidRPr="00A42036">
        <w:rPr>
          <w:rFonts w:ascii="Arial" w:hAnsi="Arial" w:cs="Arial"/>
        </w:rPr>
        <w:t xml:space="preserve">This report is published on the </w:t>
      </w:r>
      <w:r>
        <w:rPr>
          <w:rFonts w:ascii="Arial" w:hAnsi="Arial" w:cs="Arial"/>
        </w:rPr>
        <w:t xml:space="preserve">Schools Forum Section of the </w:t>
      </w:r>
      <w:r w:rsidRPr="00A42036">
        <w:rPr>
          <w:rFonts w:ascii="Arial" w:hAnsi="Arial" w:cs="Arial"/>
        </w:rPr>
        <w:t>council's website:</w:t>
      </w:r>
    </w:p>
    <w:p w14:paraId="4FF73393" w14:textId="61FE956A" w:rsidR="00001B13" w:rsidRPr="006007DD" w:rsidRDefault="006007DD" w:rsidP="00D96564">
      <w:pPr>
        <w:rPr>
          <w:rFonts w:ascii="Arial" w:hAnsi="Arial" w:cs="Arial"/>
        </w:rPr>
      </w:pPr>
      <w:hyperlink r:id="rId9" w:history="1">
        <w:r w:rsidRPr="006007DD">
          <w:rPr>
            <w:rStyle w:val="Hyperlink"/>
            <w:rFonts w:ascii="Arial" w:hAnsi="Arial" w:cs="Arial"/>
          </w:rPr>
          <w:t>https://www.coventry.gov.uk/schools-schooling/schools-forum</w:t>
        </w:r>
      </w:hyperlink>
    </w:p>
    <w:sectPr w:rsidR="00001B13" w:rsidRPr="006007DD" w:rsidSect="001F4DA3">
      <w:pgSz w:w="11906" w:h="16838"/>
      <w:pgMar w:top="993"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8E9E4" w14:textId="77777777" w:rsidR="004546BA" w:rsidRDefault="004546BA" w:rsidP="00E960B1">
      <w:pPr>
        <w:spacing w:after="0" w:line="240" w:lineRule="auto"/>
      </w:pPr>
      <w:r>
        <w:separator/>
      </w:r>
    </w:p>
  </w:endnote>
  <w:endnote w:type="continuationSeparator" w:id="0">
    <w:p w14:paraId="2EDDA42C" w14:textId="77777777" w:rsidR="004546BA" w:rsidRDefault="004546BA" w:rsidP="00E96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ventry Logo">
    <w:panose1 w:val="000004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ventry City Council Logo">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26F0F" w14:textId="77777777" w:rsidR="004546BA" w:rsidRDefault="004546BA" w:rsidP="00E960B1">
      <w:pPr>
        <w:spacing w:after="0" w:line="240" w:lineRule="auto"/>
      </w:pPr>
      <w:r>
        <w:separator/>
      </w:r>
    </w:p>
  </w:footnote>
  <w:footnote w:type="continuationSeparator" w:id="0">
    <w:p w14:paraId="1377CF9B" w14:textId="77777777" w:rsidR="004546BA" w:rsidRDefault="004546BA" w:rsidP="00E960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752247C"/>
    <w:lvl w:ilvl="0">
      <w:numFmt w:val="decimal"/>
      <w:pStyle w:val="Style4"/>
      <w:lvlText w:val="*"/>
      <w:lvlJc w:val="left"/>
    </w:lvl>
  </w:abstractNum>
  <w:abstractNum w:abstractNumId="1" w15:restartNumberingAfterBreak="0">
    <w:nsid w:val="03AD274F"/>
    <w:multiLevelType w:val="multilevel"/>
    <w:tmpl w:val="B3DA503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BA7827"/>
    <w:multiLevelType w:val="hybridMultilevel"/>
    <w:tmpl w:val="E1C24A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362C98"/>
    <w:multiLevelType w:val="hybridMultilevel"/>
    <w:tmpl w:val="FAA8BB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5A6AC9"/>
    <w:multiLevelType w:val="hybridMultilevel"/>
    <w:tmpl w:val="6F1E6C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0D6806"/>
    <w:multiLevelType w:val="multilevel"/>
    <w:tmpl w:val="407EA60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rPr>
        <w:b w:val="0"/>
        <w:i w:val="0"/>
      </w:rPr>
    </w:lvl>
    <w:lvl w:ilvl="2">
      <w:start w:val="1"/>
      <w:numFmt w:val="decimal"/>
      <w:lvlText w:val="%1.%2.%3"/>
      <w:lvlJc w:val="left"/>
      <w:pPr>
        <w:tabs>
          <w:tab w:val="num" w:pos="567"/>
        </w:tabs>
        <w:ind w:left="567" w:hanging="567"/>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1DEF10F2"/>
    <w:multiLevelType w:val="multilevel"/>
    <w:tmpl w:val="8E5A972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ECB7B69"/>
    <w:multiLevelType w:val="hybridMultilevel"/>
    <w:tmpl w:val="2E969E7C"/>
    <w:lvl w:ilvl="0" w:tplc="0809000F">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15:restartNumberingAfterBreak="0">
    <w:nsid w:val="21334D43"/>
    <w:multiLevelType w:val="hybridMultilevel"/>
    <w:tmpl w:val="B06A5C3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BD576C"/>
    <w:multiLevelType w:val="hybridMultilevel"/>
    <w:tmpl w:val="1C60D34E"/>
    <w:lvl w:ilvl="0" w:tplc="E528DBB4">
      <w:start w:val="1"/>
      <w:numFmt w:val="bullet"/>
      <w:lvlText w:val="–"/>
      <w:lvlJc w:val="left"/>
      <w:pPr>
        <w:tabs>
          <w:tab w:val="num" w:pos="720"/>
        </w:tabs>
        <w:ind w:left="720" w:hanging="360"/>
      </w:pPr>
      <w:rPr>
        <w:rFonts w:ascii="Times New Roman" w:hAnsi="Times New Roman" w:hint="default"/>
      </w:rPr>
    </w:lvl>
    <w:lvl w:ilvl="1" w:tplc="09C879B4">
      <w:start w:val="1"/>
      <w:numFmt w:val="bullet"/>
      <w:lvlText w:val="–"/>
      <w:lvlJc w:val="left"/>
      <w:pPr>
        <w:tabs>
          <w:tab w:val="num" w:pos="1440"/>
        </w:tabs>
        <w:ind w:left="1440" w:hanging="360"/>
      </w:pPr>
      <w:rPr>
        <w:rFonts w:ascii="Times New Roman" w:hAnsi="Times New Roman" w:hint="default"/>
      </w:rPr>
    </w:lvl>
    <w:lvl w:ilvl="2" w:tplc="7600513A" w:tentative="1">
      <w:start w:val="1"/>
      <w:numFmt w:val="bullet"/>
      <w:lvlText w:val="–"/>
      <w:lvlJc w:val="left"/>
      <w:pPr>
        <w:tabs>
          <w:tab w:val="num" w:pos="2160"/>
        </w:tabs>
        <w:ind w:left="2160" w:hanging="360"/>
      </w:pPr>
      <w:rPr>
        <w:rFonts w:ascii="Times New Roman" w:hAnsi="Times New Roman" w:hint="default"/>
      </w:rPr>
    </w:lvl>
    <w:lvl w:ilvl="3" w:tplc="A50068DC" w:tentative="1">
      <w:start w:val="1"/>
      <w:numFmt w:val="bullet"/>
      <w:lvlText w:val="–"/>
      <w:lvlJc w:val="left"/>
      <w:pPr>
        <w:tabs>
          <w:tab w:val="num" w:pos="2880"/>
        </w:tabs>
        <w:ind w:left="2880" w:hanging="360"/>
      </w:pPr>
      <w:rPr>
        <w:rFonts w:ascii="Times New Roman" w:hAnsi="Times New Roman" w:hint="default"/>
      </w:rPr>
    </w:lvl>
    <w:lvl w:ilvl="4" w:tplc="3814ADEA" w:tentative="1">
      <w:start w:val="1"/>
      <w:numFmt w:val="bullet"/>
      <w:lvlText w:val="–"/>
      <w:lvlJc w:val="left"/>
      <w:pPr>
        <w:tabs>
          <w:tab w:val="num" w:pos="3600"/>
        </w:tabs>
        <w:ind w:left="3600" w:hanging="360"/>
      </w:pPr>
      <w:rPr>
        <w:rFonts w:ascii="Times New Roman" w:hAnsi="Times New Roman" w:hint="default"/>
      </w:rPr>
    </w:lvl>
    <w:lvl w:ilvl="5" w:tplc="7D56BD58" w:tentative="1">
      <w:start w:val="1"/>
      <w:numFmt w:val="bullet"/>
      <w:lvlText w:val="–"/>
      <w:lvlJc w:val="left"/>
      <w:pPr>
        <w:tabs>
          <w:tab w:val="num" w:pos="4320"/>
        </w:tabs>
        <w:ind w:left="4320" w:hanging="360"/>
      </w:pPr>
      <w:rPr>
        <w:rFonts w:ascii="Times New Roman" w:hAnsi="Times New Roman" w:hint="default"/>
      </w:rPr>
    </w:lvl>
    <w:lvl w:ilvl="6" w:tplc="77488BF4" w:tentative="1">
      <w:start w:val="1"/>
      <w:numFmt w:val="bullet"/>
      <w:lvlText w:val="–"/>
      <w:lvlJc w:val="left"/>
      <w:pPr>
        <w:tabs>
          <w:tab w:val="num" w:pos="5040"/>
        </w:tabs>
        <w:ind w:left="5040" w:hanging="360"/>
      </w:pPr>
      <w:rPr>
        <w:rFonts w:ascii="Times New Roman" w:hAnsi="Times New Roman" w:hint="default"/>
      </w:rPr>
    </w:lvl>
    <w:lvl w:ilvl="7" w:tplc="88905CEA" w:tentative="1">
      <w:start w:val="1"/>
      <w:numFmt w:val="bullet"/>
      <w:lvlText w:val="–"/>
      <w:lvlJc w:val="left"/>
      <w:pPr>
        <w:tabs>
          <w:tab w:val="num" w:pos="5760"/>
        </w:tabs>
        <w:ind w:left="5760" w:hanging="360"/>
      </w:pPr>
      <w:rPr>
        <w:rFonts w:ascii="Times New Roman" w:hAnsi="Times New Roman" w:hint="default"/>
      </w:rPr>
    </w:lvl>
    <w:lvl w:ilvl="8" w:tplc="0706BF1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EBB723E"/>
    <w:multiLevelType w:val="hybridMultilevel"/>
    <w:tmpl w:val="25EA0B6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FDA76B8"/>
    <w:multiLevelType w:val="hybridMultilevel"/>
    <w:tmpl w:val="8702F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712938"/>
    <w:multiLevelType w:val="hybridMultilevel"/>
    <w:tmpl w:val="846EF64A"/>
    <w:lvl w:ilvl="0" w:tplc="2B781B9E">
      <w:start w:val="1"/>
      <w:numFmt w:val="bullet"/>
      <w:lvlText w:val=""/>
      <w:lvlJc w:val="left"/>
      <w:pPr>
        <w:ind w:left="1295" w:hanging="360"/>
      </w:pPr>
      <w:rPr>
        <w:rFonts w:ascii="Symbol" w:hAnsi="Symbol" w:hint="default"/>
      </w:rPr>
    </w:lvl>
    <w:lvl w:ilvl="1" w:tplc="08090003">
      <w:start w:val="1"/>
      <w:numFmt w:val="bullet"/>
      <w:lvlText w:val="o"/>
      <w:lvlJc w:val="left"/>
      <w:pPr>
        <w:ind w:left="2015" w:hanging="360"/>
      </w:pPr>
      <w:rPr>
        <w:rFonts w:ascii="Courier New" w:hAnsi="Courier New" w:cs="Courier New" w:hint="default"/>
      </w:rPr>
    </w:lvl>
    <w:lvl w:ilvl="2" w:tplc="08090005" w:tentative="1">
      <w:start w:val="1"/>
      <w:numFmt w:val="bullet"/>
      <w:lvlText w:val=""/>
      <w:lvlJc w:val="left"/>
      <w:pPr>
        <w:ind w:left="2735" w:hanging="360"/>
      </w:pPr>
      <w:rPr>
        <w:rFonts w:ascii="Wingdings" w:hAnsi="Wingdings" w:hint="default"/>
      </w:rPr>
    </w:lvl>
    <w:lvl w:ilvl="3" w:tplc="08090001" w:tentative="1">
      <w:start w:val="1"/>
      <w:numFmt w:val="bullet"/>
      <w:lvlText w:val=""/>
      <w:lvlJc w:val="left"/>
      <w:pPr>
        <w:ind w:left="3455" w:hanging="360"/>
      </w:pPr>
      <w:rPr>
        <w:rFonts w:ascii="Symbol" w:hAnsi="Symbol" w:hint="default"/>
      </w:rPr>
    </w:lvl>
    <w:lvl w:ilvl="4" w:tplc="08090003" w:tentative="1">
      <w:start w:val="1"/>
      <w:numFmt w:val="bullet"/>
      <w:lvlText w:val="o"/>
      <w:lvlJc w:val="left"/>
      <w:pPr>
        <w:ind w:left="4175" w:hanging="360"/>
      </w:pPr>
      <w:rPr>
        <w:rFonts w:ascii="Courier New" w:hAnsi="Courier New" w:cs="Courier New" w:hint="default"/>
      </w:rPr>
    </w:lvl>
    <w:lvl w:ilvl="5" w:tplc="08090005" w:tentative="1">
      <w:start w:val="1"/>
      <w:numFmt w:val="bullet"/>
      <w:lvlText w:val=""/>
      <w:lvlJc w:val="left"/>
      <w:pPr>
        <w:ind w:left="4895" w:hanging="360"/>
      </w:pPr>
      <w:rPr>
        <w:rFonts w:ascii="Wingdings" w:hAnsi="Wingdings" w:hint="default"/>
      </w:rPr>
    </w:lvl>
    <w:lvl w:ilvl="6" w:tplc="08090001" w:tentative="1">
      <w:start w:val="1"/>
      <w:numFmt w:val="bullet"/>
      <w:lvlText w:val=""/>
      <w:lvlJc w:val="left"/>
      <w:pPr>
        <w:ind w:left="5615" w:hanging="360"/>
      </w:pPr>
      <w:rPr>
        <w:rFonts w:ascii="Symbol" w:hAnsi="Symbol" w:hint="default"/>
      </w:rPr>
    </w:lvl>
    <w:lvl w:ilvl="7" w:tplc="08090003" w:tentative="1">
      <w:start w:val="1"/>
      <w:numFmt w:val="bullet"/>
      <w:lvlText w:val="o"/>
      <w:lvlJc w:val="left"/>
      <w:pPr>
        <w:ind w:left="6335" w:hanging="360"/>
      </w:pPr>
      <w:rPr>
        <w:rFonts w:ascii="Courier New" w:hAnsi="Courier New" w:cs="Courier New" w:hint="default"/>
      </w:rPr>
    </w:lvl>
    <w:lvl w:ilvl="8" w:tplc="08090005" w:tentative="1">
      <w:start w:val="1"/>
      <w:numFmt w:val="bullet"/>
      <w:lvlText w:val=""/>
      <w:lvlJc w:val="left"/>
      <w:pPr>
        <w:ind w:left="7055" w:hanging="360"/>
      </w:pPr>
      <w:rPr>
        <w:rFonts w:ascii="Wingdings" w:hAnsi="Wingdings" w:hint="default"/>
      </w:rPr>
    </w:lvl>
  </w:abstractNum>
  <w:abstractNum w:abstractNumId="13" w15:restartNumberingAfterBreak="0">
    <w:nsid w:val="33E46C53"/>
    <w:multiLevelType w:val="hybridMultilevel"/>
    <w:tmpl w:val="6006516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4" w15:restartNumberingAfterBreak="0">
    <w:nsid w:val="367567F8"/>
    <w:multiLevelType w:val="multilevel"/>
    <w:tmpl w:val="EB70BAD0"/>
    <w:lvl w:ilvl="0">
      <w:start w:val="1"/>
      <w:numFmt w:val="decimal"/>
      <w:lvlText w:val="%1"/>
      <w:lvlJc w:val="left"/>
      <w:pPr>
        <w:ind w:left="720" w:hanging="720"/>
      </w:pPr>
      <w:rPr>
        <w:rFonts w:hint="default"/>
      </w:rPr>
    </w:lvl>
    <w:lvl w:ilvl="1">
      <w:start w:val="1"/>
      <w:numFmt w:val="decimal"/>
      <w:pStyle w:val="Style2"/>
      <w:lvlText w:val="%1.%2"/>
      <w:lvlJc w:val="left"/>
      <w:pPr>
        <w:ind w:left="720" w:hanging="720"/>
      </w:pPr>
      <w:rPr>
        <w:rFonts w:hint="default"/>
      </w:rPr>
    </w:lvl>
    <w:lvl w:ilvl="2">
      <w:start w:val="1"/>
      <w:numFmt w:val="decimal"/>
      <w:pStyle w:val="Style3"/>
      <w:lvlText w:val="%1.%2.%3"/>
      <w:lvlJc w:val="left"/>
      <w:pPr>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940CB2"/>
    <w:multiLevelType w:val="hybridMultilevel"/>
    <w:tmpl w:val="99803E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4947B2"/>
    <w:multiLevelType w:val="multilevel"/>
    <w:tmpl w:val="560A129C"/>
    <w:lvl w:ilvl="0">
      <w:start w:val="1"/>
      <w:numFmt w:val="decimal"/>
      <w:pStyle w:val="Heading2"/>
      <w:lvlText w:val="%1."/>
      <w:lvlJc w:val="left"/>
      <w:pPr>
        <w:ind w:left="1080" w:hanging="720"/>
      </w:pPr>
      <w:rPr>
        <w:rFonts w:hint="default"/>
      </w:rPr>
    </w:lvl>
    <w:lvl w:ilvl="1">
      <w:start w:val="1"/>
      <w:numFmt w:val="decimal"/>
      <w:pStyle w:val="Heading3"/>
      <w:isLgl/>
      <w:lvlText w:val="%1.%2"/>
      <w:lvlJc w:val="left"/>
      <w:pPr>
        <w:ind w:left="1080" w:hanging="720"/>
      </w:pPr>
      <w:rPr>
        <w:rFonts w:hint="default"/>
      </w:rPr>
    </w:lvl>
    <w:lvl w:ilvl="2">
      <w:start w:val="1"/>
      <w:numFmt w:val="decimal"/>
      <w:pStyle w:val="Heading4"/>
      <w:isLgl/>
      <w:lvlText w:val="%1.%2.%3"/>
      <w:lvlJc w:val="left"/>
      <w:pPr>
        <w:ind w:left="1080" w:hanging="513"/>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E72056E"/>
    <w:multiLevelType w:val="hybridMultilevel"/>
    <w:tmpl w:val="0096E0D2"/>
    <w:lvl w:ilvl="0" w:tplc="64020638">
      <w:start w:val="1"/>
      <w:numFmt w:val="bullet"/>
      <w:lvlText w:val="–"/>
      <w:lvlJc w:val="left"/>
      <w:pPr>
        <w:tabs>
          <w:tab w:val="num" w:pos="720"/>
        </w:tabs>
        <w:ind w:left="720" w:hanging="360"/>
      </w:pPr>
      <w:rPr>
        <w:rFonts w:ascii="Times New Roman" w:hAnsi="Times New Roman" w:hint="default"/>
      </w:rPr>
    </w:lvl>
    <w:lvl w:ilvl="1" w:tplc="F246ECDE">
      <w:start w:val="1"/>
      <w:numFmt w:val="bullet"/>
      <w:lvlText w:val="–"/>
      <w:lvlJc w:val="left"/>
      <w:pPr>
        <w:tabs>
          <w:tab w:val="num" w:pos="1440"/>
        </w:tabs>
        <w:ind w:left="1440" w:hanging="360"/>
      </w:pPr>
      <w:rPr>
        <w:rFonts w:ascii="Times New Roman" w:hAnsi="Times New Roman" w:hint="default"/>
      </w:rPr>
    </w:lvl>
    <w:lvl w:ilvl="2" w:tplc="BB041E0E" w:tentative="1">
      <w:start w:val="1"/>
      <w:numFmt w:val="bullet"/>
      <w:lvlText w:val="–"/>
      <w:lvlJc w:val="left"/>
      <w:pPr>
        <w:tabs>
          <w:tab w:val="num" w:pos="2160"/>
        </w:tabs>
        <w:ind w:left="2160" w:hanging="360"/>
      </w:pPr>
      <w:rPr>
        <w:rFonts w:ascii="Times New Roman" w:hAnsi="Times New Roman" w:hint="default"/>
      </w:rPr>
    </w:lvl>
    <w:lvl w:ilvl="3" w:tplc="644C2632" w:tentative="1">
      <w:start w:val="1"/>
      <w:numFmt w:val="bullet"/>
      <w:lvlText w:val="–"/>
      <w:lvlJc w:val="left"/>
      <w:pPr>
        <w:tabs>
          <w:tab w:val="num" w:pos="2880"/>
        </w:tabs>
        <w:ind w:left="2880" w:hanging="360"/>
      </w:pPr>
      <w:rPr>
        <w:rFonts w:ascii="Times New Roman" w:hAnsi="Times New Roman" w:hint="default"/>
      </w:rPr>
    </w:lvl>
    <w:lvl w:ilvl="4" w:tplc="CC520F06" w:tentative="1">
      <w:start w:val="1"/>
      <w:numFmt w:val="bullet"/>
      <w:lvlText w:val="–"/>
      <w:lvlJc w:val="left"/>
      <w:pPr>
        <w:tabs>
          <w:tab w:val="num" w:pos="3600"/>
        </w:tabs>
        <w:ind w:left="3600" w:hanging="360"/>
      </w:pPr>
      <w:rPr>
        <w:rFonts w:ascii="Times New Roman" w:hAnsi="Times New Roman" w:hint="default"/>
      </w:rPr>
    </w:lvl>
    <w:lvl w:ilvl="5" w:tplc="B0E6F314" w:tentative="1">
      <w:start w:val="1"/>
      <w:numFmt w:val="bullet"/>
      <w:lvlText w:val="–"/>
      <w:lvlJc w:val="left"/>
      <w:pPr>
        <w:tabs>
          <w:tab w:val="num" w:pos="4320"/>
        </w:tabs>
        <w:ind w:left="4320" w:hanging="360"/>
      </w:pPr>
      <w:rPr>
        <w:rFonts w:ascii="Times New Roman" w:hAnsi="Times New Roman" w:hint="default"/>
      </w:rPr>
    </w:lvl>
    <w:lvl w:ilvl="6" w:tplc="F7BEF490" w:tentative="1">
      <w:start w:val="1"/>
      <w:numFmt w:val="bullet"/>
      <w:lvlText w:val="–"/>
      <w:lvlJc w:val="left"/>
      <w:pPr>
        <w:tabs>
          <w:tab w:val="num" w:pos="5040"/>
        </w:tabs>
        <w:ind w:left="5040" w:hanging="360"/>
      </w:pPr>
      <w:rPr>
        <w:rFonts w:ascii="Times New Roman" w:hAnsi="Times New Roman" w:hint="default"/>
      </w:rPr>
    </w:lvl>
    <w:lvl w:ilvl="7" w:tplc="CAF0FA48" w:tentative="1">
      <w:start w:val="1"/>
      <w:numFmt w:val="bullet"/>
      <w:lvlText w:val="–"/>
      <w:lvlJc w:val="left"/>
      <w:pPr>
        <w:tabs>
          <w:tab w:val="num" w:pos="5760"/>
        </w:tabs>
        <w:ind w:left="5760" w:hanging="360"/>
      </w:pPr>
      <w:rPr>
        <w:rFonts w:ascii="Times New Roman" w:hAnsi="Times New Roman" w:hint="default"/>
      </w:rPr>
    </w:lvl>
    <w:lvl w:ilvl="8" w:tplc="31ACECEA"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9EF3D04"/>
    <w:multiLevelType w:val="hybridMultilevel"/>
    <w:tmpl w:val="64B4AA38"/>
    <w:lvl w:ilvl="0" w:tplc="038096B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F97EA2"/>
    <w:multiLevelType w:val="hybridMultilevel"/>
    <w:tmpl w:val="63180788"/>
    <w:lvl w:ilvl="0" w:tplc="493E4A46">
      <w:start w:val="1"/>
      <w:numFmt w:val="bullet"/>
      <w:pStyle w:val="Heading5"/>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2A0104"/>
    <w:multiLevelType w:val="hybridMultilevel"/>
    <w:tmpl w:val="30DAA470"/>
    <w:lvl w:ilvl="0" w:tplc="D47C266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A22FAD"/>
    <w:multiLevelType w:val="multilevel"/>
    <w:tmpl w:val="B3DA503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39308862">
    <w:abstractNumId w:val="8"/>
  </w:num>
  <w:num w:numId="2" w16cid:durableId="1497184934">
    <w:abstractNumId w:val="7"/>
  </w:num>
  <w:num w:numId="3" w16cid:durableId="198860136">
    <w:abstractNumId w:val="19"/>
  </w:num>
  <w:num w:numId="4" w16cid:durableId="344987959">
    <w:abstractNumId w:val="15"/>
  </w:num>
  <w:num w:numId="5" w16cid:durableId="563297087">
    <w:abstractNumId w:val="6"/>
  </w:num>
  <w:num w:numId="6" w16cid:durableId="36783622">
    <w:abstractNumId w:val="10"/>
  </w:num>
  <w:num w:numId="7" w16cid:durableId="1354914335">
    <w:abstractNumId w:val="3"/>
  </w:num>
  <w:num w:numId="8" w16cid:durableId="610744729">
    <w:abstractNumId w:val="21"/>
  </w:num>
  <w:num w:numId="9" w16cid:durableId="899631987">
    <w:abstractNumId w:val="1"/>
  </w:num>
  <w:num w:numId="10" w16cid:durableId="823543057">
    <w:abstractNumId w:val="16"/>
  </w:num>
  <w:num w:numId="11" w16cid:durableId="889803094">
    <w:abstractNumId w:val="4"/>
  </w:num>
  <w:num w:numId="12" w16cid:durableId="2012562854">
    <w:abstractNumId w:val="20"/>
  </w:num>
  <w:num w:numId="13" w16cid:durableId="1103574682">
    <w:abstractNumId w:val="18"/>
  </w:num>
  <w:num w:numId="14" w16cid:durableId="1722434447">
    <w:abstractNumId w:val="11"/>
  </w:num>
  <w:num w:numId="15" w16cid:durableId="2127773827">
    <w:abstractNumId w:val="12"/>
  </w:num>
  <w:num w:numId="16" w16cid:durableId="2062287642">
    <w:abstractNumId w:val="5"/>
  </w:num>
  <w:num w:numId="17" w16cid:durableId="277569902">
    <w:abstractNumId w:val="2"/>
  </w:num>
  <w:num w:numId="18" w16cid:durableId="452528240">
    <w:abstractNumId w:val="13"/>
  </w:num>
  <w:num w:numId="19" w16cid:durableId="726420470">
    <w:abstractNumId w:val="9"/>
  </w:num>
  <w:num w:numId="20" w16cid:durableId="1731419443">
    <w:abstractNumId w:val="17"/>
  </w:num>
  <w:num w:numId="21" w16cid:durableId="850679453">
    <w:abstractNumId w:val="14"/>
  </w:num>
  <w:num w:numId="22" w16cid:durableId="426577225">
    <w:abstractNumId w:val="0"/>
    <w:lvlOverride w:ilvl="0">
      <w:lvl w:ilvl="0">
        <w:start w:val="1"/>
        <w:numFmt w:val="bullet"/>
        <w:pStyle w:val="Style4"/>
        <w:lvlText w:val=""/>
        <w:legacy w:legacy="1" w:legacySpace="0" w:legacyIndent="283"/>
        <w:lvlJc w:val="left"/>
        <w:pPr>
          <w:ind w:left="172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814"/>
    <w:rsid w:val="00001B13"/>
    <w:rsid w:val="00013814"/>
    <w:rsid w:val="00027721"/>
    <w:rsid w:val="000839E0"/>
    <w:rsid w:val="00096CC7"/>
    <w:rsid w:val="000B38EA"/>
    <w:rsid w:val="000B6BF3"/>
    <w:rsid w:val="00100AF3"/>
    <w:rsid w:val="00106250"/>
    <w:rsid w:val="001106D5"/>
    <w:rsid w:val="00116693"/>
    <w:rsid w:val="00125872"/>
    <w:rsid w:val="001369B1"/>
    <w:rsid w:val="00145AC6"/>
    <w:rsid w:val="00154083"/>
    <w:rsid w:val="0015525D"/>
    <w:rsid w:val="00165166"/>
    <w:rsid w:val="001705EA"/>
    <w:rsid w:val="0017153F"/>
    <w:rsid w:val="0018664A"/>
    <w:rsid w:val="001A52A8"/>
    <w:rsid w:val="001A594E"/>
    <w:rsid w:val="001C40DD"/>
    <w:rsid w:val="001D27BB"/>
    <w:rsid w:val="001D56ED"/>
    <w:rsid w:val="001E015D"/>
    <w:rsid w:val="001E1515"/>
    <w:rsid w:val="001E157C"/>
    <w:rsid w:val="001E58BE"/>
    <w:rsid w:val="001E5ADF"/>
    <w:rsid w:val="001F4513"/>
    <w:rsid w:val="001F4DA3"/>
    <w:rsid w:val="001F602F"/>
    <w:rsid w:val="00202996"/>
    <w:rsid w:val="00206F0F"/>
    <w:rsid w:val="00216C27"/>
    <w:rsid w:val="00220FE1"/>
    <w:rsid w:val="00246BDD"/>
    <w:rsid w:val="00255911"/>
    <w:rsid w:val="00285692"/>
    <w:rsid w:val="00286400"/>
    <w:rsid w:val="00296783"/>
    <w:rsid w:val="00296C54"/>
    <w:rsid w:val="002A1295"/>
    <w:rsid w:val="002A3FCD"/>
    <w:rsid w:val="002B1298"/>
    <w:rsid w:val="002C5D05"/>
    <w:rsid w:val="002D7315"/>
    <w:rsid w:val="002F5231"/>
    <w:rsid w:val="002F5398"/>
    <w:rsid w:val="00304ED8"/>
    <w:rsid w:val="00330A01"/>
    <w:rsid w:val="003454FD"/>
    <w:rsid w:val="003476A4"/>
    <w:rsid w:val="003614F8"/>
    <w:rsid w:val="003653ED"/>
    <w:rsid w:val="00377BE6"/>
    <w:rsid w:val="00390C79"/>
    <w:rsid w:val="00397A82"/>
    <w:rsid w:val="003A057D"/>
    <w:rsid w:val="003B740E"/>
    <w:rsid w:val="003C38FE"/>
    <w:rsid w:val="003D052F"/>
    <w:rsid w:val="003D2430"/>
    <w:rsid w:val="003F3DDB"/>
    <w:rsid w:val="00400228"/>
    <w:rsid w:val="00416F96"/>
    <w:rsid w:val="004178A6"/>
    <w:rsid w:val="00423C82"/>
    <w:rsid w:val="00440EE9"/>
    <w:rsid w:val="004410AC"/>
    <w:rsid w:val="004546BA"/>
    <w:rsid w:val="0047003D"/>
    <w:rsid w:val="00485AE2"/>
    <w:rsid w:val="004A79B7"/>
    <w:rsid w:val="004B162A"/>
    <w:rsid w:val="004B276C"/>
    <w:rsid w:val="00502377"/>
    <w:rsid w:val="00520500"/>
    <w:rsid w:val="005221A4"/>
    <w:rsid w:val="00531A79"/>
    <w:rsid w:val="005335D9"/>
    <w:rsid w:val="00563CCE"/>
    <w:rsid w:val="0056684D"/>
    <w:rsid w:val="0057680E"/>
    <w:rsid w:val="00586DEF"/>
    <w:rsid w:val="005A5106"/>
    <w:rsid w:val="005A5BA7"/>
    <w:rsid w:val="005B11E0"/>
    <w:rsid w:val="005C67A1"/>
    <w:rsid w:val="006007DD"/>
    <w:rsid w:val="00600A2B"/>
    <w:rsid w:val="00602A38"/>
    <w:rsid w:val="006125FD"/>
    <w:rsid w:val="00612C1B"/>
    <w:rsid w:val="00631E41"/>
    <w:rsid w:val="0063565B"/>
    <w:rsid w:val="00636219"/>
    <w:rsid w:val="00645CFE"/>
    <w:rsid w:val="00654FC5"/>
    <w:rsid w:val="00657DF9"/>
    <w:rsid w:val="00662C9A"/>
    <w:rsid w:val="00692F6F"/>
    <w:rsid w:val="006A5939"/>
    <w:rsid w:val="006C3602"/>
    <w:rsid w:val="006C4454"/>
    <w:rsid w:val="00724C8D"/>
    <w:rsid w:val="00754EE2"/>
    <w:rsid w:val="00756FA9"/>
    <w:rsid w:val="0079286F"/>
    <w:rsid w:val="007A167A"/>
    <w:rsid w:val="007B1FCA"/>
    <w:rsid w:val="007B3E86"/>
    <w:rsid w:val="007C0BCE"/>
    <w:rsid w:val="007C7493"/>
    <w:rsid w:val="007C7A1F"/>
    <w:rsid w:val="007D1544"/>
    <w:rsid w:val="007D1BF1"/>
    <w:rsid w:val="007E04C5"/>
    <w:rsid w:val="008101D7"/>
    <w:rsid w:val="0081663B"/>
    <w:rsid w:val="008366A7"/>
    <w:rsid w:val="00841BF7"/>
    <w:rsid w:val="00845878"/>
    <w:rsid w:val="00846633"/>
    <w:rsid w:val="00857333"/>
    <w:rsid w:val="00862A1F"/>
    <w:rsid w:val="00862C3A"/>
    <w:rsid w:val="008816A1"/>
    <w:rsid w:val="008869EC"/>
    <w:rsid w:val="008C7A02"/>
    <w:rsid w:val="008D0C52"/>
    <w:rsid w:val="008D5158"/>
    <w:rsid w:val="008E37EC"/>
    <w:rsid w:val="008E5849"/>
    <w:rsid w:val="008E77EB"/>
    <w:rsid w:val="008F2164"/>
    <w:rsid w:val="00902048"/>
    <w:rsid w:val="00917B1A"/>
    <w:rsid w:val="009375C6"/>
    <w:rsid w:val="00941914"/>
    <w:rsid w:val="00953DF5"/>
    <w:rsid w:val="00962005"/>
    <w:rsid w:val="009938E5"/>
    <w:rsid w:val="009B209F"/>
    <w:rsid w:val="009C2934"/>
    <w:rsid w:val="009C7295"/>
    <w:rsid w:val="009D314E"/>
    <w:rsid w:val="009E5FC0"/>
    <w:rsid w:val="009F5346"/>
    <w:rsid w:val="009F7F64"/>
    <w:rsid w:val="00A17C07"/>
    <w:rsid w:val="00A26D14"/>
    <w:rsid w:val="00A42036"/>
    <w:rsid w:val="00A561F3"/>
    <w:rsid w:val="00A75766"/>
    <w:rsid w:val="00A77597"/>
    <w:rsid w:val="00A81517"/>
    <w:rsid w:val="00A83CA5"/>
    <w:rsid w:val="00A920E7"/>
    <w:rsid w:val="00AA2C63"/>
    <w:rsid w:val="00AA2DAB"/>
    <w:rsid w:val="00AB12A3"/>
    <w:rsid w:val="00AC1D3F"/>
    <w:rsid w:val="00AD04F6"/>
    <w:rsid w:val="00AE3F7E"/>
    <w:rsid w:val="00B12D43"/>
    <w:rsid w:val="00B13ABF"/>
    <w:rsid w:val="00B37FCC"/>
    <w:rsid w:val="00B73CEB"/>
    <w:rsid w:val="00BA0103"/>
    <w:rsid w:val="00BA1AED"/>
    <w:rsid w:val="00BA2190"/>
    <w:rsid w:val="00BD240D"/>
    <w:rsid w:val="00BD7723"/>
    <w:rsid w:val="00BE010E"/>
    <w:rsid w:val="00BE3380"/>
    <w:rsid w:val="00BE49EF"/>
    <w:rsid w:val="00BF0C5F"/>
    <w:rsid w:val="00C03052"/>
    <w:rsid w:val="00C12A36"/>
    <w:rsid w:val="00C16B2E"/>
    <w:rsid w:val="00C27772"/>
    <w:rsid w:val="00C4531B"/>
    <w:rsid w:val="00C62DB5"/>
    <w:rsid w:val="00C6529D"/>
    <w:rsid w:val="00C8375D"/>
    <w:rsid w:val="00C97E48"/>
    <w:rsid w:val="00CA5805"/>
    <w:rsid w:val="00CB0594"/>
    <w:rsid w:val="00CC1BDE"/>
    <w:rsid w:val="00CC3E1A"/>
    <w:rsid w:val="00CD07D4"/>
    <w:rsid w:val="00CE182F"/>
    <w:rsid w:val="00D128B4"/>
    <w:rsid w:val="00D20240"/>
    <w:rsid w:val="00D35B07"/>
    <w:rsid w:val="00D40B41"/>
    <w:rsid w:val="00D529D6"/>
    <w:rsid w:val="00D63B3B"/>
    <w:rsid w:val="00D77DC9"/>
    <w:rsid w:val="00D96564"/>
    <w:rsid w:val="00DA307C"/>
    <w:rsid w:val="00DA6FD2"/>
    <w:rsid w:val="00DC2B7C"/>
    <w:rsid w:val="00DF1A66"/>
    <w:rsid w:val="00DF79AF"/>
    <w:rsid w:val="00E00709"/>
    <w:rsid w:val="00E06E50"/>
    <w:rsid w:val="00E11A7D"/>
    <w:rsid w:val="00E20A34"/>
    <w:rsid w:val="00E47B47"/>
    <w:rsid w:val="00E666EA"/>
    <w:rsid w:val="00E960B1"/>
    <w:rsid w:val="00EA0F0B"/>
    <w:rsid w:val="00EA5E93"/>
    <w:rsid w:val="00EB6D75"/>
    <w:rsid w:val="00EC0278"/>
    <w:rsid w:val="00EC232D"/>
    <w:rsid w:val="00EE1583"/>
    <w:rsid w:val="00EE6415"/>
    <w:rsid w:val="00F050BD"/>
    <w:rsid w:val="00F10CF2"/>
    <w:rsid w:val="00F21F0B"/>
    <w:rsid w:val="00F37CDB"/>
    <w:rsid w:val="00F61269"/>
    <w:rsid w:val="00F62F39"/>
    <w:rsid w:val="00F666E7"/>
    <w:rsid w:val="00F74901"/>
    <w:rsid w:val="00F82DB1"/>
    <w:rsid w:val="00F9329F"/>
    <w:rsid w:val="00FB44C8"/>
    <w:rsid w:val="00FB4A8D"/>
    <w:rsid w:val="00FC213A"/>
    <w:rsid w:val="00FD0BB3"/>
    <w:rsid w:val="00FD2B84"/>
    <w:rsid w:val="00FE4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4EA5"/>
  <w15:chartTrackingRefBased/>
  <w15:docId w15:val="{87E4C1E6-193F-4B7C-9F8F-77E2D4E8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BodyText"/>
    <w:link w:val="Heading1Char"/>
    <w:qFormat/>
    <w:rsid w:val="00D63B3B"/>
    <w:pPr>
      <w:tabs>
        <w:tab w:val="num" w:pos="851"/>
      </w:tabs>
      <w:spacing w:before="240" w:after="240" w:line="240" w:lineRule="auto"/>
      <w:ind w:left="851" w:hanging="851"/>
      <w:outlineLvl w:val="0"/>
    </w:pPr>
    <w:rPr>
      <w:rFonts w:ascii="Arial" w:eastAsia="SimSun" w:hAnsi="Arial"/>
      <w:b/>
      <w:szCs w:val="20"/>
    </w:rPr>
  </w:style>
  <w:style w:type="paragraph" w:styleId="Heading2">
    <w:name w:val="heading 2"/>
    <w:basedOn w:val="Normal"/>
    <w:next w:val="Normal"/>
    <w:link w:val="Heading2Char"/>
    <w:unhideWhenUsed/>
    <w:qFormat/>
    <w:rsid w:val="00423C82"/>
    <w:pPr>
      <w:numPr>
        <w:numId w:val="10"/>
      </w:numPr>
      <w:spacing w:before="360"/>
      <w:outlineLvl w:val="1"/>
    </w:pPr>
    <w:rPr>
      <w:rFonts w:ascii="Arial" w:hAnsi="Arial" w:cs="Arial"/>
      <w:b/>
    </w:rPr>
  </w:style>
  <w:style w:type="paragraph" w:styleId="Heading3">
    <w:name w:val="heading 3"/>
    <w:basedOn w:val="Normal"/>
    <w:next w:val="Normal"/>
    <w:link w:val="Heading3Char"/>
    <w:unhideWhenUsed/>
    <w:qFormat/>
    <w:rsid w:val="00A17C07"/>
    <w:pPr>
      <w:numPr>
        <w:ilvl w:val="1"/>
        <w:numId w:val="10"/>
      </w:numPr>
      <w:spacing w:before="200"/>
      <w:jc w:val="both"/>
      <w:outlineLvl w:val="2"/>
    </w:pPr>
    <w:rPr>
      <w:rFonts w:ascii="Arial" w:hAnsi="Arial" w:cs="Arial"/>
    </w:rPr>
  </w:style>
  <w:style w:type="paragraph" w:styleId="Heading4">
    <w:name w:val="heading 4"/>
    <w:basedOn w:val="Heading3"/>
    <w:next w:val="Normal"/>
    <w:link w:val="Heading4Char"/>
    <w:unhideWhenUsed/>
    <w:qFormat/>
    <w:rsid w:val="003476A4"/>
    <w:pPr>
      <w:numPr>
        <w:ilvl w:val="2"/>
      </w:numPr>
      <w:ind w:left="709"/>
      <w:outlineLvl w:val="3"/>
    </w:pPr>
  </w:style>
  <w:style w:type="paragraph" w:styleId="Heading5">
    <w:name w:val="heading 5"/>
    <w:basedOn w:val="Heading4"/>
    <w:next w:val="Normal"/>
    <w:link w:val="Heading5Char"/>
    <w:qFormat/>
    <w:rsid w:val="00AD04F6"/>
    <w:pPr>
      <w:numPr>
        <w:ilvl w:val="0"/>
        <w:numId w:val="3"/>
      </w:numPr>
      <w:ind w:left="1134" w:hanging="357"/>
      <w:contextualSpacing/>
      <w:outlineLvl w:val="4"/>
    </w:pPr>
  </w:style>
  <w:style w:type="paragraph" w:styleId="Heading6">
    <w:name w:val="heading 6"/>
    <w:basedOn w:val="Normal"/>
    <w:next w:val="Normal"/>
    <w:link w:val="Heading6Char"/>
    <w:qFormat/>
    <w:rsid w:val="00D63B3B"/>
    <w:pPr>
      <w:tabs>
        <w:tab w:val="num" w:pos="1152"/>
      </w:tabs>
      <w:spacing w:after="0" w:line="240" w:lineRule="auto"/>
      <w:ind w:left="1152" w:hanging="1152"/>
      <w:outlineLvl w:val="5"/>
    </w:pPr>
    <w:rPr>
      <w:rFonts w:ascii="Arial" w:eastAsia="SimSun" w:hAnsi="Arial"/>
      <w:szCs w:val="20"/>
    </w:rPr>
  </w:style>
  <w:style w:type="paragraph" w:styleId="Heading7">
    <w:name w:val="heading 7"/>
    <w:basedOn w:val="Normal"/>
    <w:next w:val="Normal"/>
    <w:link w:val="Heading7Char"/>
    <w:qFormat/>
    <w:rsid w:val="00D63B3B"/>
    <w:pPr>
      <w:tabs>
        <w:tab w:val="num" w:pos="1296"/>
      </w:tabs>
      <w:spacing w:after="0" w:line="240" w:lineRule="auto"/>
      <w:ind w:left="1296" w:hanging="1296"/>
      <w:outlineLvl w:val="6"/>
    </w:pPr>
    <w:rPr>
      <w:rFonts w:ascii="Arial" w:eastAsia="SimSun" w:hAnsi="Arial"/>
      <w:szCs w:val="20"/>
    </w:rPr>
  </w:style>
  <w:style w:type="paragraph" w:styleId="Heading8">
    <w:name w:val="heading 8"/>
    <w:basedOn w:val="Normal"/>
    <w:next w:val="Normal"/>
    <w:link w:val="Heading8Char"/>
    <w:qFormat/>
    <w:rsid w:val="00D63B3B"/>
    <w:pPr>
      <w:tabs>
        <w:tab w:val="num" w:pos="1440"/>
      </w:tabs>
      <w:spacing w:after="0" w:line="240" w:lineRule="auto"/>
      <w:ind w:left="1440" w:hanging="1440"/>
      <w:outlineLvl w:val="7"/>
    </w:pPr>
    <w:rPr>
      <w:rFonts w:ascii="Arial" w:eastAsia="SimSun" w:hAnsi="Arial"/>
      <w:szCs w:val="20"/>
    </w:rPr>
  </w:style>
  <w:style w:type="paragraph" w:styleId="Heading9">
    <w:name w:val="heading 9"/>
    <w:basedOn w:val="Normal"/>
    <w:next w:val="Normal"/>
    <w:link w:val="Heading9Char"/>
    <w:qFormat/>
    <w:rsid w:val="00D63B3B"/>
    <w:pPr>
      <w:tabs>
        <w:tab w:val="num" w:pos="1584"/>
      </w:tabs>
      <w:spacing w:after="0" w:line="240" w:lineRule="auto"/>
      <w:ind w:left="1584" w:hanging="1584"/>
      <w:outlineLvl w:val="8"/>
    </w:pPr>
    <w:rPr>
      <w:rFonts w:ascii="Arial" w:eastAsia="SimSun"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AD04F6"/>
    <w:rPr>
      <w:rFonts w:ascii="Arial" w:hAnsi="Arial" w:cs="Arial"/>
      <w:sz w:val="22"/>
      <w:szCs w:val="22"/>
      <w:lang w:eastAsia="en-US"/>
    </w:rPr>
  </w:style>
  <w:style w:type="paragraph" w:customStyle="1" w:styleId="Reference">
    <w:name w:val="Reference"/>
    <w:basedOn w:val="Normal"/>
    <w:rsid w:val="00013814"/>
    <w:pPr>
      <w:spacing w:after="0" w:line="280" w:lineRule="exact"/>
    </w:pPr>
    <w:rPr>
      <w:rFonts w:ascii="Arial" w:eastAsia="Times New Roman" w:hAnsi="Arial"/>
      <w:sz w:val="19"/>
      <w:szCs w:val="20"/>
    </w:rPr>
  </w:style>
  <w:style w:type="paragraph" w:customStyle="1" w:styleId="Logo">
    <w:name w:val="Logo"/>
    <w:basedOn w:val="Normal"/>
    <w:rsid w:val="00013814"/>
    <w:pPr>
      <w:spacing w:after="0" w:line="240" w:lineRule="auto"/>
    </w:pPr>
    <w:rPr>
      <w:rFonts w:ascii="Coventry Logo" w:eastAsia="Times New Roman" w:hAnsi="Coventry Logo"/>
      <w:sz w:val="46"/>
      <w:szCs w:val="20"/>
    </w:rPr>
  </w:style>
  <w:style w:type="paragraph" w:customStyle="1" w:styleId="Department">
    <w:name w:val="Department"/>
    <w:basedOn w:val="Normal"/>
    <w:rsid w:val="00013814"/>
    <w:pPr>
      <w:spacing w:after="0" w:line="240" w:lineRule="auto"/>
    </w:pPr>
    <w:rPr>
      <w:rFonts w:ascii="Arial" w:eastAsia="Times New Roman" w:hAnsi="Arial"/>
      <w:b/>
      <w:szCs w:val="20"/>
    </w:rPr>
  </w:style>
  <w:style w:type="character" w:styleId="Hyperlink">
    <w:name w:val="Hyperlink"/>
    <w:uiPriority w:val="99"/>
    <w:rsid w:val="00A42036"/>
    <w:rPr>
      <w:color w:val="0000FF"/>
      <w:u w:val="single"/>
    </w:rPr>
  </w:style>
  <w:style w:type="paragraph" w:styleId="NormalWeb">
    <w:name w:val="Normal (Web)"/>
    <w:basedOn w:val="Normal"/>
    <w:uiPriority w:val="99"/>
    <w:unhideWhenUsed/>
    <w:rsid w:val="00E960B1"/>
    <w:pPr>
      <w:spacing w:before="100" w:beforeAutospacing="1" w:after="100" w:afterAutospacing="1" w:line="240" w:lineRule="auto"/>
    </w:pPr>
    <w:rPr>
      <w:rFonts w:ascii="Times New Roman" w:eastAsia="Times New Roman" w:hAnsi="Times New Roman"/>
      <w:sz w:val="24"/>
      <w:szCs w:val="24"/>
      <w:lang w:eastAsia="en-GB"/>
    </w:rPr>
  </w:style>
  <w:style w:type="character" w:styleId="EndnoteReference">
    <w:name w:val="endnote reference"/>
    <w:uiPriority w:val="99"/>
    <w:semiHidden/>
    <w:unhideWhenUsed/>
    <w:rsid w:val="00E960B1"/>
    <w:rPr>
      <w:vertAlign w:val="superscript"/>
    </w:rPr>
  </w:style>
  <w:style w:type="paragraph" w:styleId="FootnoteText">
    <w:name w:val="footnote text"/>
    <w:basedOn w:val="Normal"/>
    <w:link w:val="FootnoteTextChar"/>
    <w:semiHidden/>
    <w:unhideWhenUsed/>
    <w:rsid w:val="00E960B1"/>
    <w:rPr>
      <w:sz w:val="20"/>
      <w:szCs w:val="20"/>
    </w:rPr>
  </w:style>
  <w:style w:type="character" w:customStyle="1" w:styleId="FootnoteTextChar">
    <w:name w:val="Footnote Text Char"/>
    <w:link w:val="FootnoteText"/>
    <w:semiHidden/>
    <w:rsid w:val="00E960B1"/>
    <w:rPr>
      <w:lang w:eastAsia="en-US"/>
    </w:rPr>
  </w:style>
  <w:style w:type="character" w:styleId="FootnoteReference">
    <w:name w:val="footnote reference"/>
    <w:semiHidden/>
    <w:unhideWhenUsed/>
    <w:rsid w:val="00E960B1"/>
    <w:rPr>
      <w:vertAlign w:val="superscript"/>
    </w:rPr>
  </w:style>
  <w:style w:type="character" w:styleId="FollowedHyperlink">
    <w:name w:val="FollowedHyperlink"/>
    <w:uiPriority w:val="99"/>
    <w:semiHidden/>
    <w:unhideWhenUsed/>
    <w:rsid w:val="00C27772"/>
    <w:rPr>
      <w:color w:val="800080"/>
      <w:u w:val="single"/>
    </w:rPr>
  </w:style>
  <w:style w:type="character" w:styleId="CommentReference">
    <w:name w:val="annotation reference"/>
    <w:uiPriority w:val="99"/>
    <w:semiHidden/>
    <w:unhideWhenUsed/>
    <w:rsid w:val="008F2164"/>
    <w:rPr>
      <w:sz w:val="16"/>
      <w:szCs w:val="16"/>
    </w:rPr>
  </w:style>
  <w:style w:type="paragraph" w:styleId="CommentText">
    <w:name w:val="annotation text"/>
    <w:basedOn w:val="Normal"/>
    <w:link w:val="CommentTextChar"/>
    <w:uiPriority w:val="99"/>
    <w:semiHidden/>
    <w:unhideWhenUsed/>
    <w:rsid w:val="008F2164"/>
    <w:rPr>
      <w:sz w:val="20"/>
      <w:szCs w:val="20"/>
    </w:rPr>
  </w:style>
  <w:style w:type="character" w:customStyle="1" w:styleId="CommentTextChar">
    <w:name w:val="Comment Text Char"/>
    <w:link w:val="CommentText"/>
    <w:uiPriority w:val="99"/>
    <w:semiHidden/>
    <w:rsid w:val="008F2164"/>
    <w:rPr>
      <w:lang w:eastAsia="en-US"/>
    </w:rPr>
  </w:style>
  <w:style w:type="paragraph" w:styleId="CommentSubject">
    <w:name w:val="annotation subject"/>
    <w:basedOn w:val="CommentText"/>
    <w:next w:val="CommentText"/>
    <w:link w:val="CommentSubjectChar"/>
    <w:uiPriority w:val="99"/>
    <w:semiHidden/>
    <w:unhideWhenUsed/>
    <w:rsid w:val="008F2164"/>
    <w:rPr>
      <w:b/>
      <w:bCs/>
    </w:rPr>
  </w:style>
  <w:style w:type="character" w:customStyle="1" w:styleId="CommentSubjectChar">
    <w:name w:val="Comment Subject Char"/>
    <w:link w:val="CommentSubject"/>
    <w:uiPriority w:val="99"/>
    <w:semiHidden/>
    <w:rsid w:val="008F2164"/>
    <w:rPr>
      <w:b/>
      <w:bCs/>
      <w:lang w:eastAsia="en-US"/>
    </w:rPr>
  </w:style>
  <w:style w:type="paragraph" w:styleId="BalloonText">
    <w:name w:val="Balloon Text"/>
    <w:basedOn w:val="Normal"/>
    <w:link w:val="BalloonTextChar"/>
    <w:uiPriority w:val="99"/>
    <w:semiHidden/>
    <w:unhideWhenUsed/>
    <w:rsid w:val="008F216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F2164"/>
    <w:rPr>
      <w:rFonts w:ascii="Segoe UI" w:hAnsi="Segoe UI" w:cs="Segoe UI"/>
      <w:sz w:val="18"/>
      <w:szCs w:val="18"/>
      <w:lang w:eastAsia="en-US"/>
    </w:rPr>
  </w:style>
  <w:style w:type="paragraph" w:styleId="Revision">
    <w:name w:val="Revision"/>
    <w:hidden/>
    <w:uiPriority w:val="99"/>
    <w:semiHidden/>
    <w:rsid w:val="00846633"/>
    <w:rPr>
      <w:sz w:val="22"/>
      <w:szCs w:val="22"/>
      <w:lang w:eastAsia="en-US"/>
    </w:rPr>
  </w:style>
  <w:style w:type="paragraph" w:styleId="Header">
    <w:name w:val="header"/>
    <w:basedOn w:val="Normal"/>
    <w:link w:val="HeaderChar"/>
    <w:uiPriority w:val="99"/>
    <w:unhideWhenUsed/>
    <w:rsid w:val="00756FA9"/>
    <w:pPr>
      <w:tabs>
        <w:tab w:val="center" w:pos="4513"/>
        <w:tab w:val="right" w:pos="9026"/>
      </w:tabs>
    </w:pPr>
  </w:style>
  <w:style w:type="character" w:customStyle="1" w:styleId="HeaderChar">
    <w:name w:val="Header Char"/>
    <w:link w:val="Header"/>
    <w:uiPriority w:val="99"/>
    <w:rsid w:val="00756FA9"/>
    <w:rPr>
      <w:sz w:val="22"/>
      <w:szCs w:val="22"/>
      <w:lang w:eastAsia="en-US"/>
    </w:rPr>
  </w:style>
  <w:style w:type="paragraph" w:styleId="Footer">
    <w:name w:val="footer"/>
    <w:basedOn w:val="Normal"/>
    <w:link w:val="FooterChar"/>
    <w:uiPriority w:val="99"/>
    <w:unhideWhenUsed/>
    <w:rsid w:val="00756FA9"/>
    <w:pPr>
      <w:tabs>
        <w:tab w:val="center" w:pos="4513"/>
        <w:tab w:val="right" w:pos="9026"/>
      </w:tabs>
    </w:pPr>
  </w:style>
  <w:style w:type="character" w:customStyle="1" w:styleId="FooterChar">
    <w:name w:val="Footer Char"/>
    <w:link w:val="Footer"/>
    <w:uiPriority w:val="99"/>
    <w:rsid w:val="00756FA9"/>
    <w:rPr>
      <w:sz w:val="22"/>
      <w:szCs w:val="22"/>
      <w:lang w:eastAsia="en-US"/>
    </w:rPr>
  </w:style>
  <w:style w:type="character" w:customStyle="1" w:styleId="Heading2Char">
    <w:name w:val="Heading 2 Char"/>
    <w:basedOn w:val="DefaultParagraphFont"/>
    <w:link w:val="Heading2"/>
    <w:uiPriority w:val="9"/>
    <w:rsid w:val="00423C82"/>
    <w:rPr>
      <w:rFonts w:ascii="Arial" w:hAnsi="Arial" w:cs="Arial"/>
      <w:b/>
      <w:sz w:val="22"/>
      <w:szCs w:val="22"/>
      <w:lang w:eastAsia="en-US"/>
    </w:rPr>
  </w:style>
  <w:style w:type="character" w:customStyle="1" w:styleId="Heading3Char">
    <w:name w:val="Heading 3 Char"/>
    <w:basedOn w:val="DefaultParagraphFont"/>
    <w:link w:val="Heading3"/>
    <w:uiPriority w:val="9"/>
    <w:rsid w:val="00A17C07"/>
    <w:rPr>
      <w:rFonts w:ascii="Arial" w:hAnsi="Arial" w:cs="Arial"/>
      <w:sz w:val="22"/>
      <w:szCs w:val="22"/>
      <w:lang w:eastAsia="en-US"/>
    </w:rPr>
  </w:style>
  <w:style w:type="character" w:customStyle="1" w:styleId="Heading4Char">
    <w:name w:val="Heading 4 Char"/>
    <w:basedOn w:val="DefaultParagraphFont"/>
    <w:link w:val="Heading4"/>
    <w:uiPriority w:val="9"/>
    <w:rsid w:val="003476A4"/>
    <w:rPr>
      <w:rFonts w:ascii="Arial" w:hAnsi="Arial" w:cs="Arial"/>
      <w:sz w:val="22"/>
      <w:szCs w:val="22"/>
      <w:lang w:eastAsia="en-US"/>
    </w:rPr>
  </w:style>
  <w:style w:type="paragraph" w:styleId="ListParagraph">
    <w:name w:val="List Paragraph"/>
    <w:basedOn w:val="Normal"/>
    <w:uiPriority w:val="34"/>
    <w:qFormat/>
    <w:rsid w:val="001F4DA3"/>
    <w:pPr>
      <w:spacing w:after="160" w:line="259" w:lineRule="auto"/>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rsid w:val="00D63B3B"/>
    <w:rPr>
      <w:rFonts w:ascii="Arial" w:eastAsia="SimSun" w:hAnsi="Arial"/>
      <w:b/>
      <w:sz w:val="22"/>
      <w:lang w:eastAsia="en-US"/>
    </w:rPr>
  </w:style>
  <w:style w:type="character" w:customStyle="1" w:styleId="Heading6Char">
    <w:name w:val="Heading 6 Char"/>
    <w:basedOn w:val="DefaultParagraphFont"/>
    <w:link w:val="Heading6"/>
    <w:rsid w:val="00D63B3B"/>
    <w:rPr>
      <w:rFonts w:ascii="Arial" w:eastAsia="SimSun" w:hAnsi="Arial"/>
      <w:sz w:val="22"/>
      <w:lang w:eastAsia="en-US"/>
    </w:rPr>
  </w:style>
  <w:style w:type="character" w:customStyle="1" w:styleId="Heading7Char">
    <w:name w:val="Heading 7 Char"/>
    <w:basedOn w:val="DefaultParagraphFont"/>
    <w:link w:val="Heading7"/>
    <w:rsid w:val="00D63B3B"/>
    <w:rPr>
      <w:rFonts w:ascii="Arial" w:eastAsia="SimSun" w:hAnsi="Arial"/>
      <w:sz w:val="22"/>
      <w:lang w:eastAsia="en-US"/>
    </w:rPr>
  </w:style>
  <w:style w:type="character" w:customStyle="1" w:styleId="Heading8Char">
    <w:name w:val="Heading 8 Char"/>
    <w:basedOn w:val="DefaultParagraphFont"/>
    <w:link w:val="Heading8"/>
    <w:rsid w:val="00D63B3B"/>
    <w:rPr>
      <w:rFonts w:ascii="Arial" w:eastAsia="SimSun" w:hAnsi="Arial"/>
      <w:sz w:val="22"/>
      <w:lang w:eastAsia="en-US"/>
    </w:rPr>
  </w:style>
  <w:style w:type="character" w:customStyle="1" w:styleId="Heading9Char">
    <w:name w:val="Heading 9 Char"/>
    <w:basedOn w:val="DefaultParagraphFont"/>
    <w:link w:val="Heading9"/>
    <w:rsid w:val="00D63B3B"/>
    <w:rPr>
      <w:rFonts w:ascii="Arial" w:eastAsia="SimSun" w:hAnsi="Arial"/>
      <w:sz w:val="22"/>
      <w:lang w:eastAsia="en-US"/>
    </w:rPr>
  </w:style>
  <w:style w:type="paragraph" w:styleId="BodyText">
    <w:name w:val="Body Text"/>
    <w:basedOn w:val="Normal"/>
    <w:link w:val="BodyTextChar"/>
    <w:uiPriority w:val="99"/>
    <w:semiHidden/>
    <w:unhideWhenUsed/>
    <w:rsid w:val="00D63B3B"/>
    <w:pPr>
      <w:spacing w:after="120"/>
    </w:pPr>
  </w:style>
  <w:style w:type="character" w:customStyle="1" w:styleId="BodyTextChar">
    <w:name w:val="Body Text Char"/>
    <w:basedOn w:val="DefaultParagraphFont"/>
    <w:link w:val="BodyText"/>
    <w:uiPriority w:val="99"/>
    <w:semiHidden/>
    <w:rsid w:val="00D63B3B"/>
    <w:rPr>
      <w:sz w:val="22"/>
      <w:szCs w:val="22"/>
      <w:lang w:eastAsia="en-US"/>
    </w:rPr>
  </w:style>
  <w:style w:type="character" w:styleId="UnresolvedMention">
    <w:name w:val="Unresolved Mention"/>
    <w:basedOn w:val="DefaultParagraphFont"/>
    <w:uiPriority w:val="99"/>
    <w:semiHidden/>
    <w:unhideWhenUsed/>
    <w:rsid w:val="00AD04F6"/>
    <w:rPr>
      <w:color w:val="605E5C"/>
      <w:shd w:val="clear" w:color="auto" w:fill="E1DFDD"/>
    </w:rPr>
  </w:style>
  <w:style w:type="paragraph" w:customStyle="1" w:styleId="Style3">
    <w:name w:val="Style3"/>
    <w:basedOn w:val="ListParagraph"/>
    <w:link w:val="Style3Char"/>
    <w:qFormat/>
    <w:rsid w:val="00A77597"/>
    <w:pPr>
      <w:numPr>
        <w:ilvl w:val="2"/>
        <w:numId w:val="21"/>
      </w:numPr>
      <w:spacing w:after="240" w:line="240" w:lineRule="auto"/>
      <w:contextualSpacing w:val="0"/>
      <w:outlineLvl w:val="2"/>
    </w:pPr>
    <w:rPr>
      <w:rFonts w:ascii="Arial" w:eastAsia="Calibri" w:hAnsi="Arial" w:cs="Arial"/>
    </w:rPr>
  </w:style>
  <w:style w:type="character" w:customStyle="1" w:styleId="Style3Char">
    <w:name w:val="Style3 Char"/>
    <w:link w:val="Style3"/>
    <w:rsid w:val="00A77597"/>
    <w:rPr>
      <w:rFonts w:ascii="Arial" w:hAnsi="Arial" w:cs="Arial"/>
      <w:sz w:val="22"/>
      <w:szCs w:val="22"/>
      <w:lang w:eastAsia="en-US"/>
    </w:rPr>
  </w:style>
  <w:style w:type="paragraph" w:customStyle="1" w:styleId="Style2">
    <w:name w:val="Style 2"/>
    <w:basedOn w:val="ListParagraph"/>
    <w:qFormat/>
    <w:rsid w:val="00A77597"/>
    <w:pPr>
      <w:numPr>
        <w:ilvl w:val="1"/>
        <w:numId w:val="21"/>
      </w:numPr>
      <w:tabs>
        <w:tab w:val="num" w:pos="360"/>
        <w:tab w:val="num" w:pos="720"/>
      </w:tabs>
      <w:spacing w:before="360" w:after="240" w:line="240" w:lineRule="auto"/>
      <w:ind w:firstLine="0"/>
      <w:contextualSpacing w:val="0"/>
      <w:outlineLvl w:val="1"/>
    </w:pPr>
    <w:rPr>
      <w:rFonts w:ascii="Arial" w:eastAsia="Calibri" w:hAnsi="Arial" w:cs="Arial"/>
      <w:b/>
    </w:rPr>
  </w:style>
  <w:style w:type="paragraph" w:customStyle="1" w:styleId="Style4">
    <w:name w:val="Style4"/>
    <w:basedOn w:val="Normal"/>
    <w:link w:val="Style4Char"/>
    <w:qFormat/>
    <w:rsid w:val="00A77597"/>
    <w:pPr>
      <w:numPr>
        <w:numId w:val="22"/>
      </w:numPr>
      <w:spacing w:after="240" w:line="240" w:lineRule="auto"/>
      <w:ind w:left="1724" w:hanging="284"/>
      <w:jc w:val="both"/>
    </w:pPr>
    <w:rPr>
      <w:rFonts w:ascii="Arial" w:hAnsi="Arial" w:cs="Arial"/>
    </w:rPr>
  </w:style>
  <w:style w:type="character" w:customStyle="1" w:styleId="Style4Char">
    <w:name w:val="Style4 Char"/>
    <w:link w:val="Style4"/>
    <w:rsid w:val="00A77597"/>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16592">
      <w:bodyDiv w:val="1"/>
      <w:marLeft w:val="0"/>
      <w:marRight w:val="0"/>
      <w:marTop w:val="0"/>
      <w:marBottom w:val="0"/>
      <w:divBdr>
        <w:top w:val="none" w:sz="0" w:space="0" w:color="auto"/>
        <w:left w:val="none" w:sz="0" w:space="0" w:color="auto"/>
        <w:bottom w:val="none" w:sz="0" w:space="0" w:color="auto"/>
        <w:right w:val="none" w:sz="0" w:space="0" w:color="auto"/>
      </w:divBdr>
      <w:divsChild>
        <w:div w:id="719324194">
          <w:marLeft w:val="1166"/>
          <w:marRight w:val="0"/>
          <w:marTop w:val="96"/>
          <w:marBottom w:val="0"/>
          <w:divBdr>
            <w:top w:val="none" w:sz="0" w:space="0" w:color="auto"/>
            <w:left w:val="none" w:sz="0" w:space="0" w:color="auto"/>
            <w:bottom w:val="none" w:sz="0" w:space="0" w:color="auto"/>
            <w:right w:val="none" w:sz="0" w:space="0" w:color="auto"/>
          </w:divBdr>
        </w:div>
      </w:divsChild>
    </w:div>
    <w:div w:id="525680321">
      <w:bodyDiv w:val="1"/>
      <w:marLeft w:val="0"/>
      <w:marRight w:val="0"/>
      <w:marTop w:val="0"/>
      <w:marBottom w:val="0"/>
      <w:divBdr>
        <w:top w:val="none" w:sz="0" w:space="0" w:color="auto"/>
        <w:left w:val="none" w:sz="0" w:space="0" w:color="auto"/>
        <w:bottom w:val="none" w:sz="0" w:space="0" w:color="auto"/>
        <w:right w:val="none" w:sz="0" w:space="0" w:color="auto"/>
      </w:divBdr>
      <w:divsChild>
        <w:div w:id="1494680203">
          <w:marLeft w:val="1166"/>
          <w:marRight w:val="0"/>
          <w:marTop w:val="96"/>
          <w:marBottom w:val="0"/>
          <w:divBdr>
            <w:top w:val="none" w:sz="0" w:space="0" w:color="auto"/>
            <w:left w:val="none" w:sz="0" w:space="0" w:color="auto"/>
            <w:bottom w:val="none" w:sz="0" w:space="0" w:color="auto"/>
            <w:right w:val="none" w:sz="0" w:space="0" w:color="auto"/>
          </w:divBdr>
        </w:div>
      </w:divsChild>
    </w:div>
    <w:div w:id="883635322">
      <w:bodyDiv w:val="1"/>
      <w:marLeft w:val="0"/>
      <w:marRight w:val="0"/>
      <w:marTop w:val="0"/>
      <w:marBottom w:val="0"/>
      <w:divBdr>
        <w:top w:val="none" w:sz="0" w:space="0" w:color="auto"/>
        <w:left w:val="none" w:sz="0" w:space="0" w:color="auto"/>
        <w:bottom w:val="none" w:sz="0" w:space="0" w:color="auto"/>
        <w:right w:val="none" w:sz="0" w:space="0" w:color="auto"/>
      </w:divBdr>
    </w:div>
    <w:div w:id="1305163516">
      <w:bodyDiv w:val="1"/>
      <w:marLeft w:val="0"/>
      <w:marRight w:val="0"/>
      <w:marTop w:val="0"/>
      <w:marBottom w:val="0"/>
      <w:divBdr>
        <w:top w:val="none" w:sz="0" w:space="0" w:color="auto"/>
        <w:left w:val="none" w:sz="0" w:space="0" w:color="auto"/>
        <w:bottom w:val="none" w:sz="0" w:space="0" w:color="auto"/>
        <w:right w:val="none" w:sz="0" w:space="0" w:color="auto"/>
      </w:divBdr>
      <w:divsChild>
        <w:div w:id="1793744227">
          <w:marLeft w:val="1166"/>
          <w:marRight w:val="0"/>
          <w:marTop w:val="96"/>
          <w:marBottom w:val="0"/>
          <w:divBdr>
            <w:top w:val="none" w:sz="0" w:space="0" w:color="auto"/>
            <w:left w:val="none" w:sz="0" w:space="0" w:color="auto"/>
            <w:bottom w:val="none" w:sz="0" w:space="0" w:color="auto"/>
            <w:right w:val="none" w:sz="0" w:space="0" w:color="auto"/>
          </w:divBdr>
        </w:div>
      </w:divsChild>
    </w:div>
    <w:div w:id="1418595455">
      <w:bodyDiv w:val="1"/>
      <w:marLeft w:val="0"/>
      <w:marRight w:val="0"/>
      <w:marTop w:val="0"/>
      <w:marBottom w:val="0"/>
      <w:divBdr>
        <w:top w:val="none" w:sz="0" w:space="0" w:color="auto"/>
        <w:left w:val="none" w:sz="0" w:space="0" w:color="auto"/>
        <w:bottom w:val="none" w:sz="0" w:space="0" w:color="auto"/>
        <w:right w:val="none" w:sz="0" w:space="0" w:color="auto"/>
      </w:divBdr>
    </w:div>
    <w:div w:id="1803381809">
      <w:bodyDiv w:val="1"/>
      <w:marLeft w:val="0"/>
      <w:marRight w:val="0"/>
      <w:marTop w:val="0"/>
      <w:marBottom w:val="0"/>
      <w:divBdr>
        <w:top w:val="none" w:sz="0" w:space="0" w:color="auto"/>
        <w:left w:val="none" w:sz="0" w:space="0" w:color="auto"/>
        <w:bottom w:val="none" w:sz="0" w:space="0" w:color="auto"/>
        <w:right w:val="none" w:sz="0" w:space="0" w:color="auto"/>
      </w:divBdr>
    </w:div>
    <w:div w:id="193609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ventry.gov.uk/downloads/file/45972/fair-funding-scheme-of-delegation-september-202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ventry.gov.uk/schools-schooling/schools-f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B6AB4-7F36-4FC0-8F5B-1EF5227EC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1524</Words>
  <Characters>8675</Characters>
  <Application>Microsoft Office Word</Application>
  <DocSecurity>0</DocSecurity>
  <Lines>619</Lines>
  <Paragraphs>318</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9881</CharactersWithSpaces>
  <SharedDoc>false</SharedDoc>
  <HLinks>
    <vt:vector size="12" baseType="variant">
      <vt:variant>
        <vt:i4>8061022</vt:i4>
      </vt:variant>
      <vt:variant>
        <vt:i4>0</vt:i4>
      </vt:variant>
      <vt:variant>
        <vt:i4>0</vt:i4>
      </vt:variant>
      <vt:variant>
        <vt:i4>5</vt:i4>
      </vt:variant>
      <vt:variant>
        <vt:lpwstr>http://www.coventry.gov.uk/meetings/committee/26/schools_forum</vt:lpwstr>
      </vt:variant>
      <vt:variant>
        <vt:lpwstr/>
      </vt:variant>
      <vt:variant>
        <vt:i4>8257657</vt:i4>
      </vt:variant>
      <vt:variant>
        <vt:i4>0</vt:i4>
      </vt:variant>
      <vt:variant>
        <vt:i4>0</vt:i4>
      </vt:variant>
      <vt:variant>
        <vt:i4>5</vt:i4>
      </vt:variant>
      <vt:variant>
        <vt:lpwstr>http://www.legislation.gov.uk/uksi/2012/10/pdfs/uksi_20120010_en.pdf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cvrsu280</dc:creator>
  <cp:keywords/>
  <cp:lastModifiedBy>Lambert, Lucy</cp:lastModifiedBy>
  <cp:revision>14</cp:revision>
  <dcterms:created xsi:type="dcterms:W3CDTF">2024-01-10T18:47:00Z</dcterms:created>
  <dcterms:modified xsi:type="dcterms:W3CDTF">2026-01-15T17:00:00Z</dcterms:modified>
</cp:coreProperties>
</file>