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AA25B4">
      <w:pPr>
        <w:pStyle w:val="BodyText"/>
        <w:rPr>
          <w:rFonts w:ascii="Times New Roman"/>
          <w:sz w:val="20"/>
        </w:rPr>
      </w:pPr>
    </w:p>
    <w:p w:rsidR="00AA25B4" w:rsidRDefault="009A25EC">
      <w:pPr>
        <w:pStyle w:val="BodyText"/>
        <w:spacing w:before="216"/>
        <w:ind w:left="991" w:right="1272"/>
        <w:jc w:val="both"/>
      </w:pPr>
      <w:r>
        <w:pict>
          <v:group id="_x0000_s1026" style="position:absolute;left:0;text-align:left;margin-left:2.85pt;margin-top:-149.9pt;width:592.75pt;height:160.55pt;z-index:1048;mso-position-horizontal-relative:page" coordorigin="57,-2998" coordsize="11855,3211">
            <v:shape id="_x0000_s1033" style="position:absolute;left:57;top:-2934;width:11855;height:2185" coordorigin="57,-2934" coordsize="11855,2185" path="m11911,-2934r-11854,l57,-1432r11854,683l11911,-2934xe" fillcolor="#009692" stroked="f">
              <v:path arrowok="t"/>
            </v:shape>
            <v:shape id="_x0000_s1032" style="position:absolute;left:57;top:-1327;width:11855;height:1457" coordorigin="57,-1327" coordsize="11855,1457" path="m57,-1327r,736l11911,130r,-794l57,-1327xe" fillcolor="#24408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298;top:-2934;width:4769;height:2935">
              <v:imagedata r:id="rId7" o:title=""/>
            </v:shape>
            <v:shape id="_x0000_s1030" style="position:absolute;left:1298;top:-2934;width:4768;height:2935" coordorigin="1298,-2934" coordsize="4768,2935" path="m1477,-2934l1303,-546r-5,118l1316,-365r61,26l1497,-326,5641,-6r122,7l5827,-17r27,-59l5866,-194r200,-2740e" filled="f" strokecolor="#24408f" strokeweight="2.24258mm">
              <v:path arrowok="t"/>
            </v:shape>
            <v:shape id="_x0000_s1029" style="position:absolute;left:1100;top:-2934;width:4750;height:3124" coordorigin="1100,-2934" coordsize="4750,3124" path="m1293,-2934l1105,-365r-5,124l1118,-175r60,28l1298,-134,5413,184r120,6l5597,170r27,-61l5636,-16r214,-2918e" filled="f" strokecolor="#009692" strokeweight=".77994mm">
              <v:path arrowok="t"/>
            </v:shape>
            <v:shape id="_x0000_s1028" type="#_x0000_t75" style="position:absolute;left:6499;top:-2623;width:4540;height:1830">
              <v:imagedata r:id="rId8" o:title=""/>
            </v:shape>
            <v:shapetype id="_x0000_t202" coordsize="21600,21600" o:spt="202" path="m,l,21600r21600,l21600,xe">
              <v:stroke joinstyle="miter"/>
              <v:path gradientshapeok="t" o:connecttype="rect"/>
            </v:shapetype>
            <v:shape id="_x0000_s1027" type="#_x0000_t202" style="position:absolute;left:57;top:-2998;width:11855;height:3210" filled="f" stroked="f">
              <v:textbox inset="0,0,0,0">
                <w:txbxContent>
                  <w:p w:rsidR="00AA25B4" w:rsidRDefault="009A25EC">
                    <w:pPr>
                      <w:spacing w:before="195" w:line="189" w:lineRule="auto"/>
                      <w:ind w:left="1827" w:right="6430"/>
                      <w:jc w:val="center"/>
                      <w:rPr>
                        <w:rFonts w:ascii="Comic Sans MS"/>
                        <w:b/>
                        <w:sz w:val="72"/>
                      </w:rPr>
                    </w:pPr>
                    <w:r>
                      <w:rPr>
                        <w:rFonts w:ascii="Comic Sans MS"/>
                        <w:b/>
                        <w:color w:val="009692"/>
                        <w:sz w:val="72"/>
                      </w:rPr>
                      <w:t>Developing School Readiness</w:t>
                    </w:r>
                  </w:p>
                </w:txbxContent>
              </v:textbox>
            </v:shape>
            <w10:wrap anchorx="page"/>
          </v:group>
        </w:pict>
      </w:r>
      <w:r>
        <w:t xml:space="preserve">You may have already received some information on ‘school readiness’ from </w:t>
      </w:r>
      <w:r>
        <w:rPr>
          <w:spacing w:val="2"/>
        </w:rPr>
        <w:t xml:space="preserve">your </w:t>
      </w:r>
      <w:r>
        <w:t xml:space="preserve">health visiting team, school nursing team or </w:t>
      </w:r>
      <w:hyperlink r:id="rId9">
        <w:r>
          <w:t>SEND</w:t>
        </w:r>
      </w:hyperlink>
      <w:r>
        <w:t xml:space="preserve"> (</w:t>
      </w:r>
      <w:r>
        <w:rPr>
          <w:color w:val="212121"/>
        </w:rPr>
        <w:t xml:space="preserve">special educational needs and / or disability) </w:t>
      </w:r>
      <w:r>
        <w:t>professional.</w:t>
      </w:r>
      <w:r>
        <w:rPr>
          <w:spacing w:val="-16"/>
        </w:rPr>
        <w:t xml:space="preserve"> </w:t>
      </w:r>
      <w:r>
        <w:t>They</w:t>
      </w:r>
      <w:r>
        <w:rPr>
          <w:spacing w:val="-17"/>
        </w:rPr>
        <w:t xml:space="preserve"> </w:t>
      </w:r>
      <w:r>
        <w:t>have</w:t>
      </w:r>
      <w:r>
        <w:rPr>
          <w:spacing w:val="-14"/>
        </w:rPr>
        <w:t xml:space="preserve"> </w:t>
      </w:r>
      <w:r>
        <w:t>been</w:t>
      </w:r>
      <w:r>
        <w:rPr>
          <w:spacing w:val="-14"/>
        </w:rPr>
        <w:t xml:space="preserve"> </w:t>
      </w:r>
      <w:r>
        <w:t>visiting</w:t>
      </w:r>
      <w:r>
        <w:rPr>
          <w:spacing w:val="-16"/>
        </w:rPr>
        <w:t xml:space="preserve"> </w:t>
      </w:r>
      <w:r>
        <w:t>early</w:t>
      </w:r>
      <w:r>
        <w:rPr>
          <w:spacing w:val="-15"/>
        </w:rPr>
        <w:t xml:space="preserve"> </w:t>
      </w:r>
      <w:r>
        <w:t>years</w:t>
      </w:r>
      <w:r>
        <w:rPr>
          <w:spacing w:val="-16"/>
        </w:rPr>
        <w:t xml:space="preserve"> </w:t>
      </w:r>
      <w:r>
        <w:t>providers</w:t>
      </w:r>
      <w:r>
        <w:rPr>
          <w:spacing w:val="-16"/>
        </w:rPr>
        <w:t xml:space="preserve"> </w:t>
      </w:r>
      <w:r>
        <w:t>and</w:t>
      </w:r>
      <w:r>
        <w:rPr>
          <w:spacing w:val="-14"/>
        </w:rPr>
        <w:t xml:space="preserve"> </w:t>
      </w:r>
      <w:r>
        <w:t>schools</w:t>
      </w:r>
      <w:r>
        <w:rPr>
          <w:spacing w:val="-15"/>
        </w:rPr>
        <w:t xml:space="preserve"> </w:t>
      </w:r>
      <w:r>
        <w:t>to</w:t>
      </w:r>
      <w:r>
        <w:rPr>
          <w:spacing w:val="-14"/>
        </w:rPr>
        <w:t xml:space="preserve"> </w:t>
      </w:r>
      <w:r>
        <w:t>share</w:t>
      </w:r>
      <w:r>
        <w:rPr>
          <w:spacing w:val="-15"/>
        </w:rPr>
        <w:t xml:space="preserve"> </w:t>
      </w:r>
      <w:r>
        <w:t>information about the skills children will need to support a smooth transition into</w:t>
      </w:r>
      <w:r>
        <w:rPr>
          <w:spacing w:val="-29"/>
        </w:rPr>
        <w:t xml:space="preserve"> </w:t>
      </w:r>
      <w:r>
        <w:t>school.</w:t>
      </w:r>
    </w:p>
    <w:p w:rsidR="00AA25B4" w:rsidRDefault="00AA25B4">
      <w:pPr>
        <w:pStyle w:val="BodyText"/>
      </w:pPr>
    </w:p>
    <w:p w:rsidR="00AA25B4" w:rsidRDefault="009A25EC">
      <w:pPr>
        <w:pStyle w:val="BodyText"/>
        <w:ind w:left="991" w:right="1276"/>
        <w:jc w:val="both"/>
      </w:pPr>
      <w:r>
        <w:t>In</w:t>
      </w:r>
      <w:r>
        <w:rPr>
          <w:spacing w:val="-10"/>
        </w:rPr>
        <w:t xml:space="preserve"> </w:t>
      </w:r>
      <w:r>
        <w:t>preparation</w:t>
      </w:r>
      <w:r>
        <w:rPr>
          <w:spacing w:val="-13"/>
        </w:rPr>
        <w:t xml:space="preserve"> </w:t>
      </w:r>
      <w:r>
        <w:t>for</w:t>
      </w:r>
      <w:r>
        <w:rPr>
          <w:spacing w:val="-12"/>
        </w:rPr>
        <w:t xml:space="preserve"> </w:t>
      </w:r>
      <w:r>
        <w:t>starting</w:t>
      </w:r>
      <w:r>
        <w:rPr>
          <w:spacing w:val="-13"/>
        </w:rPr>
        <w:t xml:space="preserve"> </w:t>
      </w:r>
      <w:r>
        <w:t>school,</w:t>
      </w:r>
      <w:r>
        <w:rPr>
          <w:spacing w:val="-14"/>
        </w:rPr>
        <w:t xml:space="preserve"> </w:t>
      </w:r>
      <w:r>
        <w:t>children</w:t>
      </w:r>
      <w:r>
        <w:rPr>
          <w:spacing w:val="-13"/>
        </w:rPr>
        <w:t xml:space="preserve"> </w:t>
      </w:r>
      <w:r>
        <w:t>need</w:t>
      </w:r>
      <w:r>
        <w:rPr>
          <w:spacing w:val="-11"/>
        </w:rPr>
        <w:t xml:space="preserve"> </w:t>
      </w:r>
      <w:r>
        <w:t>to</w:t>
      </w:r>
      <w:r>
        <w:rPr>
          <w:spacing w:val="-13"/>
        </w:rPr>
        <w:t xml:space="preserve"> </w:t>
      </w:r>
      <w:r>
        <w:t>be</w:t>
      </w:r>
      <w:r>
        <w:rPr>
          <w:spacing w:val="-11"/>
        </w:rPr>
        <w:t xml:space="preserve"> </w:t>
      </w:r>
      <w:r>
        <w:t>able</w:t>
      </w:r>
      <w:r>
        <w:rPr>
          <w:spacing w:val="-5"/>
        </w:rPr>
        <w:t xml:space="preserve"> </w:t>
      </w:r>
      <w:r>
        <w:t>to</w:t>
      </w:r>
      <w:r>
        <w:rPr>
          <w:spacing w:val="-13"/>
        </w:rPr>
        <w:t xml:space="preserve"> </w:t>
      </w:r>
      <w:r>
        <w:t>do</w:t>
      </w:r>
      <w:r>
        <w:rPr>
          <w:spacing w:val="-13"/>
        </w:rPr>
        <w:t xml:space="preserve"> </w:t>
      </w:r>
      <w:r>
        <w:t>many</w:t>
      </w:r>
      <w:r>
        <w:rPr>
          <w:spacing w:val="-14"/>
        </w:rPr>
        <w:t xml:space="preserve"> </w:t>
      </w:r>
      <w:r>
        <w:t>things</w:t>
      </w:r>
      <w:r>
        <w:rPr>
          <w:spacing w:val="-14"/>
        </w:rPr>
        <w:t xml:space="preserve"> </w:t>
      </w:r>
      <w:r>
        <w:t>for</w:t>
      </w:r>
      <w:r>
        <w:rPr>
          <w:spacing w:val="-12"/>
        </w:rPr>
        <w:t xml:space="preserve"> </w:t>
      </w:r>
      <w:r>
        <w:t>themselves. The table below outlines some skills and experiences which will support children to be prepared for starting school.  It may be useful to share some of these with</w:t>
      </w:r>
      <w:r>
        <w:rPr>
          <w:spacing w:val="-30"/>
        </w:rPr>
        <w:t xml:space="preserve"> </w:t>
      </w:r>
      <w:r>
        <w:t>parents.</w:t>
      </w:r>
    </w:p>
    <w:p w:rsidR="00AA25B4" w:rsidRDefault="00AA25B4">
      <w:pPr>
        <w:pStyle w:val="BodyText"/>
        <w:rPr>
          <w:sz w:val="20"/>
        </w:rPr>
      </w:pPr>
    </w:p>
    <w:p w:rsidR="00AA25B4" w:rsidRDefault="00AA25B4">
      <w:pPr>
        <w:pStyle w:val="BodyText"/>
        <w:spacing w:before="5"/>
        <w:rPr>
          <w:sz w:val="11"/>
        </w:rPr>
      </w:pPr>
    </w:p>
    <w:tbl>
      <w:tblPr>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66"/>
      </w:tblGrid>
      <w:tr w:rsidR="00AA25B4">
        <w:trPr>
          <w:trHeight w:hRule="exact" w:val="847"/>
        </w:trPr>
        <w:tc>
          <w:tcPr>
            <w:tcW w:w="10766" w:type="dxa"/>
            <w:shd w:val="clear" w:color="auto" w:fill="DEEAF6"/>
          </w:tcPr>
          <w:p w:rsidR="00AA25B4" w:rsidRDefault="00AA25B4">
            <w:pPr>
              <w:pStyle w:val="TableParagraph"/>
              <w:spacing w:line="240" w:lineRule="auto"/>
              <w:ind w:left="0" w:firstLine="0"/>
              <w:rPr>
                <w:sz w:val="24"/>
              </w:rPr>
            </w:pPr>
          </w:p>
          <w:p w:rsidR="00AA25B4" w:rsidRDefault="009A25EC">
            <w:pPr>
              <w:pStyle w:val="TableParagraph"/>
              <w:spacing w:line="240" w:lineRule="auto"/>
              <w:ind w:left="2779" w:right="2779" w:firstLine="0"/>
              <w:jc w:val="center"/>
              <w:rPr>
                <w:b/>
                <w:sz w:val="24"/>
              </w:rPr>
            </w:pPr>
            <w:r>
              <w:rPr>
                <w:b/>
                <w:color w:val="1F1F1E"/>
                <w:sz w:val="24"/>
              </w:rPr>
              <w:t>Personal, Social and Emotional Development</w:t>
            </w:r>
          </w:p>
        </w:tc>
      </w:tr>
      <w:tr w:rsidR="00AA25B4">
        <w:trPr>
          <w:trHeight w:hRule="exact" w:val="2432"/>
        </w:trPr>
        <w:tc>
          <w:tcPr>
            <w:tcW w:w="10766" w:type="dxa"/>
          </w:tcPr>
          <w:p w:rsidR="00AA25B4" w:rsidRDefault="009A25EC">
            <w:pPr>
              <w:pStyle w:val="TableParagraph"/>
              <w:numPr>
                <w:ilvl w:val="0"/>
                <w:numId w:val="3"/>
              </w:numPr>
              <w:tabs>
                <w:tab w:val="left" w:pos="818"/>
                <w:tab w:val="left" w:pos="819"/>
              </w:tabs>
              <w:spacing w:before="2" w:line="269" w:lineRule="exact"/>
              <w:ind w:hanging="360"/>
            </w:pPr>
            <w:r>
              <w:rPr>
                <w:color w:val="1F1F1E"/>
              </w:rPr>
              <w:t>To be able to express and manage their feelings and</w:t>
            </w:r>
            <w:r>
              <w:rPr>
                <w:color w:val="1F1F1E"/>
                <w:spacing w:val="-20"/>
              </w:rPr>
              <w:t xml:space="preserve"> </w:t>
            </w:r>
            <w:r>
              <w:rPr>
                <w:color w:val="1F1F1E"/>
              </w:rPr>
              <w:t>emotions.</w:t>
            </w:r>
          </w:p>
          <w:p w:rsidR="00AA25B4" w:rsidRDefault="009A25EC">
            <w:pPr>
              <w:pStyle w:val="TableParagraph"/>
              <w:numPr>
                <w:ilvl w:val="0"/>
                <w:numId w:val="3"/>
              </w:numPr>
              <w:tabs>
                <w:tab w:val="left" w:pos="818"/>
                <w:tab w:val="left" w:pos="819"/>
              </w:tabs>
              <w:ind w:hanging="360"/>
            </w:pPr>
            <w:r>
              <w:rPr>
                <w:color w:val="1F1F1E"/>
              </w:rPr>
              <w:t>To be aware of how actions can affect</w:t>
            </w:r>
            <w:r>
              <w:rPr>
                <w:color w:val="1F1F1E"/>
                <w:spacing w:val="-12"/>
              </w:rPr>
              <w:t xml:space="preserve"> </w:t>
            </w:r>
            <w:r>
              <w:rPr>
                <w:color w:val="1F1F1E"/>
              </w:rPr>
              <w:t>others.</w:t>
            </w:r>
          </w:p>
          <w:p w:rsidR="00AA25B4" w:rsidRDefault="009A25EC">
            <w:pPr>
              <w:pStyle w:val="TableParagraph"/>
              <w:numPr>
                <w:ilvl w:val="0"/>
                <w:numId w:val="3"/>
              </w:numPr>
              <w:tabs>
                <w:tab w:val="left" w:pos="818"/>
                <w:tab w:val="left" w:pos="819"/>
              </w:tabs>
              <w:ind w:hanging="360"/>
            </w:pPr>
            <w:r>
              <w:rPr>
                <w:color w:val="1F1F1E"/>
              </w:rPr>
              <w:t>Share toys and</w:t>
            </w:r>
            <w:r>
              <w:rPr>
                <w:color w:val="1F1F1E"/>
                <w:spacing w:val="-6"/>
              </w:rPr>
              <w:t xml:space="preserve"> </w:t>
            </w:r>
            <w:r>
              <w:rPr>
                <w:color w:val="1F1F1E"/>
              </w:rPr>
              <w:t>resources.</w:t>
            </w:r>
          </w:p>
          <w:p w:rsidR="00AA25B4" w:rsidRDefault="009A25EC">
            <w:pPr>
              <w:pStyle w:val="TableParagraph"/>
              <w:numPr>
                <w:ilvl w:val="0"/>
                <w:numId w:val="3"/>
              </w:numPr>
              <w:tabs>
                <w:tab w:val="left" w:pos="818"/>
                <w:tab w:val="left" w:pos="819"/>
              </w:tabs>
              <w:ind w:hanging="360"/>
            </w:pPr>
            <w:r>
              <w:rPr>
                <w:color w:val="1F1F1E"/>
              </w:rPr>
              <w:t>Show respect for other people and the</w:t>
            </w:r>
            <w:r>
              <w:rPr>
                <w:color w:val="1F1F1E"/>
                <w:spacing w:val="-13"/>
              </w:rPr>
              <w:t xml:space="preserve"> </w:t>
            </w:r>
            <w:r>
              <w:rPr>
                <w:color w:val="1F1F1E"/>
              </w:rPr>
              <w:t>environment.</w:t>
            </w:r>
          </w:p>
          <w:p w:rsidR="00AA25B4" w:rsidRDefault="009A25EC">
            <w:pPr>
              <w:pStyle w:val="TableParagraph"/>
              <w:numPr>
                <w:ilvl w:val="0"/>
                <w:numId w:val="3"/>
              </w:numPr>
              <w:tabs>
                <w:tab w:val="left" w:pos="818"/>
                <w:tab w:val="left" w:pos="819"/>
              </w:tabs>
              <w:ind w:hanging="360"/>
            </w:pPr>
            <w:r>
              <w:rPr>
                <w:color w:val="1F1F1E"/>
              </w:rPr>
              <w:t>To understand and conform t</w:t>
            </w:r>
            <w:r>
              <w:rPr>
                <w:color w:val="1F1F1E"/>
              </w:rPr>
              <w:t>o appropriate guidance and boundaries e.g.</w:t>
            </w:r>
            <w:r>
              <w:rPr>
                <w:color w:val="1F1F1E"/>
                <w:spacing w:val="-22"/>
              </w:rPr>
              <w:t xml:space="preserve"> </w:t>
            </w:r>
            <w:r>
              <w:rPr>
                <w:color w:val="1F1F1E"/>
              </w:rPr>
              <w:t>stop.</w:t>
            </w:r>
          </w:p>
          <w:p w:rsidR="00AA25B4" w:rsidRDefault="009A25EC">
            <w:pPr>
              <w:pStyle w:val="TableParagraph"/>
              <w:numPr>
                <w:ilvl w:val="0"/>
                <w:numId w:val="3"/>
              </w:numPr>
              <w:tabs>
                <w:tab w:val="left" w:pos="818"/>
                <w:tab w:val="left" w:pos="819"/>
              </w:tabs>
              <w:spacing w:line="269" w:lineRule="exact"/>
              <w:ind w:hanging="360"/>
            </w:pPr>
            <w:r>
              <w:rPr>
                <w:color w:val="1F1F1E"/>
              </w:rPr>
              <w:t>To know that there are things you cannot</w:t>
            </w:r>
            <w:r>
              <w:rPr>
                <w:color w:val="1F1F1E"/>
                <w:spacing w:val="-14"/>
              </w:rPr>
              <w:t xml:space="preserve"> </w:t>
            </w:r>
            <w:r>
              <w:rPr>
                <w:color w:val="1F1F1E"/>
              </w:rPr>
              <w:t>do.</w:t>
            </w:r>
          </w:p>
          <w:p w:rsidR="00AA25B4" w:rsidRDefault="009A25EC">
            <w:pPr>
              <w:pStyle w:val="TableParagraph"/>
              <w:numPr>
                <w:ilvl w:val="0"/>
                <w:numId w:val="3"/>
              </w:numPr>
              <w:tabs>
                <w:tab w:val="left" w:pos="818"/>
                <w:tab w:val="left" w:pos="819"/>
              </w:tabs>
              <w:ind w:hanging="360"/>
            </w:pPr>
            <w:r>
              <w:rPr>
                <w:color w:val="1F1F1E"/>
              </w:rPr>
              <w:t>To join in at tidy up</w:t>
            </w:r>
            <w:r>
              <w:rPr>
                <w:color w:val="1F1F1E"/>
                <w:spacing w:val="-8"/>
              </w:rPr>
              <w:t xml:space="preserve"> </w:t>
            </w:r>
            <w:r>
              <w:rPr>
                <w:color w:val="1F1F1E"/>
              </w:rPr>
              <w:t>time.</w:t>
            </w:r>
          </w:p>
          <w:p w:rsidR="00AA25B4" w:rsidRDefault="009A25EC">
            <w:pPr>
              <w:pStyle w:val="TableParagraph"/>
              <w:numPr>
                <w:ilvl w:val="0"/>
                <w:numId w:val="3"/>
              </w:numPr>
              <w:tabs>
                <w:tab w:val="left" w:pos="818"/>
                <w:tab w:val="left" w:pos="819"/>
              </w:tabs>
              <w:ind w:hanging="360"/>
            </w:pPr>
            <w:r>
              <w:rPr>
                <w:color w:val="1F1F1E"/>
              </w:rPr>
              <w:t>To have experience of being friends and being part of a small and large</w:t>
            </w:r>
            <w:r>
              <w:rPr>
                <w:color w:val="1F1F1E"/>
                <w:spacing w:val="-19"/>
              </w:rPr>
              <w:t xml:space="preserve"> </w:t>
            </w:r>
            <w:r>
              <w:rPr>
                <w:color w:val="1F1F1E"/>
              </w:rPr>
              <w:t>group.</w:t>
            </w:r>
          </w:p>
          <w:p w:rsidR="00AA25B4" w:rsidRDefault="009A25EC">
            <w:pPr>
              <w:pStyle w:val="TableParagraph"/>
              <w:numPr>
                <w:ilvl w:val="0"/>
                <w:numId w:val="3"/>
              </w:numPr>
              <w:tabs>
                <w:tab w:val="left" w:pos="818"/>
                <w:tab w:val="left" w:pos="819"/>
              </w:tabs>
              <w:spacing w:line="269" w:lineRule="exact"/>
              <w:ind w:hanging="360"/>
            </w:pPr>
            <w:r>
              <w:rPr>
                <w:color w:val="1F1F1E"/>
              </w:rPr>
              <w:t>To be able to play and explore independently for short periods of</w:t>
            </w:r>
            <w:r>
              <w:rPr>
                <w:color w:val="1F1F1E"/>
                <w:spacing w:val="-17"/>
              </w:rPr>
              <w:t xml:space="preserve"> </w:t>
            </w:r>
            <w:r>
              <w:rPr>
                <w:color w:val="1F1F1E"/>
              </w:rPr>
              <w:t>time.</w:t>
            </w:r>
          </w:p>
        </w:tc>
      </w:tr>
      <w:tr w:rsidR="00AA25B4" w:rsidTr="00132E1B">
        <w:trPr>
          <w:trHeight w:hRule="exact" w:val="754"/>
        </w:trPr>
        <w:tc>
          <w:tcPr>
            <w:tcW w:w="10766" w:type="dxa"/>
            <w:shd w:val="clear" w:color="auto" w:fill="DEEAF6"/>
          </w:tcPr>
          <w:p w:rsidR="00AA25B4" w:rsidRDefault="00132E1B">
            <w:pPr>
              <w:pStyle w:val="TableParagraph"/>
              <w:spacing w:line="240" w:lineRule="auto"/>
              <w:ind w:left="2779" w:right="2779" w:firstLine="0"/>
              <w:jc w:val="center"/>
              <w:rPr>
                <w:b/>
                <w:sz w:val="24"/>
              </w:rPr>
            </w:pPr>
            <w:r>
              <w:rPr>
                <w:b/>
                <w:color w:val="1F1F1E"/>
                <w:sz w:val="24"/>
              </w:rPr>
              <w:br/>
            </w:r>
            <w:r w:rsidR="009A25EC">
              <w:rPr>
                <w:b/>
                <w:color w:val="1F1F1E"/>
                <w:sz w:val="24"/>
              </w:rPr>
              <w:t>Physical Development</w:t>
            </w:r>
            <w:r>
              <w:rPr>
                <w:b/>
                <w:color w:val="1F1F1E"/>
                <w:sz w:val="24"/>
              </w:rPr>
              <w:br/>
            </w:r>
            <w:r>
              <w:rPr>
                <w:b/>
                <w:color w:val="1F1F1E"/>
                <w:sz w:val="24"/>
              </w:rPr>
              <w:br/>
            </w:r>
          </w:p>
        </w:tc>
      </w:tr>
      <w:tr w:rsidR="00AA25B4">
        <w:trPr>
          <w:trHeight w:hRule="exact" w:val="2163"/>
        </w:trPr>
        <w:tc>
          <w:tcPr>
            <w:tcW w:w="10766" w:type="dxa"/>
          </w:tcPr>
          <w:p w:rsidR="00AA25B4" w:rsidRDefault="009A25EC">
            <w:pPr>
              <w:pStyle w:val="TableParagraph"/>
              <w:numPr>
                <w:ilvl w:val="0"/>
                <w:numId w:val="2"/>
              </w:numPr>
              <w:tabs>
                <w:tab w:val="left" w:pos="818"/>
                <w:tab w:val="left" w:pos="819"/>
              </w:tabs>
              <w:spacing w:before="2" w:line="269" w:lineRule="exact"/>
              <w:ind w:hanging="360"/>
            </w:pPr>
            <w:r>
              <w:rPr>
                <w:color w:val="1F1F1E"/>
              </w:rPr>
              <w:t>To be able to dress and undress</w:t>
            </w:r>
            <w:r>
              <w:rPr>
                <w:color w:val="1F1F1E"/>
                <w:spacing w:val="-13"/>
              </w:rPr>
              <w:t xml:space="preserve"> </w:t>
            </w:r>
            <w:r>
              <w:rPr>
                <w:color w:val="1F1F1E"/>
              </w:rPr>
              <w:t>independently.</w:t>
            </w:r>
          </w:p>
          <w:p w:rsidR="00AA25B4" w:rsidRDefault="009A25EC">
            <w:pPr>
              <w:pStyle w:val="TableParagraph"/>
              <w:numPr>
                <w:ilvl w:val="0"/>
                <w:numId w:val="2"/>
              </w:numPr>
              <w:tabs>
                <w:tab w:val="left" w:pos="818"/>
                <w:tab w:val="left" w:pos="819"/>
              </w:tabs>
              <w:ind w:hanging="360"/>
            </w:pPr>
            <w:r>
              <w:rPr>
                <w:color w:val="1F1F1E"/>
              </w:rPr>
              <w:t>To be able to gather own belongings into a</w:t>
            </w:r>
            <w:r>
              <w:rPr>
                <w:color w:val="1F1F1E"/>
                <w:spacing w:val="-16"/>
              </w:rPr>
              <w:t xml:space="preserve"> </w:t>
            </w:r>
            <w:r>
              <w:rPr>
                <w:color w:val="1F1F1E"/>
              </w:rPr>
              <w:t>pile.</w:t>
            </w:r>
          </w:p>
          <w:p w:rsidR="00AA25B4" w:rsidRDefault="009A25EC">
            <w:pPr>
              <w:pStyle w:val="TableParagraph"/>
              <w:numPr>
                <w:ilvl w:val="0"/>
                <w:numId w:val="2"/>
              </w:numPr>
              <w:tabs>
                <w:tab w:val="left" w:pos="818"/>
                <w:tab w:val="left" w:pos="819"/>
              </w:tabs>
              <w:ind w:hanging="360"/>
            </w:pPr>
            <w:r>
              <w:rPr>
                <w:color w:val="1F1F1E"/>
              </w:rPr>
              <w:t>To be able to independently manage own toilet needs including wiping own</w:t>
            </w:r>
            <w:r>
              <w:rPr>
                <w:color w:val="1F1F1E"/>
                <w:spacing w:val="-22"/>
              </w:rPr>
              <w:t xml:space="preserve"> </w:t>
            </w:r>
            <w:r>
              <w:rPr>
                <w:color w:val="1F1F1E"/>
              </w:rPr>
              <w:t>bottom.</w:t>
            </w:r>
          </w:p>
          <w:p w:rsidR="00AA25B4" w:rsidRDefault="009A25EC">
            <w:pPr>
              <w:pStyle w:val="TableParagraph"/>
              <w:numPr>
                <w:ilvl w:val="0"/>
                <w:numId w:val="2"/>
              </w:numPr>
              <w:tabs>
                <w:tab w:val="left" w:pos="818"/>
                <w:tab w:val="left" w:pos="819"/>
              </w:tabs>
              <w:ind w:hanging="360"/>
            </w:pPr>
            <w:r>
              <w:rPr>
                <w:color w:val="1F1F1E"/>
              </w:rPr>
              <w:t>To blow and wipe own nose when</w:t>
            </w:r>
            <w:r>
              <w:rPr>
                <w:color w:val="1F1F1E"/>
                <w:spacing w:val="-15"/>
              </w:rPr>
              <w:t xml:space="preserve"> </w:t>
            </w:r>
            <w:r>
              <w:rPr>
                <w:color w:val="1F1F1E"/>
              </w:rPr>
              <w:t>needed.</w:t>
            </w:r>
          </w:p>
          <w:p w:rsidR="00AA25B4" w:rsidRDefault="009A25EC">
            <w:pPr>
              <w:pStyle w:val="TableParagraph"/>
              <w:numPr>
                <w:ilvl w:val="0"/>
                <w:numId w:val="2"/>
              </w:numPr>
              <w:tabs>
                <w:tab w:val="left" w:pos="818"/>
                <w:tab w:val="left" w:pos="819"/>
              </w:tabs>
              <w:ind w:hanging="360"/>
            </w:pPr>
            <w:r>
              <w:rPr>
                <w:color w:val="1F1F1E"/>
              </w:rPr>
              <w:t>Know when hand washing is required and wash own hands</w:t>
            </w:r>
            <w:r>
              <w:rPr>
                <w:color w:val="1F1F1E"/>
                <w:spacing w:val="-22"/>
              </w:rPr>
              <w:t xml:space="preserve"> </w:t>
            </w:r>
            <w:r>
              <w:rPr>
                <w:color w:val="1F1F1E"/>
              </w:rPr>
              <w:t>independently.</w:t>
            </w:r>
          </w:p>
          <w:p w:rsidR="00AA25B4" w:rsidRDefault="009A25EC">
            <w:pPr>
              <w:pStyle w:val="TableParagraph"/>
              <w:numPr>
                <w:ilvl w:val="0"/>
                <w:numId w:val="2"/>
              </w:numPr>
              <w:tabs>
                <w:tab w:val="left" w:pos="818"/>
                <w:tab w:val="left" w:pos="819"/>
              </w:tabs>
              <w:spacing w:line="269" w:lineRule="exact"/>
              <w:ind w:hanging="360"/>
            </w:pPr>
            <w:r>
              <w:rPr>
                <w:color w:val="1F1F1E"/>
              </w:rPr>
              <w:t>Be able to independently access packed lunch e.g. open yoghurt pots</w:t>
            </w:r>
            <w:r>
              <w:rPr>
                <w:color w:val="1F1F1E"/>
              </w:rPr>
              <w:t>, eating whole pieces of</w:t>
            </w:r>
            <w:r>
              <w:rPr>
                <w:color w:val="1F1F1E"/>
                <w:spacing w:val="-31"/>
              </w:rPr>
              <w:t xml:space="preserve"> </w:t>
            </w:r>
            <w:r>
              <w:rPr>
                <w:color w:val="1F1F1E"/>
              </w:rPr>
              <w:t>fruit.</w:t>
            </w:r>
          </w:p>
          <w:p w:rsidR="00AA25B4" w:rsidRDefault="009A25EC">
            <w:pPr>
              <w:pStyle w:val="TableParagraph"/>
              <w:numPr>
                <w:ilvl w:val="0"/>
                <w:numId w:val="2"/>
              </w:numPr>
              <w:tabs>
                <w:tab w:val="left" w:pos="818"/>
                <w:tab w:val="left" w:pos="819"/>
              </w:tabs>
              <w:ind w:hanging="360"/>
            </w:pPr>
            <w:r>
              <w:rPr>
                <w:color w:val="1F1F1E"/>
              </w:rPr>
              <w:t>To be able to feed self, use a knife and</w:t>
            </w:r>
            <w:r>
              <w:rPr>
                <w:color w:val="1F1F1E"/>
                <w:spacing w:val="-11"/>
              </w:rPr>
              <w:t xml:space="preserve"> </w:t>
            </w:r>
            <w:r>
              <w:rPr>
                <w:color w:val="1F1F1E"/>
              </w:rPr>
              <w:t>fork.</w:t>
            </w:r>
          </w:p>
          <w:p w:rsidR="00AA25B4" w:rsidRDefault="009A25EC">
            <w:pPr>
              <w:pStyle w:val="TableParagraph"/>
              <w:numPr>
                <w:ilvl w:val="0"/>
                <w:numId w:val="2"/>
              </w:numPr>
              <w:tabs>
                <w:tab w:val="left" w:pos="818"/>
                <w:tab w:val="left" w:pos="819"/>
              </w:tabs>
              <w:ind w:hanging="360"/>
            </w:pPr>
            <w:r>
              <w:rPr>
                <w:color w:val="1F1F1E"/>
              </w:rPr>
              <w:t xml:space="preserve">To have plenty of opportunities to </w:t>
            </w:r>
            <w:r w:rsidR="00132E1B">
              <w:rPr>
                <w:color w:val="1F1F1E"/>
              </w:rPr>
              <w:t>practice</w:t>
            </w:r>
            <w:r>
              <w:rPr>
                <w:color w:val="1F1F1E"/>
              </w:rPr>
              <w:t xml:space="preserve"> mark making on a large-scale and develop pencil</w:t>
            </w:r>
            <w:r>
              <w:rPr>
                <w:color w:val="1F1F1E"/>
                <w:spacing w:val="-30"/>
              </w:rPr>
              <w:t xml:space="preserve"> </w:t>
            </w:r>
            <w:r>
              <w:rPr>
                <w:color w:val="1F1F1E"/>
              </w:rPr>
              <w:t>control.</w:t>
            </w:r>
          </w:p>
        </w:tc>
      </w:tr>
      <w:tr w:rsidR="00AA25B4" w:rsidTr="00132E1B">
        <w:trPr>
          <w:trHeight w:hRule="exact" w:val="1276"/>
        </w:trPr>
        <w:tc>
          <w:tcPr>
            <w:tcW w:w="10766" w:type="dxa"/>
            <w:shd w:val="clear" w:color="auto" w:fill="DEEAF6"/>
          </w:tcPr>
          <w:p w:rsidR="00AA25B4" w:rsidRDefault="00132E1B">
            <w:pPr>
              <w:pStyle w:val="TableParagraph"/>
              <w:spacing w:line="240" w:lineRule="auto"/>
              <w:ind w:left="2779" w:right="2779" w:firstLine="0"/>
              <w:jc w:val="center"/>
              <w:rPr>
                <w:b/>
                <w:sz w:val="24"/>
              </w:rPr>
            </w:pPr>
            <w:r>
              <w:rPr>
                <w:b/>
                <w:color w:val="1F1F1E"/>
                <w:sz w:val="24"/>
              </w:rPr>
              <w:br/>
            </w:r>
            <w:r w:rsidR="009A25EC">
              <w:rPr>
                <w:b/>
                <w:color w:val="1F1F1E"/>
                <w:sz w:val="24"/>
              </w:rPr>
              <w:t>Communication language and literacy skills.</w:t>
            </w:r>
          </w:p>
          <w:p w:rsidR="00AA25B4" w:rsidRDefault="009A25EC">
            <w:pPr>
              <w:pStyle w:val="TableParagraph"/>
              <w:spacing w:line="240" w:lineRule="auto"/>
              <w:ind w:left="3958" w:right="3960" w:firstLine="0"/>
              <w:jc w:val="center"/>
              <w:rPr>
                <w:b/>
                <w:sz w:val="24"/>
              </w:rPr>
            </w:pPr>
            <w:r>
              <w:rPr>
                <w:b/>
                <w:color w:val="1F1F1E"/>
                <w:sz w:val="24"/>
              </w:rPr>
              <w:t>Understanding the world Mathematics</w:t>
            </w:r>
          </w:p>
        </w:tc>
      </w:tr>
      <w:tr w:rsidR="00AA25B4" w:rsidTr="00132E1B">
        <w:trPr>
          <w:trHeight w:hRule="exact" w:val="2697"/>
        </w:trPr>
        <w:tc>
          <w:tcPr>
            <w:tcW w:w="10766" w:type="dxa"/>
          </w:tcPr>
          <w:p w:rsidR="00AA25B4" w:rsidRDefault="009A25EC">
            <w:pPr>
              <w:pStyle w:val="TableParagraph"/>
              <w:numPr>
                <w:ilvl w:val="0"/>
                <w:numId w:val="1"/>
              </w:numPr>
              <w:tabs>
                <w:tab w:val="left" w:pos="818"/>
                <w:tab w:val="left" w:pos="819"/>
              </w:tabs>
              <w:spacing w:before="2" w:line="269" w:lineRule="exact"/>
              <w:ind w:hanging="360"/>
            </w:pPr>
            <w:r>
              <w:rPr>
                <w:color w:val="1F1F1E"/>
              </w:rPr>
              <w:t>Recite nursery</w:t>
            </w:r>
            <w:r>
              <w:rPr>
                <w:color w:val="1F1F1E"/>
                <w:spacing w:val="-7"/>
              </w:rPr>
              <w:t xml:space="preserve"> </w:t>
            </w:r>
            <w:r>
              <w:rPr>
                <w:color w:val="1F1F1E"/>
              </w:rPr>
              <w:t>rhymes.</w:t>
            </w:r>
          </w:p>
          <w:p w:rsidR="00AA25B4" w:rsidRDefault="009A25EC">
            <w:pPr>
              <w:pStyle w:val="TableParagraph"/>
              <w:numPr>
                <w:ilvl w:val="0"/>
                <w:numId w:val="1"/>
              </w:numPr>
              <w:tabs>
                <w:tab w:val="left" w:pos="818"/>
                <w:tab w:val="left" w:pos="819"/>
              </w:tabs>
              <w:spacing w:line="269" w:lineRule="exact"/>
              <w:ind w:hanging="360"/>
            </w:pPr>
            <w:r>
              <w:rPr>
                <w:color w:val="1F1F1E"/>
              </w:rPr>
              <w:t>Listen to and respond to simple</w:t>
            </w:r>
            <w:r>
              <w:rPr>
                <w:color w:val="1F1F1E"/>
                <w:spacing w:val="-13"/>
              </w:rPr>
              <w:t xml:space="preserve"> </w:t>
            </w:r>
            <w:r>
              <w:rPr>
                <w:color w:val="1F1F1E"/>
              </w:rPr>
              <w:t>instructions.</w:t>
            </w:r>
          </w:p>
          <w:p w:rsidR="00AA25B4" w:rsidRDefault="009A25EC">
            <w:pPr>
              <w:pStyle w:val="TableParagraph"/>
              <w:numPr>
                <w:ilvl w:val="0"/>
                <w:numId w:val="1"/>
              </w:numPr>
              <w:tabs>
                <w:tab w:val="left" w:pos="818"/>
                <w:tab w:val="left" w:pos="819"/>
              </w:tabs>
              <w:ind w:hanging="360"/>
            </w:pPr>
            <w:r>
              <w:rPr>
                <w:color w:val="1F1F1E"/>
              </w:rPr>
              <w:t xml:space="preserve">To </w:t>
            </w:r>
            <w:proofErr w:type="spellStart"/>
            <w:r>
              <w:rPr>
                <w:color w:val="1F1F1E"/>
              </w:rPr>
              <w:t>recognise</w:t>
            </w:r>
            <w:proofErr w:type="spellEnd"/>
            <w:r>
              <w:rPr>
                <w:color w:val="1F1F1E"/>
              </w:rPr>
              <w:t xml:space="preserve"> own name including surname/family name and</w:t>
            </w:r>
            <w:r>
              <w:rPr>
                <w:color w:val="1F1F1E"/>
                <w:spacing w:val="-18"/>
              </w:rPr>
              <w:t xml:space="preserve"> </w:t>
            </w:r>
            <w:r>
              <w:rPr>
                <w:color w:val="1F1F1E"/>
              </w:rPr>
              <w:t>gender.</w:t>
            </w:r>
          </w:p>
          <w:p w:rsidR="00AA25B4" w:rsidRDefault="009A25EC">
            <w:pPr>
              <w:pStyle w:val="TableParagraph"/>
              <w:numPr>
                <w:ilvl w:val="0"/>
                <w:numId w:val="1"/>
              </w:numPr>
              <w:tabs>
                <w:tab w:val="left" w:pos="818"/>
                <w:tab w:val="left" w:pos="819"/>
              </w:tabs>
              <w:ind w:hanging="360"/>
            </w:pPr>
            <w:r>
              <w:rPr>
                <w:color w:val="1F1F1E"/>
              </w:rPr>
              <w:t xml:space="preserve">To be able to </w:t>
            </w:r>
            <w:proofErr w:type="spellStart"/>
            <w:r>
              <w:rPr>
                <w:color w:val="1F1F1E"/>
              </w:rPr>
              <w:t>verbalise</w:t>
            </w:r>
            <w:proofErr w:type="spellEnd"/>
            <w:r>
              <w:rPr>
                <w:color w:val="1F1F1E"/>
              </w:rPr>
              <w:t xml:space="preserve"> their own needs and</w:t>
            </w:r>
            <w:r>
              <w:rPr>
                <w:color w:val="1F1F1E"/>
                <w:spacing w:val="-18"/>
              </w:rPr>
              <w:t xml:space="preserve"> </w:t>
            </w:r>
            <w:r>
              <w:rPr>
                <w:color w:val="1F1F1E"/>
              </w:rPr>
              <w:t>emotions.</w:t>
            </w:r>
          </w:p>
          <w:p w:rsidR="00AA25B4" w:rsidRDefault="009A25EC">
            <w:pPr>
              <w:pStyle w:val="TableParagraph"/>
              <w:numPr>
                <w:ilvl w:val="0"/>
                <w:numId w:val="1"/>
              </w:numPr>
              <w:tabs>
                <w:tab w:val="left" w:pos="818"/>
                <w:tab w:val="left" w:pos="819"/>
              </w:tabs>
              <w:ind w:hanging="360"/>
            </w:pPr>
            <w:r>
              <w:rPr>
                <w:color w:val="1F1F1E"/>
              </w:rPr>
              <w:t>To be able to ask for help when</w:t>
            </w:r>
            <w:r>
              <w:rPr>
                <w:color w:val="1F1F1E"/>
                <w:spacing w:val="-15"/>
              </w:rPr>
              <w:t xml:space="preserve"> </w:t>
            </w:r>
            <w:r>
              <w:rPr>
                <w:color w:val="1F1F1E"/>
              </w:rPr>
              <w:t>needed.</w:t>
            </w:r>
          </w:p>
          <w:p w:rsidR="00AA25B4" w:rsidRDefault="009A25EC">
            <w:pPr>
              <w:pStyle w:val="TableParagraph"/>
              <w:numPr>
                <w:ilvl w:val="0"/>
                <w:numId w:val="1"/>
              </w:numPr>
              <w:tabs>
                <w:tab w:val="left" w:pos="818"/>
                <w:tab w:val="left" w:pos="819"/>
              </w:tabs>
              <w:ind w:hanging="360"/>
            </w:pPr>
            <w:r>
              <w:rPr>
                <w:color w:val="1F1F1E"/>
              </w:rPr>
              <w:t>To be confident to converse with an</w:t>
            </w:r>
            <w:r>
              <w:rPr>
                <w:color w:val="1F1F1E"/>
                <w:spacing w:val="-12"/>
              </w:rPr>
              <w:t xml:space="preserve"> </w:t>
            </w:r>
            <w:r>
              <w:rPr>
                <w:color w:val="1F1F1E"/>
              </w:rPr>
              <w:t>adult.</w:t>
            </w:r>
          </w:p>
          <w:p w:rsidR="00AA25B4" w:rsidRDefault="009A25EC">
            <w:pPr>
              <w:pStyle w:val="TableParagraph"/>
              <w:numPr>
                <w:ilvl w:val="0"/>
                <w:numId w:val="1"/>
              </w:numPr>
              <w:tabs>
                <w:tab w:val="left" w:pos="818"/>
                <w:tab w:val="left" w:pos="819"/>
              </w:tabs>
              <w:ind w:hanging="360"/>
            </w:pPr>
            <w:r>
              <w:rPr>
                <w:color w:val="1F1F1E"/>
              </w:rPr>
              <w:t>To enjoy sharing</w:t>
            </w:r>
            <w:r>
              <w:rPr>
                <w:color w:val="1F1F1E"/>
                <w:spacing w:val="-7"/>
              </w:rPr>
              <w:t xml:space="preserve"> </w:t>
            </w:r>
            <w:r>
              <w:rPr>
                <w:color w:val="1F1F1E"/>
              </w:rPr>
              <w:t>stories.</w:t>
            </w:r>
          </w:p>
          <w:p w:rsidR="00AA25B4" w:rsidRDefault="009A25EC">
            <w:pPr>
              <w:pStyle w:val="TableParagraph"/>
              <w:numPr>
                <w:ilvl w:val="0"/>
                <w:numId w:val="1"/>
              </w:numPr>
              <w:tabs>
                <w:tab w:val="left" w:pos="818"/>
                <w:tab w:val="left" w:pos="819"/>
              </w:tabs>
              <w:spacing w:before="18" w:line="252" w:lineRule="exact"/>
              <w:ind w:right="752" w:hanging="360"/>
            </w:pPr>
            <w:r>
              <w:rPr>
                <w:color w:val="1F1F1E"/>
              </w:rPr>
              <w:t>Showing an interest in numbers and letters e.g. how old they are, numbers on street signs, car registrations</w:t>
            </w:r>
            <w:r>
              <w:rPr>
                <w:color w:val="1F1F1E"/>
                <w:spacing w:val="-6"/>
              </w:rPr>
              <w:t xml:space="preserve"> </w:t>
            </w:r>
            <w:r>
              <w:rPr>
                <w:color w:val="1F1F1E"/>
              </w:rPr>
              <w:t>etc.</w:t>
            </w:r>
          </w:p>
          <w:p w:rsidR="00AA25B4" w:rsidRDefault="009A25EC">
            <w:pPr>
              <w:pStyle w:val="TableParagraph"/>
              <w:numPr>
                <w:ilvl w:val="0"/>
                <w:numId w:val="1"/>
              </w:numPr>
              <w:tabs>
                <w:tab w:val="left" w:pos="818"/>
                <w:tab w:val="left" w:pos="819"/>
              </w:tabs>
              <w:spacing w:line="267" w:lineRule="exact"/>
              <w:ind w:hanging="360"/>
            </w:pPr>
            <w:r>
              <w:rPr>
                <w:color w:val="1F1F1E"/>
              </w:rPr>
              <w:t>To follow an adult led</w:t>
            </w:r>
            <w:r>
              <w:rPr>
                <w:color w:val="1F1F1E"/>
                <w:spacing w:val="-13"/>
              </w:rPr>
              <w:t xml:space="preserve"> </w:t>
            </w:r>
            <w:r>
              <w:rPr>
                <w:color w:val="1F1F1E"/>
              </w:rPr>
              <w:t>activity.</w:t>
            </w:r>
          </w:p>
        </w:tc>
      </w:tr>
    </w:tbl>
    <w:p w:rsidR="00AA25B4" w:rsidRDefault="00AA25B4">
      <w:pPr>
        <w:spacing w:line="267" w:lineRule="exact"/>
        <w:sectPr w:rsidR="00AA25B4">
          <w:footerReference w:type="default" r:id="rId10"/>
          <w:type w:val="continuous"/>
          <w:pgSz w:w="11920" w:h="16850"/>
          <w:pgMar w:top="60" w:right="0" w:bottom="640" w:left="0" w:header="720" w:footer="453" w:gutter="0"/>
          <w:pgNumType w:start="1"/>
          <w:cols w:space="720"/>
        </w:sectPr>
      </w:pPr>
    </w:p>
    <w:p w:rsidR="00AA25B4" w:rsidRDefault="009A25EC">
      <w:pPr>
        <w:pStyle w:val="BodyText"/>
        <w:spacing w:before="63"/>
        <w:ind w:left="111" w:right="383"/>
      </w:pPr>
      <w:r>
        <w:rPr>
          <w:color w:val="212121"/>
        </w:rPr>
        <w:lastRenderedPageBreak/>
        <w:t>A coordinated and collaborative approach between school and provider is essential for a smooth transition to take place. Keeping routines a</w:t>
      </w:r>
      <w:r>
        <w:rPr>
          <w:color w:val="212121"/>
        </w:rPr>
        <w:t xml:space="preserve">nd the environment as familiar as possible will support children adjust and settle more quickly. Working in partnership with parents and professionals enables consistency and for a </w:t>
      </w:r>
      <w:proofErr w:type="spellStart"/>
      <w:r>
        <w:rPr>
          <w:color w:val="212121"/>
        </w:rPr>
        <w:t>personalised</w:t>
      </w:r>
      <w:proofErr w:type="spellEnd"/>
      <w:r>
        <w:rPr>
          <w:color w:val="212121"/>
        </w:rPr>
        <w:t xml:space="preserve"> transition to be made.</w:t>
      </w:r>
    </w:p>
    <w:p w:rsidR="00AA25B4" w:rsidRDefault="00AA25B4">
      <w:pPr>
        <w:pStyle w:val="BodyText"/>
        <w:spacing w:before="6"/>
        <w:rPr>
          <w:sz w:val="30"/>
        </w:rPr>
      </w:pPr>
    </w:p>
    <w:p w:rsidR="00AA25B4" w:rsidRDefault="009A25EC">
      <w:pPr>
        <w:pStyle w:val="BodyText"/>
        <w:ind w:left="111" w:right="111"/>
        <w:jc w:val="both"/>
      </w:pPr>
      <w:r>
        <w:rPr>
          <w:color w:val="212121"/>
        </w:rPr>
        <w:t>For children with a special educational need and / or disability (</w:t>
      </w:r>
      <w:hyperlink r:id="rId11">
        <w:r>
          <w:t>SEND</w:t>
        </w:r>
      </w:hyperlink>
      <w:r>
        <w:rPr>
          <w:color w:val="212121"/>
        </w:rPr>
        <w:t>) they may not reach the perceived expectations for school-readiness, despite early intervention and support. There will alwa</w:t>
      </w:r>
      <w:r>
        <w:rPr>
          <w:color w:val="212121"/>
        </w:rPr>
        <w:t>ys be some children who find it more difficult to use the toilet, put on their own</w:t>
      </w:r>
      <w:r>
        <w:rPr>
          <w:color w:val="212121"/>
          <w:spacing w:val="-13"/>
        </w:rPr>
        <w:t xml:space="preserve"> </w:t>
      </w:r>
      <w:r>
        <w:rPr>
          <w:color w:val="212121"/>
        </w:rPr>
        <w:t>coats</w:t>
      </w:r>
      <w:r>
        <w:rPr>
          <w:color w:val="212121"/>
          <w:spacing w:val="-13"/>
        </w:rPr>
        <w:t xml:space="preserve"> </w:t>
      </w:r>
      <w:r>
        <w:rPr>
          <w:color w:val="212121"/>
        </w:rPr>
        <w:t>and</w:t>
      </w:r>
      <w:r>
        <w:rPr>
          <w:color w:val="212121"/>
          <w:spacing w:val="-15"/>
        </w:rPr>
        <w:t xml:space="preserve"> </w:t>
      </w:r>
      <w:r>
        <w:rPr>
          <w:color w:val="212121"/>
        </w:rPr>
        <w:t>express</w:t>
      </w:r>
      <w:r>
        <w:rPr>
          <w:color w:val="212121"/>
          <w:spacing w:val="-14"/>
        </w:rPr>
        <w:t xml:space="preserve"> </w:t>
      </w:r>
      <w:r>
        <w:rPr>
          <w:color w:val="212121"/>
        </w:rPr>
        <w:t>themselves.</w:t>
      </w:r>
      <w:r>
        <w:rPr>
          <w:color w:val="212121"/>
          <w:spacing w:val="1"/>
        </w:rPr>
        <w:t xml:space="preserve"> </w:t>
      </w:r>
      <w:r>
        <w:rPr>
          <w:color w:val="212121"/>
        </w:rPr>
        <w:t>A</w:t>
      </w:r>
      <w:r>
        <w:rPr>
          <w:color w:val="212121"/>
          <w:spacing w:val="-13"/>
        </w:rPr>
        <w:t xml:space="preserve"> </w:t>
      </w:r>
      <w:r>
        <w:rPr>
          <w:color w:val="212121"/>
        </w:rPr>
        <w:t>carefully</w:t>
      </w:r>
      <w:r>
        <w:rPr>
          <w:color w:val="212121"/>
          <w:spacing w:val="-16"/>
        </w:rPr>
        <w:t xml:space="preserve"> </w:t>
      </w:r>
      <w:r>
        <w:rPr>
          <w:color w:val="212121"/>
        </w:rPr>
        <w:t>planned</w:t>
      </w:r>
      <w:r>
        <w:rPr>
          <w:color w:val="212121"/>
          <w:spacing w:val="-13"/>
        </w:rPr>
        <w:t xml:space="preserve"> </w:t>
      </w:r>
      <w:r>
        <w:rPr>
          <w:color w:val="212121"/>
        </w:rPr>
        <w:t>transition</w:t>
      </w:r>
      <w:r>
        <w:rPr>
          <w:color w:val="212121"/>
          <w:spacing w:val="-13"/>
        </w:rPr>
        <w:t xml:space="preserve"> </w:t>
      </w:r>
      <w:r>
        <w:rPr>
          <w:color w:val="212121"/>
        </w:rPr>
        <w:t>should</w:t>
      </w:r>
      <w:r>
        <w:rPr>
          <w:color w:val="212121"/>
          <w:spacing w:val="-13"/>
        </w:rPr>
        <w:t xml:space="preserve"> </w:t>
      </w:r>
      <w:r>
        <w:rPr>
          <w:color w:val="212121"/>
        </w:rPr>
        <w:t>allow</w:t>
      </w:r>
      <w:r>
        <w:rPr>
          <w:color w:val="212121"/>
          <w:spacing w:val="-17"/>
        </w:rPr>
        <w:t xml:space="preserve"> </w:t>
      </w:r>
      <w:r>
        <w:rPr>
          <w:color w:val="212121"/>
        </w:rPr>
        <w:t>the</w:t>
      </w:r>
      <w:r>
        <w:rPr>
          <w:color w:val="212121"/>
          <w:spacing w:val="-13"/>
        </w:rPr>
        <w:t xml:space="preserve"> </w:t>
      </w:r>
      <w:r>
        <w:rPr>
          <w:color w:val="212121"/>
        </w:rPr>
        <w:t>receiving school to find out about the child’s strengths, needs and preferences. Reasonable adjustments should be made by both Early Years providers and schools to help children to achieve their full potential and become confident individuals. Sharing info</w:t>
      </w:r>
      <w:r>
        <w:rPr>
          <w:color w:val="212121"/>
        </w:rPr>
        <w:t xml:space="preserve">rmation about specific interventions and </w:t>
      </w:r>
      <w:proofErr w:type="spellStart"/>
      <w:r>
        <w:rPr>
          <w:color w:val="212121"/>
        </w:rPr>
        <w:t>programmes</w:t>
      </w:r>
      <w:proofErr w:type="spellEnd"/>
      <w:r>
        <w:rPr>
          <w:color w:val="212121"/>
        </w:rPr>
        <w:t xml:space="preserve"> of support is essential to help children settle and transition more</w:t>
      </w:r>
      <w:r>
        <w:rPr>
          <w:color w:val="212121"/>
          <w:spacing w:val="-9"/>
        </w:rPr>
        <w:t xml:space="preserve"> </w:t>
      </w:r>
      <w:r>
        <w:rPr>
          <w:color w:val="212121"/>
        </w:rPr>
        <w:t>effectively.</w:t>
      </w:r>
    </w:p>
    <w:p w:rsidR="00AA25B4" w:rsidRDefault="00AA25B4">
      <w:pPr>
        <w:pStyle w:val="BodyText"/>
        <w:spacing w:before="6"/>
        <w:rPr>
          <w:sz w:val="32"/>
        </w:rPr>
      </w:pPr>
    </w:p>
    <w:p w:rsidR="00AA25B4" w:rsidRDefault="009A25EC">
      <w:pPr>
        <w:pStyle w:val="BodyText"/>
        <w:ind w:left="111"/>
      </w:pPr>
      <w:r>
        <w:rPr>
          <w:color w:val="212121"/>
        </w:rPr>
        <w:t>For more helpful hints and tips on supporting a child to become ‘school ready’ please follow the link below:</w:t>
      </w:r>
    </w:p>
    <w:p w:rsidR="00AA25B4" w:rsidRDefault="00AA25B4">
      <w:pPr>
        <w:pStyle w:val="BodyText"/>
        <w:spacing w:before="7"/>
        <w:rPr>
          <w:sz w:val="32"/>
        </w:rPr>
      </w:pPr>
    </w:p>
    <w:p w:rsidR="00AA25B4" w:rsidRDefault="009A25EC">
      <w:pPr>
        <w:pStyle w:val="BodyText"/>
        <w:ind w:left="111"/>
        <w:rPr>
          <w:rFonts w:ascii="Times New Roman"/>
          <w:color w:val="0462C1"/>
          <w:u w:val="single" w:color="0462C1"/>
        </w:rPr>
      </w:pPr>
      <w:hyperlink r:id="rId12">
        <w:r>
          <w:rPr>
            <w:rFonts w:ascii="Times New Roman"/>
            <w:color w:val="0462C1"/>
            <w:u w:val="single" w:color="0462C1"/>
          </w:rPr>
          <w:t>https://www.pacey.org.uk/working-in-childcare/spotlight-on/being-school-ready/</w:t>
        </w:r>
      </w:hyperlink>
    </w:p>
    <w:p w:rsidR="00132E1B" w:rsidRDefault="00132E1B">
      <w:pPr>
        <w:pStyle w:val="BodyText"/>
        <w:ind w:left="111"/>
        <w:rPr>
          <w:rFonts w:ascii="Times New Roman"/>
        </w:rPr>
      </w:pPr>
    </w:p>
    <w:p w:rsidR="00132E1B" w:rsidRDefault="00132E1B" w:rsidP="00132E1B">
      <w:pPr>
        <w:pStyle w:val="BodyText"/>
        <w:ind w:left="-284" w:firstLine="142"/>
        <w:rPr>
          <w:rFonts w:ascii="Times New Roman"/>
        </w:rPr>
      </w:pPr>
      <w:bookmarkStart w:id="0" w:name="_GoBack"/>
      <w:r>
        <w:rPr>
          <w:noProof/>
        </w:rPr>
        <w:drawing>
          <wp:inline distT="0" distB="0" distL="0" distR="0" wp14:anchorId="422DAC43" wp14:editId="6D3668B8">
            <wp:extent cx="6691630" cy="5638800"/>
            <wp:effectExtent l="0" t="0" r="0" b="0"/>
            <wp:docPr id="1" name="Picture 1" descr="https://naturalnurture.org/wp-content/uploads/2017/05/School-Readiness-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turalnurture.org/wp-content/uploads/2017/05/School-Readiness-Post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08682" cy="5653169"/>
                    </a:xfrm>
                    <a:prstGeom prst="rect">
                      <a:avLst/>
                    </a:prstGeom>
                    <a:noFill/>
                    <a:ln>
                      <a:noFill/>
                    </a:ln>
                  </pic:spPr>
                </pic:pic>
              </a:graphicData>
            </a:graphic>
          </wp:inline>
        </w:drawing>
      </w:r>
      <w:bookmarkEnd w:id="0"/>
    </w:p>
    <w:sectPr w:rsidR="00132E1B" w:rsidSect="00B30744">
      <w:pgSz w:w="11920" w:h="16850"/>
      <w:pgMar w:top="851" w:right="1160" w:bottom="640" w:left="88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5EC" w:rsidRDefault="009A25EC">
      <w:r>
        <w:separator/>
      </w:r>
    </w:p>
  </w:endnote>
  <w:endnote w:type="continuationSeparator" w:id="0">
    <w:p w:rsidR="009A25EC" w:rsidRDefault="009A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5B4" w:rsidRDefault="009A25E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8.55pt;margin-top:808.4pt;width:40.6pt;height:15.3pt;z-index:-251658752;mso-position-horizontal-relative:page;mso-position-vertical-relative:page" filled="f" stroked="f">
          <v:textbox inset="0,0,0,0">
            <w:txbxContent>
              <w:p w:rsidR="00AA25B4" w:rsidRDefault="009A25EC">
                <w:pPr>
                  <w:pStyle w:val="BodyText"/>
                  <w:spacing w:before="10"/>
                  <w:ind w:left="20"/>
                  <w:rPr>
                    <w:rFonts w:ascii="Times New Roman"/>
                  </w:rPr>
                </w:pPr>
                <w:r>
                  <w:rPr>
                    <w:rFonts w:ascii="Times New Roman"/>
                  </w:rPr>
                  <w:t xml:space="preserve">Page | </w:t>
                </w: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5EC" w:rsidRDefault="009A25EC">
      <w:r>
        <w:separator/>
      </w:r>
    </w:p>
  </w:footnote>
  <w:footnote w:type="continuationSeparator" w:id="0">
    <w:p w:rsidR="009A25EC" w:rsidRDefault="009A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D737A"/>
    <w:multiLevelType w:val="hybridMultilevel"/>
    <w:tmpl w:val="C198A0D4"/>
    <w:lvl w:ilvl="0" w:tplc="7E6C9814">
      <w:numFmt w:val="bullet"/>
      <w:lvlText w:val=""/>
      <w:lvlJc w:val="left"/>
      <w:pPr>
        <w:ind w:left="818" w:hanging="361"/>
      </w:pPr>
      <w:rPr>
        <w:rFonts w:ascii="Symbol" w:eastAsia="Symbol" w:hAnsi="Symbol" w:cs="Symbol" w:hint="default"/>
        <w:color w:val="1F1F1E"/>
        <w:w w:val="100"/>
        <w:sz w:val="22"/>
        <w:szCs w:val="22"/>
      </w:rPr>
    </w:lvl>
    <w:lvl w:ilvl="1" w:tplc="C6BE2156">
      <w:numFmt w:val="bullet"/>
      <w:lvlText w:val="•"/>
      <w:lvlJc w:val="left"/>
      <w:pPr>
        <w:ind w:left="1812" w:hanging="361"/>
      </w:pPr>
      <w:rPr>
        <w:rFonts w:hint="default"/>
      </w:rPr>
    </w:lvl>
    <w:lvl w:ilvl="2" w:tplc="6CD21C28">
      <w:numFmt w:val="bullet"/>
      <w:lvlText w:val="•"/>
      <w:lvlJc w:val="left"/>
      <w:pPr>
        <w:ind w:left="2805" w:hanging="361"/>
      </w:pPr>
      <w:rPr>
        <w:rFonts w:hint="default"/>
      </w:rPr>
    </w:lvl>
    <w:lvl w:ilvl="3" w:tplc="B330B4C6">
      <w:numFmt w:val="bullet"/>
      <w:lvlText w:val="•"/>
      <w:lvlJc w:val="left"/>
      <w:pPr>
        <w:ind w:left="3798" w:hanging="361"/>
      </w:pPr>
      <w:rPr>
        <w:rFonts w:hint="default"/>
      </w:rPr>
    </w:lvl>
    <w:lvl w:ilvl="4" w:tplc="8494A530">
      <w:numFmt w:val="bullet"/>
      <w:lvlText w:val="•"/>
      <w:lvlJc w:val="left"/>
      <w:pPr>
        <w:ind w:left="4790" w:hanging="361"/>
      </w:pPr>
      <w:rPr>
        <w:rFonts w:hint="default"/>
      </w:rPr>
    </w:lvl>
    <w:lvl w:ilvl="5" w:tplc="8CB232E6">
      <w:numFmt w:val="bullet"/>
      <w:lvlText w:val="•"/>
      <w:lvlJc w:val="left"/>
      <w:pPr>
        <w:ind w:left="5783" w:hanging="361"/>
      </w:pPr>
      <w:rPr>
        <w:rFonts w:hint="default"/>
      </w:rPr>
    </w:lvl>
    <w:lvl w:ilvl="6" w:tplc="2E64214C">
      <w:numFmt w:val="bullet"/>
      <w:lvlText w:val="•"/>
      <w:lvlJc w:val="left"/>
      <w:pPr>
        <w:ind w:left="6776" w:hanging="361"/>
      </w:pPr>
      <w:rPr>
        <w:rFonts w:hint="default"/>
      </w:rPr>
    </w:lvl>
    <w:lvl w:ilvl="7" w:tplc="E03E3BD2">
      <w:numFmt w:val="bullet"/>
      <w:lvlText w:val="•"/>
      <w:lvlJc w:val="left"/>
      <w:pPr>
        <w:ind w:left="7769" w:hanging="361"/>
      </w:pPr>
      <w:rPr>
        <w:rFonts w:hint="default"/>
      </w:rPr>
    </w:lvl>
    <w:lvl w:ilvl="8" w:tplc="6002B500">
      <w:numFmt w:val="bullet"/>
      <w:lvlText w:val="•"/>
      <w:lvlJc w:val="left"/>
      <w:pPr>
        <w:ind w:left="8761" w:hanging="361"/>
      </w:pPr>
      <w:rPr>
        <w:rFonts w:hint="default"/>
      </w:rPr>
    </w:lvl>
  </w:abstractNum>
  <w:abstractNum w:abstractNumId="1" w15:restartNumberingAfterBreak="0">
    <w:nsid w:val="59460ACB"/>
    <w:multiLevelType w:val="hybridMultilevel"/>
    <w:tmpl w:val="644E9FEE"/>
    <w:lvl w:ilvl="0" w:tplc="FF4CCE02">
      <w:numFmt w:val="bullet"/>
      <w:lvlText w:val=""/>
      <w:lvlJc w:val="left"/>
      <w:pPr>
        <w:ind w:left="818" w:hanging="361"/>
      </w:pPr>
      <w:rPr>
        <w:rFonts w:ascii="Symbol" w:eastAsia="Symbol" w:hAnsi="Symbol" w:cs="Symbol" w:hint="default"/>
        <w:color w:val="1F1F1E"/>
        <w:w w:val="100"/>
        <w:sz w:val="22"/>
        <w:szCs w:val="22"/>
      </w:rPr>
    </w:lvl>
    <w:lvl w:ilvl="1" w:tplc="ABDA5B2C">
      <w:numFmt w:val="bullet"/>
      <w:lvlText w:val="•"/>
      <w:lvlJc w:val="left"/>
      <w:pPr>
        <w:ind w:left="1812" w:hanging="361"/>
      </w:pPr>
      <w:rPr>
        <w:rFonts w:hint="default"/>
      </w:rPr>
    </w:lvl>
    <w:lvl w:ilvl="2" w:tplc="FD043E30">
      <w:numFmt w:val="bullet"/>
      <w:lvlText w:val="•"/>
      <w:lvlJc w:val="left"/>
      <w:pPr>
        <w:ind w:left="2805" w:hanging="361"/>
      </w:pPr>
      <w:rPr>
        <w:rFonts w:hint="default"/>
      </w:rPr>
    </w:lvl>
    <w:lvl w:ilvl="3" w:tplc="4AA87E26">
      <w:numFmt w:val="bullet"/>
      <w:lvlText w:val="•"/>
      <w:lvlJc w:val="left"/>
      <w:pPr>
        <w:ind w:left="3798" w:hanging="361"/>
      </w:pPr>
      <w:rPr>
        <w:rFonts w:hint="default"/>
      </w:rPr>
    </w:lvl>
    <w:lvl w:ilvl="4" w:tplc="E2FEBEB6">
      <w:numFmt w:val="bullet"/>
      <w:lvlText w:val="•"/>
      <w:lvlJc w:val="left"/>
      <w:pPr>
        <w:ind w:left="4790" w:hanging="361"/>
      </w:pPr>
      <w:rPr>
        <w:rFonts w:hint="default"/>
      </w:rPr>
    </w:lvl>
    <w:lvl w:ilvl="5" w:tplc="FD2636DC">
      <w:numFmt w:val="bullet"/>
      <w:lvlText w:val="•"/>
      <w:lvlJc w:val="left"/>
      <w:pPr>
        <w:ind w:left="5783" w:hanging="361"/>
      </w:pPr>
      <w:rPr>
        <w:rFonts w:hint="default"/>
      </w:rPr>
    </w:lvl>
    <w:lvl w:ilvl="6" w:tplc="0818E88A">
      <w:numFmt w:val="bullet"/>
      <w:lvlText w:val="•"/>
      <w:lvlJc w:val="left"/>
      <w:pPr>
        <w:ind w:left="6776" w:hanging="361"/>
      </w:pPr>
      <w:rPr>
        <w:rFonts w:hint="default"/>
      </w:rPr>
    </w:lvl>
    <w:lvl w:ilvl="7" w:tplc="B792FB2C">
      <w:numFmt w:val="bullet"/>
      <w:lvlText w:val="•"/>
      <w:lvlJc w:val="left"/>
      <w:pPr>
        <w:ind w:left="7769" w:hanging="361"/>
      </w:pPr>
      <w:rPr>
        <w:rFonts w:hint="default"/>
      </w:rPr>
    </w:lvl>
    <w:lvl w:ilvl="8" w:tplc="667C0FAE">
      <w:numFmt w:val="bullet"/>
      <w:lvlText w:val="•"/>
      <w:lvlJc w:val="left"/>
      <w:pPr>
        <w:ind w:left="8761" w:hanging="361"/>
      </w:pPr>
      <w:rPr>
        <w:rFonts w:hint="default"/>
      </w:rPr>
    </w:lvl>
  </w:abstractNum>
  <w:abstractNum w:abstractNumId="2" w15:restartNumberingAfterBreak="0">
    <w:nsid w:val="6BE619C6"/>
    <w:multiLevelType w:val="hybridMultilevel"/>
    <w:tmpl w:val="FB64F5F8"/>
    <w:lvl w:ilvl="0" w:tplc="F73A0320">
      <w:numFmt w:val="bullet"/>
      <w:lvlText w:val=""/>
      <w:lvlJc w:val="left"/>
      <w:pPr>
        <w:ind w:left="818" w:hanging="361"/>
      </w:pPr>
      <w:rPr>
        <w:rFonts w:ascii="Symbol" w:eastAsia="Symbol" w:hAnsi="Symbol" w:cs="Symbol" w:hint="default"/>
        <w:color w:val="1F1F1E"/>
        <w:w w:val="100"/>
        <w:sz w:val="22"/>
        <w:szCs w:val="22"/>
      </w:rPr>
    </w:lvl>
    <w:lvl w:ilvl="1" w:tplc="5F28D860">
      <w:numFmt w:val="bullet"/>
      <w:lvlText w:val="•"/>
      <w:lvlJc w:val="left"/>
      <w:pPr>
        <w:ind w:left="1812" w:hanging="361"/>
      </w:pPr>
      <w:rPr>
        <w:rFonts w:hint="default"/>
      </w:rPr>
    </w:lvl>
    <w:lvl w:ilvl="2" w:tplc="863A0826">
      <w:numFmt w:val="bullet"/>
      <w:lvlText w:val="•"/>
      <w:lvlJc w:val="left"/>
      <w:pPr>
        <w:ind w:left="2805" w:hanging="361"/>
      </w:pPr>
      <w:rPr>
        <w:rFonts w:hint="default"/>
      </w:rPr>
    </w:lvl>
    <w:lvl w:ilvl="3" w:tplc="113CA77C">
      <w:numFmt w:val="bullet"/>
      <w:lvlText w:val="•"/>
      <w:lvlJc w:val="left"/>
      <w:pPr>
        <w:ind w:left="3798" w:hanging="361"/>
      </w:pPr>
      <w:rPr>
        <w:rFonts w:hint="default"/>
      </w:rPr>
    </w:lvl>
    <w:lvl w:ilvl="4" w:tplc="CC9C1684">
      <w:numFmt w:val="bullet"/>
      <w:lvlText w:val="•"/>
      <w:lvlJc w:val="left"/>
      <w:pPr>
        <w:ind w:left="4790" w:hanging="361"/>
      </w:pPr>
      <w:rPr>
        <w:rFonts w:hint="default"/>
      </w:rPr>
    </w:lvl>
    <w:lvl w:ilvl="5" w:tplc="1B0AC884">
      <w:numFmt w:val="bullet"/>
      <w:lvlText w:val="•"/>
      <w:lvlJc w:val="left"/>
      <w:pPr>
        <w:ind w:left="5783" w:hanging="361"/>
      </w:pPr>
      <w:rPr>
        <w:rFonts w:hint="default"/>
      </w:rPr>
    </w:lvl>
    <w:lvl w:ilvl="6" w:tplc="FF783D7E">
      <w:numFmt w:val="bullet"/>
      <w:lvlText w:val="•"/>
      <w:lvlJc w:val="left"/>
      <w:pPr>
        <w:ind w:left="6776" w:hanging="361"/>
      </w:pPr>
      <w:rPr>
        <w:rFonts w:hint="default"/>
      </w:rPr>
    </w:lvl>
    <w:lvl w:ilvl="7" w:tplc="5CCC6C80">
      <w:numFmt w:val="bullet"/>
      <w:lvlText w:val="•"/>
      <w:lvlJc w:val="left"/>
      <w:pPr>
        <w:ind w:left="7769" w:hanging="361"/>
      </w:pPr>
      <w:rPr>
        <w:rFonts w:hint="default"/>
      </w:rPr>
    </w:lvl>
    <w:lvl w:ilvl="8" w:tplc="0B2E56BA">
      <w:numFmt w:val="bullet"/>
      <w:lvlText w:val="•"/>
      <w:lvlJc w:val="left"/>
      <w:pPr>
        <w:ind w:left="8761" w:hanging="36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A25B4"/>
    <w:rsid w:val="00132E1B"/>
    <w:rsid w:val="009A25EC"/>
    <w:rsid w:val="00AA25B4"/>
    <w:rsid w:val="00B3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C394C7"/>
  <w15:docId w15:val="{19A6E70C-D11C-4EAE-AA33-57656FA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81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cey.org.uk/working-in-childcare/spotlight-on/being-school-rea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s.com/news/school-news/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s.com/news/school-news/se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3204</Characters>
  <Application>Microsoft Office Word</Application>
  <DocSecurity>0</DocSecurity>
  <Lines>26</Lines>
  <Paragraphs>7</Paragraphs>
  <ScaleCrop>false</ScaleCrop>
  <Company>Coventry City Council</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Craddock, Sandra</cp:lastModifiedBy>
  <cp:revision>3</cp:revision>
  <dcterms:created xsi:type="dcterms:W3CDTF">2019-07-03T15:25:00Z</dcterms:created>
  <dcterms:modified xsi:type="dcterms:W3CDTF">2019-07-03T14:31:00Z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for Office 365</vt:lpwstr>
  </property>
  <property fmtid="{D5CDD505-2E9C-101B-9397-08002B2CF9AE}" pid="4" name="LastSaved">
    <vt:filetime>2019-07-03T00:00:00Z</vt:filetime>
  </property>
</Properties>
</file>