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2AEBF" w14:textId="046DA829" w:rsidR="00E60C24" w:rsidRDefault="001B4867" w:rsidP="5663FD1B">
      <w:pPr>
        <w:pBdr>
          <w:bottom w:val="single" w:sz="6" w:space="1" w:color="auto"/>
        </w:pBdr>
        <w:jc w:val="center"/>
        <w:rPr>
          <w:rFonts w:asciiTheme="minorHAnsi" w:hAnsiTheme="minorHAnsi"/>
          <w:caps/>
          <w:color w:val="477CBF" w:themeColor="accent1"/>
          <w:spacing w:val="10"/>
          <w:kern w:val="28"/>
          <w:sz w:val="52"/>
          <w:szCs w:val="52"/>
        </w:rPr>
      </w:pPr>
      <w:r w:rsidRPr="5663FD1B">
        <w:rPr>
          <w:rFonts w:asciiTheme="minorHAnsi" w:hAnsiTheme="minorHAnsi"/>
          <w:caps/>
          <w:color w:val="477CBF" w:themeColor="accent1"/>
          <w:spacing w:val="10"/>
          <w:kern w:val="28"/>
          <w:sz w:val="52"/>
          <w:szCs w:val="52"/>
        </w:rPr>
        <w:t>pharmaceutical Needs Assessment</w:t>
      </w:r>
    </w:p>
    <w:p w14:paraId="0F4A618E" w14:textId="77777777" w:rsidR="00E57486" w:rsidRDefault="000165D4" w:rsidP="000165D4">
      <w:pPr>
        <w:pBdr>
          <w:bottom w:val="single" w:sz="6" w:space="1" w:color="auto"/>
        </w:pBdr>
        <w:jc w:val="center"/>
        <w:rPr>
          <w:b/>
          <w:color w:val="808080" w:themeColor="background1" w:themeShade="80"/>
          <w:sz w:val="32"/>
        </w:rPr>
      </w:pPr>
      <w:r>
        <w:rPr>
          <w:b/>
          <w:noProof/>
          <w:color w:val="808080" w:themeColor="background1" w:themeShade="80"/>
          <w:sz w:val="32"/>
          <w:shd w:val="clear" w:color="auto" w:fill="E6E6E6"/>
        </w:rPr>
        <w:drawing>
          <wp:anchor distT="0" distB="0" distL="114300" distR="114300" simplePos="0" relativeHeight="251658240" behindDoc="0" locked="0" layoutInCell="1" allowOverlap="1" wp14:anchorId="4B84817A" wp14:editId="3400C602">
            <wp:simplePos x="0" y="0"/>
            <wp:positionH relativeFrom="column">
              <wp:posOffset>170180</wp:posOffset>
            </wp:positionH>
            <wp:positionV relativeFrom="paragraph">
              <wp:posOffset>1040443</wp:posOffset>
            </wp:positionV>
            <wp:extent cx="5810885" cy="63214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NA logos on transpar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0885" cy="6321425"/>
                    </a:xfrm>
                    <a:prstGeom prst="rect">
                      <a:avLst/>
                    </a:prstGeom>
                  </pic:spPr>
                </pic:pic>
              </a:graphicData>
            </a:graphic>
            <wp14:sizeRelH relativeFrom="page">
              <wp14:pctWidth>0</wp14:pctWidth>
            </wp14:sizeRelH>
            <wp14:sizeRelV relativeFrom="page">
              <wp14:pctHeight>0</wp14:pctHeight>
            </wp14:sizeRelV>
          </wp:anchor>
        </w:drawing>
      </w:r>
      <w:r w:rsidR="001B4867">
        <w:rPr>
          <w:b/>
          <w:color w:val="808080" w:themeColor="background1" w:themeShade="80"/>
          <w:sz w:val="32"/>
        </w:rPr>
        <w:t>Coventry City Council and Warwickshire County Council</w:t>
      </w:r>
      <w:r w:rsidR="00427008" w:rsidRPr="00427008">
        <w:rPr>
          <w:b/>
          <w:color w:val="808080" w:themeColor="background1" w:themeShade="80"/>
          <w:sz w:val="32"/>
        </w:rPr>
        <w:t xml:space="preserve"> </w:t>
      </w:r>
    </w:p>
    <w:p w14:paraId="1326AFD4" w14:textId="41D7CFC4" w:rsidR="00C25A26" w:rsidRPr="00427008" w:rsidRDefault="00427008" w:rsidP="000165D4">
      <w:pPr>
        <w:pBdr>
          <w:bottom w:val="single" w:sz="6" w:space="1" w:color="auto"/>
        </w:pBdr>
        <w:jc w:val="center"/>
        <w:rPr>
          <w:b/>
          <w:color w:val="808080" w:themeColor="background1" w:themeShade="80"/>
          <w:sz w:val="32"/>
        </w:rPr>
        <w:sectPr w:rsidR="00C25A26" w:rsidRPr="00427008" w:rsidSect="00F96554">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pPr>
      <w:r w:rsidRPr="00427008">
        <w:rPr>
          <w:b/>
          <w:color w:val="808080" w:themeColor="background1" w:themeShade="80"/>
          <w:sz w:val="32"/>
        </w:rPr>
        <w:t>20</w:t>
      </w:r>
      <w:r w:rsidR="001B4867">
        <w:rPr>
          <w:b/>
          <w:color w:val="808080" w:themeColor="background1" w:themeShade="80"/>
          <w:sz w:val="32"/>
        </w:rPr>
        <w:t>22</w:t>
      </w:r>
      <w:r w:rsidR="00D034A0">
        <w:rPr>
          <w:b/>
          <w:color w:val="808080" w:themeColor="background1" w:themeShade="80"/>
          <w:sz w:val="32"/>
        </w:rPr>
        <w:t xml:space="preserve"> - 2025</w:t>
      </w:r>
    </w:p>
    <w:p w14:paraId="4E3414B5" w14:textId="77777777" w:rsidR="00400B7D" w:rsidRPr="00206067" w:rsidRDefault="00400B7D" w:rsidP="00400B7D">
      <w:pPr>
        <w:pStyle w:val="Heading1"/>
      </w:pPr>
      <w:bookmarkStart w:id="0" w:name="_Document_Information"/>
      <w:bookmarkStart w:id="1" w:name="_Toc355791070"/>
      <w:bookmarkStart w:id="2" w:name="_Toc363033296"/>
      <w:bookmarkStart w:id="3" w:name="_Toc363035980"/>
      <w:bookmarkStart w:id="4" w:name="_Toc366594454"/>
      <w:bookmarkStart w:id="5" w:name="_Toc113628569"/>
      <w:bookmarkStart w:id="6" w:name="_Toc359931960"/>
      <w:bookmarkStart w:id="7" w:name="_Toc327522697"/>
      <w:bookmarkEnd w:id="0"/>
      <w:r>
        <w:lastRenderedPageBreak/>
        <w:t>Document Information</w:t>
      </w:r>
      <w:bookmarkEnd w:id="1"/>
      <w:bookmarkEnd w:id="2"/>
      <w:bookmarkEnd w:id="3"/>
      <w:bookmarkEnd w:id="4"/>
      <w:bookmarkEnd w:id="5"/>
    </w:p>
    <w:tbl>
      <w:tblPr>
        <w:tblW w:w="5000" w:type="pct"/>
        <w:tblBorders>
          <w:top w:val="single" w:sz="2" w:space="0" w:color="222A35" w:themeColor="text2" w:themeShade="80"/>
          <w:left w:val="single" w:sz="2" w:space="0" w:color="222A35" w:themeColor="text2" w:themeShade="80"/>
          <w:bottom w:val="single" w:sz="2" w:space="0" w:color="222A35" w:themeColor="text2" w:themeShade="80"/>
          <w:right w:val="single" w:sz="2" w:space="0" w:color="222A35" w:themeColor="text2" w:themeShade="80"/>
          <w:insideH w:val="single" w:sz="2" w:space="0" w:color="222A35" w:themeColor="text2" w:themeShade="80"/>
          <w:insideV w:val="single" w:sz="2" w:space="0" w:color="222A35" w:themeColor="text2" w:themeShade="80"/>
        </w:tblBorders>
        <w:tblLayout w:type="fixed"/>
        <w:tblLook w:val="01E0" w:firstRow="1" w:lastRow="1" w:firstColumn="1" w:lastColumn="1" w:noHBand="0" w:noVBand="0"/>
      </w:tblPr>
      <w:tblGrid>
        <w:gridCol w:w="2196"/>
        <w:gridCol w:w="3299"/>
        <w:gridCol w:w="1135"/>
        <w:gridCol w:w="1133"/>
        <w:gridCol w:w="1135"/>
        <w:gridCol w:w="1290"/>
      </w:tblGrid>
      <w:tr w:rsidR="00400B7D" w:rsidRPr="00E60C24" w14:paraId="7CB06DFF" w14:textId="77777777" w:rsidTr="008A0829">
        <w:trPr>
          <w:trHeight w:hRule="exact" w:val="340"/>
        </w:trPr>
        <w:tc>
          <w:tcPr>
            <w:tcW w:w="1078" w:type="pct"/>
            <w:shd w:val="clear" w:color="auto" w:fill="BFBFBF" w:themeFill="background1" w:themeFillShade="BF"/>
            <w:vAlign w:val="center"/>
          </w:tcPr>
          <w:p w14:paraId="3F0B428A" w14:textId="77777777" w:rsidR="00400B7D" w:rsidRPr="00E60C24" w:rsidRDefault="00FC3EA4" w:rsidP="008A0829">
            <w:pPr>
              <w:pStyle w:val="TableHeading"/>
              <w:rPr>
                <w:sz w:val="22"/>
              </w:rPr>
            </w:pPr>
            <w:r w:rsidRPr="00E60C24">
              <w:rPr>
                <w:sz w:val="22"/>
              </w:rPr>
              <w:t>Document</w:t>
            </w:r>
            <w:r w:rsidR="00400B7D" w:rsidRPr="00E60C24">
              <w:rPr>
                <w:sz w:val="22"/>
              </w:rPr>
              <w:t xml:space="preserve"> Name:</w:t>
            </w:r>
          </w:p>
        </w:tc>
        <w:sdt>
          <w:sdtPr>
            <w:rPr>
              <w:color w:val="2B579A"/>
              <w:sz w:val="22"/>
              <w:shd w:val="clear" w:color="auto" w:fill="E6E6E6"/>
            </w:rPr>
            <w:alias w:val="Project Name"/>
            <w:tag w:val="Project Name"/>
            <w:id w:val="-1551526590"/>
            <w:placeholder>
              <w:docPart w:val="0102A3956DD64BD59C414F08D8D7921E"/>
            </w:placeholder>
          </w:sdtPr>
          <w:sdtContent>
            <w:tc>
              <w:tcPr>
                <w:tcW w:w="3922" w:type="pct"/>
                <w:gridSpan w:val="5"/>
                <w:vAlign w:val="center"/>
              </w:tcPr>
              <w:p w14:paraId="2E04795B" w14:textId="0423BF35" w:rsidR="00400B7D" w:rsidRPr="00E60C24" w:rsidRDefault="00E80F65" w:rsidP="00E60C24">
                <w:pPr>
                  <w:pStyle w:val="TableText"/>
                  <w:rPr>
                    <w:sz w:val="22"/>
                  </w:rPr>
                </w:pPr>
                <w:r>
                  <w:rPr>
                    <w:color w:val="2B579A"/>
                    <w:sz w:val="22"/>
                    <w:shd w:val="clear" w:color="auto" w:fill="E6E6E6"/>
                  </w:rPr>
                  <w:t>Pharmaceutical Needs Assessment</w:t>
                </w:r>
              </w:p>
            </w:tc>
          </w:sdtContent>
        </w:sdt>
      </w:tr>
      <w:tr w:rsidR="00F96554" w:rsidRPr="00E60C24" w14:paraId="222CE517" w14:textId="77777777" w:rsidTr="00E60C24">
        <w:trPr>
          <w:trHeight w:hRule="exact" w:val="340"/>
        </w:trPr>
        <w:tc>
          <w:tcPr>
            <w:tcW w:w="1078" w:type="pct"/>
            <w:shd w:val="clear" w:color="auto" w:fill="BFBFBF" w:themeFill="background1" w:themeFillShade="BF"/>
            <w:vAlign w:val="center"/>
          </w:tcPr>
          <w:p w14:paraId="1778DCF4" w14:textId="77777777" w:rsidR="00400B7D" w:rsidRPr="00E60C24" w:rsidRDefault="00CA580B" w:rsidP="008A0829">
            <w:pPr>
              <w:pStyle w:val="TableHeading"/>
              <w:rPr>
                <w:sz w:val="22"/>
              </w:rPr>
            </w:pPr>
            <w:r w:rsidRPr="00E60C24">
              <w:rPr>
                <w:sz w:val="22"/>
              </w:rPr>
              <w:t xml:space="preserve">Published </w:t>
            </w:r>
            <w:r w:rsidR="00400B7D" w:rsidRPr="00E60C24">
              <w:rPr>
                <w:sz w:val="22"/>
              </w:rPr>
              <w:t>Date:</w:t>
            </w:r>
          </w:p>
        </w:tc>
        <w:sdt>
          <w:sdtPr>
            <w:rPr>
              <w:color w:val="2B579A"/>
              <w:sz w:val="22"/>
              <w:shd w:val="clear" w:color="auto" w:fill="E6E6E6"/>
            </w:rPr>
            <w:alias w:val="Date"/>
            <w:tag w:val="Date"/>
            <w:id w:val="1493373240"/>
            <w:placeholder>
              <w:docPart w:val="B45ACC5A11CC458FB805EF4495AECAFB"/>
            </w:placeholder>
            <w:date w:fullDate="2022-10-01T00:00:00Z">
              <w:dateFormat w:val="dddd, dd MMMM yyyy"/>
              <w:lid w:val="en-GB"/>
              <w:storeMappedDataAs w:val="dateTime"/>
              <w:calendar w:val="gregorian"/>
            </w:date>
          </w:sdtPr>
          <w:sdtContent>
            <w:tc>
              <w:tcPr>
                <w:tcW w:w="1619" w:type="pct"/>
                <w:vAlign w:val="center"/>
              </w:tcPr>
              <w:p w14:paraId="12C1464C" w14:textId="53E951BD" w:rsidR="00400B7D" w:rsidRPr="00E60C24" w:rsidRDefault="00917B4C" w:rsidP="00E60C24">
                <w:pPr>
                  <w:pStyle w:val="TableText"/>
                  <w:rPr>
                    <w:sz w:val="22"/>
                  </w:rPr>
                </w:pPr>
                <w:r>
                  <w:rPr>
                    <w:color w:val="2B579A"/>
                    <w:sz w:val="22"/>
                    <w:shd w:val="clear" w:color="auto" w:fill="E6E6E6"/>
                  </w:rPr>
                  <w:t>Saturday, 01 October 2022</w:t>
                </w:r>
              </w:p>
            </w:tc>
          </w:sdtContent>
        </w:sdt>
        <w:tc>
          <w:tcPr>
            <w:tcW w:w="557" w:type="pct"/>
            <w:shd w:val="clear" w:color="auto" w:fill="BFBFBF" w:themeFill="background1" w:themeFillShade="BF"/>
            <w:vAlign w:val="center"/>
          </w:tcPr>
          <w:p w14:paraId="1BB29A4B" w14:textId="77777777" w:rsidR="00400B7D" w:rsidRPr="00E60C24" w:rsidRDefault="00400B7D" w:rsidP="0004317A">
            <w:pPr>
              <w:pStyle w:val="TableHeading"/>
              <w:rPr>
                <w:sz w:val="22"/>
              </w:rPr>
            </w:pPr>
            <w:r w:rsidRPr="00E60C24">
              <w:rPr>
                <w:sz w:val="22"/>
              </w:rPr>
              <w:t>Version:</w:t>
            </w:r>
          </w:p>
        </w:tc>
        <w:sdt>
          <w:sdtPr>
            <w:rPr>
              <w:color w:val="2B579A"/>
              <w:sz w:val="22"/>
              <w:szCs w:val="20"/>
              <w:shd w:val="clear" w:color="auto" w:fill="E6E6E6"/>
              <w:lang w:eastAsia="en-US"/>
            </w:rPr>
            <w:alias w:val="Version"/>
            <w:tag w:val="Version"/>
            <w:id w:val="-422726197"/>
            <w:placeholder>
              <w:docPart w:val="5BA5461C758B4D729F171B66FA030E6D"/>
            </w:placeholder>
          </w:sdtPr>
          <w:sdtContent>
            <w:tc>
              <w:tcPr>
                <w:tcW w:w="556" w:type="pct"/>
                <w:vAlign w:val="center"/>
              </w:tcPr>
              <w:p w14:paraId="2DD5EA11" w14:textId="3323A4BB" w:rsidR="00400B7D" w:rsidRPr="00E60C24" w:rsidRDefault="006142AF" w:rsidP="00E60C24">
                <w:pPr>
                  <w:pStyle w:val="TableText"/>
                  <w:rPr>
                    <w:sz w:val="22"/>
                  </w:rPr>
                </w:pPr>
                <w:r>
                  <w:rPr>
                    <w:color w:val="2B579A"/>
                    <w:sz w:val="22"/>
                    <w:szCs w:val="20"/>
                    <w:shd w:val="clear" w:color="auto" w:fill="E6E6E6"/>
                    <w:lang w:eastAsia="en-US"/>
                  </w:rPr>
                  <w:t>1st</w:t>
                </w:r>
              </w:p>
            </w:tc>
          </w:sdtContent>
        </w:sdt>
        <w:tc>
          <w:tcPr>
            <w:tcW w:w="557" w:type="pct"/>
            <w:shd w:val="clear" w:color="auto" w:fill="BFBFBF" w:themeFill="background1" w:themeFillShade="BF"/>
            <w:vAlign w:val="center"/>
          </w:tcPr>
          <w:p w14:paraId="02815836" w14:textId="77777777" w:rsidR="00400B7D" w:rsidRPr="00E60C24" w:rsidRDefault="00400B7D" w:rsidP="0004317A">
            <w:pPr>
              <w:pStyle w:val="TableHeading"/>
              <w:rPr>
                <w:sz w:val="22"/>
              </w:rPr>
            </w:pPr>
            <w:r w:rsidRPr="00E60C24">
              <w:rPr>
                <w:sz w:val="22"/>
              </w:rPr>
              <w:t>Release:</w:t>
            </w:r>
          </w:p>
        </w:tc>
        <w:sdt>
          <w:sdtPr>
            <w:rPr>
              <w:color w:val="2B579A"/>
              <w:sz w:val="22"/>
              <w:shd w:val="clear" w:color="auto" w:fill="E6E6E6"/>
            </w:rPr>
            <w:alias w:val="Release Type"/>
            <w:tag w:val="Release Type"/>
            <w:id w:val="-1776169480"/>
            <w:placeholder>
              <w:docPart w:val="5CC102F1F4D0434A8F25478B52C55AA5"/>
            </w:placeholder>
            <w:dropDownList>
              <w:listItem w:value="Choose an item."/>
              <w:listItem w:displayText="Draft" w:value="Draft"/>
              <w:listItem w:displayText="Final" w:value="Final"/>
            </w:dropDownList>
          </w:sdtPr>
          <w:sdtContent>
            <w:tc>
              <w:tcPr>
                <w:tcW w:w="634" w:type="pct"/>
                <w:vAlign w:val="center"/>
              </w:tcPr>
              <w:p w14:paraId="3721AE6A" w14:textId="28B7285F" w:rsidR="00400B7D" w:rsidRPr="00E60C24" w:rsidRDefault="00917B4C" w:rsidP="00947685">
                <w:pPr>
                  <w:pStyle w:val="TableText"/>
                  <w:rPr>
                    <w:sz w:val="22"/>
                  </w:rPr>
                </w:pPr>
                <w:r>
                  <w:rPr>
                    <w:color w:val="2B579A"/>
                    <w:sz w:val="22"/>
                    <w:shd w:val="clear" w:color="auto" w:fill="E6E6E6"/>
                  </w:rPr>
                  <w:t>Final</w:t>
                </w:r>
              </w:p>
            </w:tc>
          </w:sdtContent>
        </w:sdt>
      </w:tr>
      <w:tr w:rsidR="00400B7D" w:rsidRPr="00E60C24" w14:paraId="006C07E3" w14:textId="77777777" w:rsidTr="00E60C24">
        <w:trPr>
          <w:trHeight w:hRule="exact" w:val="340"/>
        </w:trPr>
        <w:tc>
          <w:tcPr>
            <w:tcW w:w="1078" w:type="pct"/>
            <w:shd w:val="clear" w:color="auto" w:fill="BFBFBF" w:themeFill="background1" w:themeFillShade="BF"/>
            <w:vAlign w:val="center"/>
          </w:tcPr>
          <w:p w14:paraId="2F5D5FE6" w14:textId="77777777" w:rsidR="00400B7D" w:rsidRPr="00E60C24" w:rsidRDefault="00400B7D" w:rsidP="008A0829">
            <w:pPr>
              <w:pStyle w:val="TableHeading"/>
              <w:rPr>
                <w:sz w:val="22"/>
              </w:rPr>
            </w:pPr>
            <w:r w:rsidRPr="00E60C24">
              <w:rPr>
                <w:sz w:val="22"/>
              </w:rPr>
              <w:t>Author:</w:t>
            </w:r>
          </w:p>
        </w:tc>
        <w:sdt>
          <w:sdtPr>
            <w:rPr>
              <w:color w:val="2B579A"/>
              <w:sz w:val="22"/>
              <w:shd w:val="clear" w:color="auto" w:fill="E6E6E6"/>
            </w:rPr>
            <w:alias w:val="Author"/>
            <w:tag w:val="Author"/>
            <w:id w:val="34393544"/>
            <w:placeholder>
              <w:docPart w:val="234FD69DCA2847508BC6FF815B22B96A"/>
            </w:placeholder>
          </w:sdtPr>
          <w:sdtContent>
            <w:tc>
              <w:tcPr>
                <w:tcW w:w="3922" w:type="pct"/>
                <w:gridSpan w:val="5"/>
                <w:vAlign w:val="center"/>
              </w:tcPr>
              <w:p w14:paraId="2C34CB67" w14:textId="1D812E4E" w:rsidR="00400B7D" w:rsidRPr="00E60C24" w:rsidRDefault="0005263A" w:rsidP="00E60C24">
                <w:pPr>
                  <w:pStyle w:val="TableText"/>
                  <w:rPr>
                    <w:sz w:val="22"/>
                  </w:rPr>
                </w:pPr>
                <w:r>
                  <w:rPr>
                    <w:color w:val="2B579A"/>
                    <w:sz w:val="22"/>
                    <w:shd w:val="clear" w:color="auto" w:fill="E6E6E6"/>
                  </w:rPr>
                  <w:t>Coventry and Warwickshire PNA Steering Group</w:t>
                </w:r>
              </w:p>
            </w:tc>
          </w:sdtContent>
        </w:sdt>
      </w:tr>
      <w:tr w:rsidR="00400B7D" w:rsidRPr="00E60C24" w14:paraId="14A56F58" w14:textId="77777777" w:rsidTr="008A0829">
        <w:trPr>
          <w:trHeight w:hRule="exact" w:val="340"/>
        </w:trPr>
        <w:tc>
          <w:tcPr>
            <w:tcW w:w="1078" w:type="pct"/>
            <w:shd w:val="clear" w:color="auto" w:fill="BFBFBF" w:themeFill="background1" w:themeFillShade="BF"/>
            <w:vAlign w:val="center"/>
          </w:tcPr>
          <w:p w14:paraId="4B773E4B" w14:textId="77777777" w:rsidR="00400B7D" w:rsidRPr="00E60C24" w:rsidRDefault="00400B7D" w:rsidP="008A0829">
            <w:pPr>
              <w:pStyle w:val="TableHeading"/>
              <w:rPr>
                <w:sz w:val="22"/>
              </w:rPr>
            </w:pPr>
            <w:r w:rsidRPr="00E60C24">
              <w:rPr>
                <w:sz w:val="22"/>
              </w:rPr>
              <w:t>Owner:</w:t>
            </w:r>
          </w:p>
        </w:tc>
        <w:sdt>
          <w:sdtPr>
            <w:rPr>
              <w:rStyle w:val="TableTextChar"/>
              <w:sz w:val="22"/>
            </w:rPr>
            <w:alias w:val="Owner"/>
            <w:tag w:val="Owner"/>
            <w:id w:val="-845082335"/>
            <w:placeholder>
              <w:docPart w:val="5079B1B4BCEB4EB1B22F3E94D1463F96"/>
            </w:placeholder>
          </w:sdtPr>
          <w:sdtEndPr>
            <w:rPr>
              <w:rStyle w:val="DefaultParagraphFont"/>
            </w:rPr>
          </w:sdtEndPr>
          <w:sdtContent>
            <w:tc>
              <w:tcPr>
                <w:tcW w:w="3922" w:type="pct"/>
                <w:gridSpan w:val="5"/>
                <w:vAlign w:val="center"/>
              </w:tcPr>
              <w:p w14:paraId="389DB13E" w14:textId="4EC30C7C" w:rsidR="00400B7D" w:rsidRPr="00E80F65" w:rsidRDefault="00E80F65" w:rsidP="00E60C24">
                <w:pPr>
                  <w:pStyle w:val="TableText"/>
                </w:pPr>
                <w:r>
                  <w:rPr>
                    <w:rStyle w:val="TableTextChar"/>
                    <w:sz w:val="22"/>
                  </w:rPr>
                  <w:t>C</w:t>
                </w:r>
                <w:r>
                  <w:rPr>
                    <w:rStyle w:val="TableTextChar"/>
                  </w:rPr>
                  <w:t>oventry City Council &amp; Warwickshire County Council</w:t>
                </w:r>
              </w:p>
            </w:tc>
          </w:sdtContent>
        </w:sdt>
      </w:tr>
    </w:tbl>
    <w:p w14:paraId="29AD31F3" w14:textId="77777777" w:rsidR="00400B7D" w:rsidRDefault="00400B7D" w:rsidP="00FC3EA4">
      <w:r>
        <w:t>This document is only valid on the day it was printed.</w:t>
      </w:r>
    </w:p>
    <w:p w14:paraId="74620CD8" w14:textId="4E3C1129" w:rsidR="00400B7D" w:rsidRDefault="00400B7D" w:rsidP="00FC3EA4">
      <w:r>
        <w:t xml:space="preserve">The source of the document will be found at this location: </w:t>
      </w:r>
      <w:hyperlink r:id="rId18" w:history="1">
        <w:r w:rsidR="00B66803" w:rsidRPr="007B3E95">
          <w:rPr>
            <w:rStyle w:val="Hyperlink"/>
          </w:rPr>
          <w:t>https://www.coventry.gov.uk/data-reports/pharmaceutical-needs-assessment-pna</w:t>
        </w:r>
      </w:hyperlink>
    </w:p>
    <w:p w14:paraId="66EA6E64" w14:textId="77777777" w:rsidR="00B66803" w:rsidRPr="00E60C24" w:rsidRDefault="00B66803" w:rsidP="00FC3EA4">
      <w:pPr>
        <w:rPr>
          <w:i/>
        </w:rPr>
      </w:pPr>
    </w:p>
    <w:p w14:paraId="7BAE53FD" w14:textId="77777777" w:rsidR="004940B6" w:rsidRDefault="004940B6" w:rsidP="004940B6">
      <w:pPr>
        <w:sectPr w:rsidR="004940B6" w:rsidSect="00F96554">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1134" w:left="1134" w:header="708" w:footer="708" w:gutter="0"/>
          <w:cols w:space="708"/>
          <w:docGrid w:linePitch="360"/>
        </w:sectPr>
      </w:pPr>
    </w:p>
    <w:sdt>
      <w:sdtPr>
        <w:rPr>
          <w:bCs w:val="0"/>
          <w:caps w:val="0"/>
          <w:color w:val="auto"/>
          <w:spacing w:val="0"/>
          <w:szCs w:val="20"/>
          <w:shd w:val="clear" w:color="auto" w:fill="E6E6E6"/>
          <w:lang w:bidi="ar-SA"/>
        </w:rPr>
        <w:id w:val="528074066"/>
        <w:docPartObj>
          <w:docPartGallery w:val="Table of Contents"/>
          <w:docPartUnique/>
        </w:docPartObj>
      </w:sdtPr>
      <w:sdtEndPr>
        <w:rPr>
          <w:b/>
        </w:rPr>
      </w:sdtEndPr>
      <w:sdtContent>
        <w:p w14:paraId="6FA33066" w14:textId="14760C28" w:rsidR="00991F56" w:rsidRDefault="00991F56">
          <w:pPr>
            <w:pStyle w:val="TOCHeading"/>
          </w:pPr>
          <w:r>
            <w:t>Contents</w:t>
          </w:r>
        </w:p>
        <w:p w14:paraId="10FF1E56" w14:textId="78A5794F" w:rsidR="007B0712" w:rsidRDefault="00991F56">
          <w:pPr>
            <w:pStyle w:val="TOC1"/>
            <w:tabs>
              <w:tab w:val="right" w:leader="dot" w:pos="9962"/>
            </w:tabs>
            <w:rPr>
              <w:rFonts w:asciiTheme="minorHAnsi" w:hAnsiTheme="minorHAnsi"/>
              <w:b w:val="0"/>
              <w:noProof/>
              <w:sz w:val="22"/>
              <w:szCs w:val="22"/>
            </w:rPr>
          </w:pPr>
          <w:r>
            <w:rPr>
              <w:color w:val="2B579A"/>
              <w:shd w:val="clear" w:color="auto" w:fill="E6E6E6"/>
            </w:rPr>
            <w:fldChar w:fldCharType="begin"/>
          </w:r>
          <w:r>
            <w:rPr>
              <w:bCs/>
              <w:noProof/>
            </w:rPr>
            <w:instrText xml:space="preserve"> TOC \o "1-3" \h \z \u </w:instrText>
          </w:r>
          <w:r>
            <w:rPr>
              <w:color w:val="2B579A"/>
              <w:shd w:val="clear" w:color="auto" w:fill="E6E6E6"/>
            </w:rPr>
            <w:fldChar w:fldCharType="separate"/>
          </w:r>
          <w:hyperlink w:anchor="_Toc113628569" w:history="1">
            <w:r w:rsidR="007B0712" w:rsidRPr="00DF381D">
              <w:rPr>
                <w:rStyle w:val="Hyperlink"/>
                <w:noProof/>
              </w:rPr>
              <w:t>Document Information</w:t>
            </w:r>
            <w:r w:rsidR="007B0712">
              <w:rPr>
                <w:noProof/>
                <w:webHidden/>
              </w:rPr>
              <w:tab/>
            </w:r>
            <w:r w:rsidR="007B0712">
              <w:rPr>
                <w:noProof/>
                <w:webHidden/>
              </w:rPr>
              <w:fldChar w:fldCharType="begin"/>
            </w:r>
            <w:r w:rsidR="007B0712">
              <w:rPr>
                <w:noProof/>
                <w:webHidden/>
              </w:rPr>
              <w:instrText xml:space="preserve"> PAGEREF _Toc113628569 \h </w:instrText>
            </w:r>
            <w:r w:rsidR="007B0712">
              <w:rPr>
                <w:noProof/>
                <w:webHidden/>
              </w:rPr>
            </w:r>
            <w:r w:rsidR="007B0712">
              <w:rPr>
                <w:noProof/>
                <w:webHidden/>
              </w:rPr>
              <w:fldChar w:fldCharType="separate"/>
            </w:r>
            <w:r w:rsidR="007B0712">
              <w:rPr>
                <w:noProof/>
                <w:webHidden/>
              </w:rPr>
              <w:t>2</w:t>
            </w:r>
            <w:r w:rsidR="007B0712">
              <w:rPr>
                <w:noProof/>
                <w:webHidden/>
              </w:rPr>
              <w:fldChar w:fldCharType="end"/>
            </w:r>
          </w:hyperlink>
        </w:p>
        <w:p w14:paraId="263B8C3B" w14:textId="5D794444" w:rsidR="007B0712" w:rsidRDefault="00B74C22">
          <w:pPr>
            <w:pStyle w:val="TOC1"/>
            <w:tabs>
              <w:tab w:val="right" w:leader="dot" w:pos="9962"/>
            </w:tabs>
            <w:rPr>
              <w:rFonts w:asciiTheme="minorHAnsi" w:hAnsiTheme="minorHAnsi"/>
              <w:b w:val="0"/>
              <w:noProof/>
              <w:sz w:val="22"/>
              <w:szCs w:val="22"/>
            </w:rPr>
          </w:pPr>
          <w:hyperlink w:anchor="_Toc113628570" w:history="1">
            <w:r w:rsidR="007B0712" w:rsidRPr="00DF381D">
              <w:rPr>
                <w:rStyle w:val="Hyperlink"/>
                <w:noProof/>
              </w:rPr>
              <w:t>Abbreviations</w:t>
            </w:r>
            <w:r w:rsidR="007B0712">
              <w:rPr>
                <w:noProof/>
                <w:webHidden/>
              </w:rPr>
              <w:tab/>
            </w:r>
            <w:r w:rsidR="007B0712">
              <w:rPr>
                <w:noProof/>
                <w:webHidden/>
              </w:rPr>
              <w:fldChar w:fldCharType="begin"/>
            </w:r>
            <w:r w:rsidR="007B0712">
              <w:rPr>
                <w:noProof/>
                <w:webHidden/>
              </w:rPr>
              <w:instrText xml:space="preserve"> PAGEREF _Toc113628570 \h </w:instrText>
            </w:r>
            <w:r w:rsidR="007B0712">
              <w:rPr>
                <w:noProof/>
                <w:webHidden/>
              </w:rPr>
            </w:r>
            <w:r w:rsidR="007B0712">
              <w:rPr>
                <w:noProof/>
                <w:webHidden/>
              </w:rPr>
              <w:fldChar w:fldCharType="separate"/>
            </w:r>
            <w:r w:rsidR="007B0712">
              <w:rPr>
                <w:noProof/>
                <w:webHidden/>
              </w:rPr>
              <w:t>5</w:t>
            </w:r>
            <w:r w:rsidR="007B0712">
              <w:rPr>
                <w:noProof/>
                <w:webHidden/>
              </w:rPr>
              <w:fldChar w:fldCharType="end"/>
            </w:r>
          </w:hyperlink>
        </w:p>
        <w:p w14:paraId="557F75BF" w14:textId="77C9CC2A" w:rsidR="007B0712" w:rsidRDefault="00B74C22">
          <w:pPr>
            <w:pStyle w:val="TOC1"/>
            <w:tabs>
              <w:tab w:val="right" w:leader="dot" w:pos="9962"/>
            </w:tabs>
            <w:rPr>
              <w:rFonts w:asciiTheme="minorHAnsi" w:hAnsiTheme="minorHAnsi"/>
              <w:b w:val="0"/>
              <w:noProof/>
              <w:sz w:val="22"/>
              <w:szCs w:val="22"/>
            </w:rPr>
          </w:pPr>
          <w:hyperlink w:anchor="_Toc113628571" w:history="1">
            <w:r w:rsidR="007B0712" w:rsidRPr="00DF381D">
              <w:rPr>
                <w:rStyle w:val="Hyperlink"/>
                <w:noProof/>
              </w:rPr>
              <w:t>Recommendations</w:t>
            </w:r>
            <w:r w:rsidR="007B0712">
              <w:rPr>
                <w:noProof/>
                <w:webHidden/>
              </w:rPr>
              <w:tab/>
            </w:r>
            <w:r w:rsidR="007B0712">
              <w:rPr>
                <w:noProof/>
                <w:webHidden/>
              </w:rPr>
              <w:fldChar w:fldCharType="begin"/>
            </w:r>
            <w:r w:rsidR="007B0712">
              <w:rPr>
                <w:noProof/>
                <w:webHidden/>
              </w:rPr>
              <w:instrText xml:space="preserve"> PAGEREF _Toc113628571 \h </w:instrText>
            </w:r>
            <w:r w:rsidR="007B0712">
              <w:rPr>
                <w:noProof/>
                <w:webHidden/>
              </w:rPr>
            </w:r>
            <w:r w:rsidR="007B0712">
              <w:rPr>
                <w:noProof/>
                <w:webHidden/>
              </w:rPr>
              <w:fldChar w:fldCharType="separate"/>
            </w:r>
            <w:r w:rsidR="007B0712">
              <w:rPr>
                <w:noProof/>
                <w:webHidden/>
              </w:rPr>
              <w:t>7</w:t>
            </w:r>
            <w:r w:rsidR="007B0712">
              <w:rPr>
                <w:noProof/>
                <w:webHidden/>
              </w:rPr>
              <w:fldChar w:fldCharType="end"/>
            </w:r>
          </w:hyperlink>
        </w:p>
        <w:p w14:paraId="15D4F0B6" w14:textId="0E6D55ED" w:rsidR="007B0712" w:rsidRDefault="00B74C22">
          <w:pPr>
            <w:pStyle w:val="TOC1"/>
            <w:tabs>
              <w:tab w:val="right" w:leader="dot" w:pos="9962"/>
            </w:tabs>
            <w:rPr>
              <w:rFonts w:asciiTheme="minorHAnsi" w:hAnsiTheme="minorHAnsi"/>
              <w:b w:val="0"/>
              <w:noProof/>
              <w:sz w:val="22"/>
              <w:szCs w:val="22"/>
            </w:rPr>
          </w:pPr>
          <w:hyperlink w:anchor="_Toc113628572" w:history="1">
            <w:r w:rsidR="007B0712" w:rsidRPr="00DF381D">
              <w:rPr>
                <w:rStyle w:val="Hyperlink"/>
                <w:noProof/>
              </w:rPr>
              <w:t>Introduction</w:t>
            </w:r>
            <w:r w:rsidR="007B0712">
              <w:rPr>
                <w:noProof/>
                <w:webHidden/>
              </w:rPr>
              <w:tab/>
            </w:r>
            <w:r w:rsidR="007B0712">
              <w:rPr>
                <w:noProof/>
                <w:webHidden/>
              </w:rPr>
              <w:fldChar w:fldCharType="begin"/>
            </w:r>
            <w:r w:rsidR="007B0712">
              <w:rPr>
                <w:noProof/>
                <w:webHidden/>
              </w:rPr>
              <w:instrText xml:space="preserve"> PAGEREF _Toc113628572 \h </w:instrText>
            </w:r>
            <w:r w:rsidR="007B0712">
              <w:rPr>
                <w:noProof/>
                <w:webHidden/>
              </w:rPr>
            </w:r>
            <w:r w:rsidR="007B0712">
              <w:rPr>
                <w:noProof/>
                <w:webHidden/>
              </w:rPr>
              <w:fldChar w:fldCharType="separate"/>
            </w:r>
            <w:r w:rsidR="007B0712">
              <w:rPr>
                <w:noProof/>
                <w:webHidden/>
              </w:rPr>
              <w:t>10</w:t>
            </w:r>
            <w:r w:rsidR="007B0712">
              <w:rPr>
                <w:noProof/>
                <w:webHidden/>
              </w:rPr>
              <w:fldChar w:fldCharType="end"/>
            </w:r>
          </w:hyperlink>
        </w:p>
        <w:p w14:paraId="2523452B" w14:textId="6229120A" w:rsidR="007B0712" w:rsidRDefault="00B74C22">
          <w:pPr>
            <w:pStyle w:val="TOC2"/>
            <w:tabs>
              <w:tab w:val="right" w:leader="dot" w:pos="9962"/>
            </w:tabs>
            <w:rPr>
              <w:rFonts w:asciiTheme="minorHAnsi" w:hAnsiTheme="minorHAnsi"/>
              <w:noProof/>
              <w:sz w:val="22"/>
              <w:szCs w:val="22"/>
            </w:rPr>
          </w:pPr>
          <w:hyperlink w:anchor="_Toc113628573" w:history="1">
            <w:r w:rsidR="007B0712" w:rsidRPr="00DF381D">
              <w:rPr>
                <w:rStyle w:val="Hyperlink"/>
                <w:noProof/>
              </w:rPr>
              <w:t>Purpose of the Pharmaceutical Needs Assessment (PNA)</w:t>
            </w:r>
            <w:r w:rsidR="007B0712">
              <w:rPr>
                <w:noProof/>
                <w:webHidden/>
              </w:rPr>
              <w:tab/>
            </w:r>
            <w:r w:rsidR="007B0712">
              <w:rPr>
                <w:noProof/>
                <w:webHidden/>
              </w:rPr>
              <w:fldChar w:fldCharType="begin"/>
            </w:r>
            <w:r w:rsidR="007B0712">
              <w:rPr>
                <w:noProof/>
                <w:webHidden/>
              </w:rPr>
              <w:instrText xml:space="preserve"> PAGEREF _Toc113628573 \h </w:instrText>
            </w:r>
            <w:r w:rsidR="007B0712">
              <w:rPr>
                <w:noProof/>
                <w:webHidden/>
              </w:rPr>
            </w:r>
            <w:r w:rsidR="007B0712">
              <w:rPr>
                <w:noProof/>
                <w:webHidden/>
              </w:rPr>
              <w:fldChar w:fldCharType="separate"/>
            </w:r>
            <w:r w:rsidR="007B0712">
              <w:rPr>
                <w:noProof/>
                <w:webHidden/>
              </w:rPr>
              <w:t>10</w:t>
            </w:r>
            <w:r w:rsidR="007B0712">
              <w:rPr>
                <w:noProof/>
                <w:webHidden/>
              </w:rPr>
              <w:fldChar w:fldCharType="end"/>
            </w:r>
          </w:hyperlink>
        </w:p>
        <w:p w14:paraId="55214E4C" w14:textId="7F6BD121" w:rsidR="007B0712" w:rsidRDefault="00B74C22">
          <w:pPr>
            <w:pStyle w:val="TOC2"/>
            <w:tabs>
              <w:tab w:val="right" w:leader="dot" w:pos="9962"/>
            </w:tabs>
            <w:rPr>
              <w:rFonts w:asciiTheme="minorHAnsi" w:hAnsiTheme="minorHAnsi"/>
              <w:noProof/>
              <w:sz w:val="22"/>
              <w:szCs w:val="22"/>
            </w:rPr>
          </w:pPr>
          <w:hyperlink w:anchor="_Toc113628574" w:history="1">
            <w:r w:rsidR="007B0712" w:rsidRPr="00DF381D">
              <w:rPr>
                <w:rStyle w:val="Hyperlink"/>
                <w:noProof/>
              </w:rPr>
              <w:t>Background and Legislation</w:t>
            </w:r>
            <w:r w:rsidR="007B0712">
              <w:rPr>
                <w:noProof/>
                <w:webHidden/>
              </w:rPr>
              <w:tab/>
            </w:r>
            <w:r w:rsidR="007B0712">
              <w:rPr>
                <w:noProof/>
                <w:webHidden/>
              </w:rPr>
              <w:fldChar w:fldCharType="begin"/>
            </w:r>
            <w:r w:rsidR="007B0712">
              <w:rPr>
                <w:noProof/>
                <w:webHidden/>
              </w:rPr>
              <w:instrText xml:space="preserve"> PAGEREF _Toc113628574 \h </w:instrText>
            </w:r>
            <w:r w:rsidR="007B0712">
              <w:rPr>
                <w:noProof/>
                <w:webHidden/>
              </w:rPr>
            </w:r>
            <w:r w:rsidR="007B0712">
              <w:rPr>
                <w:noProof/>
                <w:webHidden/>
              </w:rPr>
              <w:fldChar w:fldCharType="separate"/>
            </w:r>
            <w:r w:rsidR="007B0712">
              <w:rPr>
                <w:noProof/>
                <w:webHidden/>
              </w:rPr>
              <w:t>10</w:t>
            </w:r>
            <w:r w:rsidR="007B0712">
              <w:rPr>
                <w:noProof/>
                <w:webHidden/>
              </w:rPr>
              <w:fldChar w:fldCharType="end"/>
            </w:r>
          </w:hyperlink>
        </w:p>
        <w:p w14:paraId="79C5A4FA" w14:textId="672BE196" w:rsidR="007B0712" w:rsidRDefault="00B74C22">
          <w:pPr>
            <w:pStyle w:val="TOC2"/>
            <w:tabs>
              <w:tab w:val="right" w:leader="dot" w:pos="9962"/>
            </w:tabs>
            <w:rPr>
              <w:rFonts w:asciiTheme="minorHAnsi" w:hAnsiTheme="minorHAnsi"/>
              <w:noProof/>
              <w:sz w:val="22"/>
              <w:szCs w:val="22"/>
            </w:rPr>
          </w:pPr>
          <w:hyperlink w:anchor="_Toc113628575" w:history="1">
            <w:r w:rsidR="007B0712" w:rsidRPr="00DF381D">
              <w:rPr>
                <w:rStyle w:val="Hyperlink"/>
                <w:noProof/>
              </w:rPr>
              <w:t>Health and Wellbeing Board Duties in Regard to pna</w:t>
            </w:r>
            <w:r w:rsidR="007B0712">
              <w:rPr>
                <w:noProof/>
                <w:webHidden/>
              </w:rPr>
              <w:tab/>
            </w:r>
            <w:r w:rsidR="007B0712">
              <w:rPr>
                <w:noProof/>
                <w:webHidden/>
              </w:rPr>
              <w:fldChar w:fldCharType="begin"/>
            </w:r>
            <w:r w:rsidR="007B0712">
              <w:rPr>
                <w:noProof/>
                <w:webHidden/>
              </w:rPr>
              <w:instrText xml:space="preserve"> PAGEREF _Toc113628575 \h </w:instrText>
            </w:r>
            <w:r w:rsidR="007B0712">
              <w:rPr>
                <w:noProof/>
                <w:webHidden/>
              </w:rPr>
            </w:r>
            <w:r w:rsidR="007B0712">
              <w:rPr>
                <w:noProof/>
                <w:webHidden/>
              </w:rPr>
              <w:fldChar w:fldCharType="separate"/>
            </w:r>
            <w:r w:rsidR="007B0712">
              <w:rPr>
                <w:noProof/>
                <w:webHidden/>
              </w:rPr>
              <w:t>11</w:t>
            </w:r>
            <w:r w:rsidR="007B0712">
              <w:rPr>
                <w:noProof/>
                <w:webHidden/>
              </w:rPr>
              <w:fldChar w:fldCharType="end"/>
            </w:r>
          </w:hyperlink>
        </w:p>
        <w:p w14:paraId="2E571630" w14:textId="63BDB591" w:rsidR="007B0712" w:rsidRDefault="00B74C22">
          <w:pPr>
            <w:pStyle w:val="TOC2"/>
            <w:tabs>
              <w:tab w:val="right" w:leader="dot" w:pos="9962"/>
            </w:tabs>
            <w:rPr>
              <w:rFonts w:asciiTheme="minorHAnsi" w:hAnsiTheme="minorHAnsi"/>
              <w:noProof/>
              <w:sz w:val="22"/>
              <w:szCs w:val="22"/>
            </w:rPr>
          </w:pPr>
          <w:hyperlink w:anchor="_Toc113628576" w:history="1">
            <w:r w:rsidR="007B0712" w:rsidRPr="00DF381D">
              <w:rPr>
                <w:rStyle w:val="Hyperlink"/>
                <w:noProof/>
              </w:rPr>
              <w:t>Scope of the PNA</w:t>
            </w:r>
            <w:r w:rsidR="007B0712">
              <w:rPr>
                <w:noProof/>
                <w:webHidden/>
              </w:rPr>
              <w:tab/>
            </w:r>
            <w:r w:rsidR="007B0712">
              <w:rPr>
                <w:noProof/>
                <w:webHidden/>
              </w:rPr>
              <w:fldChar w:fldCharType="begin"/>
            </w:r>
            <w:r w:rsidR="007B0712">
              <w:rPr>
                <w:noProof/>
                <w:webHidden/>
              </w:rPr>
              <w:instrText xml:space="preserve"> PAGEREF _Toc113628576 \h </w:instrText>
            </w:r>
            <w:r w:rsidR="007B0712">
              <w:rPr>
                <w:noProof/>
                <w:webHidden/>
              </w:rPr>
            </w:r>
            <w:r w:rsidR="007B0712">
              <w:rPr>
                <w:noProof/>
                <w:webHidden/>
              </w:rPr>
              <w:fldChar w:fldCharType="separate"/>
            </w:r>
            <w:r w:rsidR="007B0712">
              <w:rPr>
                <w:noProof/>
                <w:webHidden/>
              </w:rPr>
              <w:t>11</w:t>
            </w:r>
            <w:r w:rsidR="007B0712">
              <w:rPr>
                <w:noProof/>
                <w:webHidden/>
              </w:rPr>
              <w:fldChar w:fldCharType="end"/>
            </w:r>
          </w:hyperlink>
        </w:p>
        <w:p w14:paraId="5DFB0395" w14:textId="2CF407C3" w:rsidR="007B0712" w:rsidRDefault="00B74C22">
          <w:pPr>
            <w:pStyle w:val="TOC2"/>
            <w:tabs>
              <w:tab w:val="right" w:leader="dot" w:pos="9962"/>
            </w:tabs>
            <w:rPr>
              <w:rFonts w:asciiTheme="minorHAnsi" w:hAnsiTheme="minorHAnsi"/>
              <w:noProof/>
              <w:sz w:val="22"/>
              <w:szCs w:val="22"/>
            </w:rPr>
          </w:pPr>
          <w:hyperlink w:anchor="_Toc113628577" w:history="1">
            <w:r w:rsidR="007B0712" w:rsidRPr="00DF381D">
              <w:rPr>
                <w:rStyle w:val="Hyperlink"/>
                <w:noProof/>
              </w:rPr>
              <w:t>Exclusions from the PNA</w:t>
            </w:r>
            <w:r w:rsidR="007B0712">
              <w:rPr>
                <w:noProof/>
                <w:webHidden/>
              </w:rPr>
              <w:tab/>
            </w:r>
            <w:r w:rsidR="007B0712">
              <w:rPr>
                <w:noProof/>
                <w:webHidden/>
              </w:rPr>
              <w:fldChar w:fldCharType="begin"/>
            </w:r>
            <w:r w:rsidR="007B0712">
              <w:rPr>
                <w:noProof/>
                <w:webHidden/>
              </w:rPr>
              <w:instrText xml:space="preserve"> PAGEREF _Toc113628577 \h </w:instrText>
            </w:r>
            <w:r w:rsidR="007B0712">
              <w:rPr>
                <w:noProof/>
                <w:webHidden/>
              </w:rPr>
            </w:r>
            <w:r w:rsidR="007B0712">
              <w:rPr>
                <w:noProof/>
                <w:webHidden/>
              </w:rPr>
              <w:fldChar w:fldCharType="separate"/>
            </w:r>
            <w:r w:rsidR="007B0712">
              <w:rPr>
                <w:noProof/>
                <w:webHidden/>
              </w:rPr>
              <w:t>12</w:t>
            </w:r>
            <w:r w:rsidR="007B0712">
              <w:rPr>
                <w:noProof/>
                <w:webHidden/>
              </w:rPr>
              <w:fldChar w:fldCharType="end"/>
            </w:r>
          </w:hyperlink>
        </w:p>
        <w:p w14:paraId="01C5444C" w14:textId="2808A577" w:rsidR="007B0712" w:rsidRDefault="00B74C22">
          <w:pPr>
            <w:pStyle w:val="TOC2"/>
            <w:tabs>
              <w:tab w:val="right" w:leader="dot" w:pos="9962"/>
            </w:tabs>
            <w:rPr>
              <w:rFonts w:asciiTheme="minorHAnsi" w:hAnsiTheme="minorHAnsi"/>
              <w:noProof/>
              <w:sz w:val="22"/>
              <w:szCs w:val="22"/>
            </w:rPr>
          </w:pPr>
          <w:hyperlink w:anchor="_Toc113628578" w:history="1">
            <w:r w:rsidR="007B0712" w:rsidRPr="00DF381D">
              <w:rPr>
                <w:rStyle w:val="Hyperlink"/>
                <w:noProof/>
              </w:rPr>
              <w:t>Minimum Requirements for a PNA</w:t>
            </w:r>
            <w:r w:rsidR="007B0712">
              <w:rPr>
                <w:noProof/>
                <w:webHidden/>
              </w:rPr>
              <w:tab/>
            </w:r>
            <w:r w:rsidR="007B0712">
              <w:rPr>
                <w:noProof/>
                <w:webHidden/>
              </w:rPr>
              <w:fldChar w:fldCharType="begin"/>
            </w:r>
            <w:r w:rsidR="007B0712">
              <w:rPr>
                <w:noProof/>
                <w:webHidden/>
              </w:rPr>
              <w:instrText xml:space="preserve"> PAGEREF _Toc113628578 \h </w:instrText>
            </w:r>
            <w:r w:rsidR="007B0712">
              <w:rPr>
                <w:noProof/>
                <w:webHidden/>
              </w:rPr>
            </w:r>
            <w:r w:rsidR="007B0712">
              <w:rPr>
                <w:noProof/>
                <w:webHidden/>
              </w:rPr>
              <w:fldChar w:fldCharType="separate"/>
            </w:r>
            <w:r w:rsidR="007B0712">
              <w:rPr>
                <w:noProof/>
                <w:webHidden/>
              </w:rPr>
              <w:t>12</w:t>
            </w:r>
            <w:r w:rsidR="007B0712">
              <w:rPr>
                <w:noProof/>
                <w:webHidden/>
              </w:rPr>
              <w:fldChar w:fldCharType="end"/>
            </w:r>
          </w:hyperlink>
        </w:p>
        <w:p w14:paraId="07D9D0EF" w14:textId="2B5D72B4" w:rsidR="007B0712" w:rsidRDefault="00B74C22">
          <w:pPr>
            <w:pStyle w:val="TOC1"/>
            <w:tabs>
              <w:tab w:val="right" w:leader="dot" w:pos="9962"/>
            </w:tabs>
            <w:rPr>
              <w:rFonts w:asciiTheme="minorHAnsi" w:hAnsiTheme="minorHAnsi"/>
              <w:b w:val="0"/>
              <w:noProof/>
              <w:sz w:val="22"/>
              <w:szCs w:val="22"/>
            </w:rPr>
          </w:pPr>
          <w:hyperlink w:anchor="_Toc113628579" w:history="1">
            <w:r w:rsidR="007B0712" w:rsidRPr="00DF381D">
              <w:rPr>
                <w:rStyle w:val="Hyperlink"/>
                <w:noProof/>
              </w:rPr>
              <w:t>Approach to PNA</w:t>
            </w:r>
            <w:r w:rsidR="007B0712">
              <w:rPr>
                <w:noProof/>
                <w:webHidden/>
              </w:rPr>
              <w:tab/>
            </w:r>
            <w:r w:rsidR="007B0712">
              <w:rPr>
                <w:noProof/>
                <w:webHidden/>
              </w:rPr>
              <w:fldChar w:fldCharType="begin"/>
            </w:r>
            <w:r w:rsidR="007B0712">
              <w:rPr>
                <w:noProof/>
                <w:webHidden/>
              </w:rPr>
              <w:instrText xml:space="preserve"> PAGEREF _Toc113628579 \h </w:instrText>
            </w:r>
            <w:r w:rsidR="007B0712">
              <w:rPr>
                <w:noProof/>
                <w:webHidden/>
              </w:rPr>
            </w:r>
            <w:r w:rsidR="007B0712">
              <w:rPr>
                <w:noProof/>
                <w:webHidden/>
              </w:rPr>
              <w:fldChar w:fldCharType="separate"/>
            </w:r>
            <w:r w:rsidR="007B0712">
              <w:rPr>
                <w:noProof/>
                <w:webHidden/>
              </w:rPr>
              <w:t>13</w:t>
            </w:r>
            <w:r w:rsidR="007B0712">
              <w:rPr>
                <w:noProof/>
                <w:webHidden/>
              </w:rPr>
              <w:fldChar w:fldCharType="end"/>
            </w:r>
          </w:hyperlink>
        </w:p>
        <w:p w14:paraId="4A311294" w14:textId="3A4E7153" w:rsidR="007B0712" w:rsidRDefault="00B74C22">
          <w:pPr>
            <w:pStyle w:val="TOC2"/>
            <w:tabs>
              <w:tab w:val="right" w:leader="dot" w:pos="9962"/>
            </w:tabs>
            <w:rPr>
              <w:rFonts w:asciiTheme="minorHAnsi" w:hAnsiTheme="minorHAnsi"/>
              <w:noProof/>
              <w:sz w:val="22"/>
              <w:szCs w:val="22"/>
            </w:rPr>
          </w:pPr>
          <w:hyperlink w:anchor="_Toc113628580" w:history="1">
            <w:r w:rsidR="007B0712" w:rsidRPr="00DF381D">
              <w:rPr>
                <w:rStyle w:val="Hyperlink"/>
                <w:noProof/>
              </w:rPr>
              <w:t>Determining Localities</w:t>
            </w:r>
            <w:r w:rsidR="007B0712">
              <w:rPr>
                <w:noProof/>
                <w:webHidden/>
              </w:rPr>
              <w:tab/>
            </w:r>
            <w:r w:rsidR="007B0712">
              <w:rPr>
                <w:noProof/>
                <w:webHidden/>
              </w:rPr>
              <w:fldChar w:fldCharType="begin"/>
            </w:r>
            <w:r w:rsidR="007B0712">
              <w:rPr>
                <w:noProof/>
                <w:webHidden/>
              </w:rPr>
              <w:instrText xml:space="preserve"> PAGEREF _Toc113628580 \h </w:instrText>
            </w:r>
            <w:r w:rsidR="007B0712">
              <w:rPr>
                <w:noProof/>
                <w:webHidden/>
              </w:rPr>
            </w:r>
            <w:r w:rsidR="007B0712">
              <w:rPr>
                <w:noProof/>
                <w:webHidden/>
              </w:rPr>
              <w:fldChar w:fldCharType="separate"/>
            </w:r>
            <w:r w:rsidR="007B0712">
              <w:rPr>
                <w:noProof/>
                <w:webHidden/>
              </w:rPr>
              <w:t>13</w:t>
            </w:r>
            <w:r w:rsidR="007B0712">
              <w:rPr>
                <w:noProof/>
                <w:webHidden/>
              </w:rPr>
              <w:fldChar w:fldCharType="end"/>
            </w:r>
          </w:hyperlink>
        </w:p>
        <w:p w14:paraId="57A2999D" w14:textId="2C6FA57C" w:rsidR="007B0712" w:rsidRDefault="00B74C22">
          <w:pPr>
            <w:pStyle w:val="TOC2"/>
            <w:tabs>
              <w:tab w:val="right" w:leader="dot" w:pos="9962"/>
            </w:tabs>
            <w:rPr>
              <w:rFonts w:asciiTheme="minorHAnsi" w:hAnsiTheme="minorHAnsi"/>
              <w:noProof/>
              <w:sz w:val="22"/>
              <w:szCs w:val="22"/>
            </w:rPr>
          </w:pPr>
          <w:hyperlink w:anchor="_Toc113628581" w:history="1">
            <w:r w:rsidR="007B0712" w:rsidRPr="00DF381D">
              <w:rPr>
                <w:rStyle w:val="Hyperlink"/>
                <w:noProof/>
              </w:rPr>
              <w:t>PNA Steering Group</w:t>
            </w:r>
            <w:r w:rsidR="007B0712">
              <w:rPr>
                <w:noProof/>
                <w:webHidden/>
              </w:rPr>
              <w:tab/>
            </w:r>
            <w:r w:rsidR="007B0712">
              <w:rPr>
                <w:noProof/>
                <w:webHidden/>
              </w:rPr>
              <w:fldChar w:fldCharType="begin"/>
            </w:r>
            <w:r w:rsidR="007B0712">
              <w:rPr>
                <w:noProof/>
                <w:webHidden/>
              </w:rPr>
              <w:instrText xml:space="preserve"> PAGEREF _Toc113628581 \h </w:instrText>
            </w:r>
            <w:r w:rsidR="007B0712">
              <w:rPr>
                <w:noProof/>
                <w:webHidden/>
              </w:rPr>
            </w:r>
            <w:r w:rsidR="007B0712">
              <w:rPr>
                <w:noProof/>
                <w:webHidden/>
              </w:rPr>
              <w:fldChar w:fldCharType="separate"/>
            </w:r>
            <w:r w:rsidR="007B0712">
              <w:rPr>
                <w:noProof/>
                <w:webHidden/>
              </w:rPr>
              <w:t>17</w:t>
            </w:r>
            <w:r w:rsidR="007B0712">
              <w:rPr>
                <w:noProof/>
                <w:webHidden/>
              </w:rPr>
              <w:fldChar w:fldCharType="end"/>
            </w:r>
          </w:hyperlink>
        </w:p>
        <w:p w14:paraId="13EBEF22" w14:textId="2E8F9289" w:rsidR="007B0712" w:rsidRDefault="00B74C22">
          <w:pPr>
            <w:pStyle w:val="TOC2"/>
            <w:tabs>
              <w:tab w:val="right" w:leader="dot" w:pos="9962"/>
            </w:tabs>
            <w:rPr>
              <w:rFonts w:asciiTheme="minorHAnsi" w:hAnsiTheme="minorHAnsi"/>
              <w:noProof/>
              <w:sz w:val="22"/>
              <w:szCs w:val="22"/>
            </w:rPr>
          </w:pPr>
          <w:hyperlink w:anchor="_Toc113628582" w:history="1">
            <w:r w:rsidR="007B0712" w:rsidRPr="00DF381D">
              <w:rPr>
                <w:rStyle w:val="Hyperlink"/>
                <w:noProof/>
              </w:rPr>
              <w:t>How the Assessment Was Done</w:t>
            </w:r>
            <w:r w:rsidR="007B0712">
              <w:rPr>
                <w:noProof/>
                <w:webHidden/>
              </w:rPr>
              <w:tab/>
            </w:r>
            <w:r w:rsidR="007B0712">
              <w:rPr>
                <w:noProof/>
                <w:webHidden/>
              </w:rPr>
              <w:fldChar w:fldCharType="begin"/>
            </w:r>
            <w:r w:rsidR="007B0712">
              <w:rPr>
                <w:noProof/>
                <w:webHidden/>
              </w:rPr>
              <w:instrText xml:space="preserve"> PAGEREF _Toc113628582 \h </w:instrText>
            </w:r>
            <w:r w:rsidR="007B0712">
              <w:rPr>
                <w:noProof/>
                <w:webHidden/>
              </w:rPr>
            </w:r>
            <w:r w:rsidR="007B0712">
              <w:rPr>
                <w:noProof/>
                <w:webHidden/>
              </w:rPr>
              <w:fldChar w:fldCharType="separate"/>
            </w:r>
            <w:r w:rsidR="007B0712">
              <w:rPr>
                <w:noProof/>
                <w:webHidden/>
              </w:rPr>
              <w:t>17</w:t>
            </w:r>
            <w:r w:rsidR="007B0712">
              <w:rPr>
                <w:noProof/>
                <w:webHidden/>
              </w:rPr>
              <w:fldChar w:fldCharType="end"/>
            </w:r>
          </w:hyperlink>
        </w:p>
        <w:p w14:paraId="5D41AFAF" w14:textId="01F98F96" w:rsidR="007B0712" w:rsidRDefault="00B74C22">
          <w:pPr>
            <w:pStyle w:val="TOC2"/>
            <w:tabs>
              <w:tab w:val="right" w:leader="dot" w:pos="9962"/>
            </w:tabs>
            <w:rPr>
              <w:rFonts w:asciiTheme="minorHAnsi" w:hAnsiTheme="minorHAnsi"/>
              <w:noProof/>
              <w:sz w:val="22"/>
              <w:szCs w:val="22"/>
            </w:rPr>
          </w:pPr>
          <w:hyperlink w:anchor="_Toc113628583" w:history="1">
            <w:r w:rsidR="007B0712" w:rsidRPr="00DF381D">
              <w:rPr>
                <w:rStyle w:val="Hyperlink"/>
                <w:noProof/>
              </w:rPr>
              <w:t>Information Sources</w:t>
            </w:r>
            <w:r w:rsidR="007B0712">
              <w:rPr>
                <w:noProof/>
                <w:webHidden/>
              </w:rPr>
              <w:tab/>
            </w:r>
            <w:r w:rsidR="007B0712">
              <w:rPr>
                <w:noProof/>
                <w:webHidden/>
              </w:rPr>
              <w:fldChar w:fldCharType="begin"/>
            </w:r>
            <w:r w:rsidR="007B0712">
              <w:rPr>
                <w:noProof/>
                <w:webHidden/>
              </w:rPr>
              <w:instrText xml:space="preserve"> PAGEREF _Toc113628583 \h </w:instrText>
            </w:r>
            <w:r w:rsidR="007B0712">
              <w:rPr>
                <w:noProof/>
                <w:webHidden/>
              </w:rPr>
            </w:r>
            <w:r w:rsidR="007B0712">
              <w:rPr>
                <w:noProof/>
                <w:webHidden/>
              </w:rPr>
              <w:fldChar w:fldCharType="separate"/>
            </w:r>
            <w:r w:rsidR="007B0712">
              <w:rPr>
                <w:noProof/>
                <w:webHidden/>
              </w:rPr>
              <w:t>19</w:t>
            </w:r>
            <w:r w:rsidR="007B0712">
              <w:rPr>
                <w:noProof/>
                <w:webHidden/>
              </w:rPr>
              <w:fldChar w:fldCharType="end"/>
            </w:r>
          </w:hyperlink>
        </w:p>
        <w:p w14:paraId="3BFDBF97" w14:textId="218E4A62" w:rsidR="007B0712" w:rsidRDefault="00B74C22">
          <w:pPr>
            <w:pStyle w:val="TOC2"/>
            <w:tabs>
              <w:tab w:val="right" w:leader="dot" w:pos="9962"/>
            </w:tabs>
            <w:rPr>
              <w:rFonts w:asciiTheme="minorHAnsi" w:hAnsiTheme="minorHAnsi"/>
              <w:noProof/>
              <w:sz w:val="22"/>
              <w:szCs w:val="22"/>
            </w:rPr>
          </w:pPr>
          <w:hyperlink w:anchor="_Toc113628584" w:history="1">
            <w:r w:rsidR="007B0712" w:rsidRPr="00DF381D">
              <w:rPr>
                <w:rStyle w:val="Hyperlink"/>
                <w:noProof/>
              </w:rPr>
              <w:t>Equality Assessment</w:t>
            </w:r>
            <w:r w:rsidR="007B0712">
              <w:rPr>
                <w:noProof/>
                <w:webHidden/>
              </w:rPr>
              <w:tab/>
            </w:r>
            <w:r w:rsidR="007B0712">
              <w:rPr>
                <w:noProof/>
                <w:webHidden/>
              </w:rPr>
              <w:fldChar w:fldCharType="begin"/>
            </w:r>
            <w:r w:rsidR="007B0712">
              <w:rPr>
                <w:noProof/>
                <w:webHidden/>
              </w:rPr>
              <w:instrText xml:space="preserve"> PAGEREF _Toc113628584 \h </w:instrText>
            </w:r>
            <w:r w:rsidR="007B0712">
              <w:rPr>
                <w:noProof/>
                <w:webHidden/>
              </w:rPr>
            </w:r>
            <w:r w:rsidR="007B0712">
              <w:rPr>
                <w:noProof/>
                <w:webHidden/>
              </w:rPr>
              <w:fldChar w:fldCharType="separate"/>
            </w:r>
            <w:r w:rsidR="007B0712">
              <w:rPr>
                <w:noProof/>
                <w:webHidden/>
              </w:rPr>
              <w:t>19</w:t>
            </w:r>
            <w:r w:rsidR="007B0712">
              <w:rPr>
                <w:noProof/>
                <w:webHidden/>
              </w:rPr>
              <w:fldChar w:fldCharType="end"/>
            </w:r>
          </w:hyperlink>
        </w:p>
        <w:p w14:paraId="10ABD6BB" w14:textId="44D4673C" w:rsidR="007B0712" w:rsidRDefault="00B74C22">
          <w:pPr>
            <w:pStyle w:val="TOC2"/>
            <w:tabs>
              <w:tab w:val="right" w:leader="dot" w:pos="9962"/>
            </w:tabs>
            <w:rPr>
              <w:rFonts w:asciiTheme="minorHAnsi" w:hAnsiTheme="minorHAnsi"/>
              <w:noProof/>
              <w:sz w:val="22"/>
              <w:szCs w:val="22"/>
            </w:rPr>
          </w:pPr>
          <w:hyperlink w:anchor="_Toc113628585" w:history="1">
            <w:r w:rsidR="007B0712" w:rsidRPr="00DF381D">
              <w:rPr>
                <w:rStyle w:val="Hyperlink"/>
                <w:noProof/>
              </w:rPr>
              <w:t>Process of Formal Consultation</w:t>
            </w:r>
            <w:r w:rsidR="007B0712">
              <w:rPr>
                <w:noProof/>
                <w:webHidden/>
              </w:rPr>
              <w:tab/>
            </w:r>
            <w:r w:rsidR="007B0712">
              <w:rPr>
                <w:noProof/>
                <w:webHidden/>
              </w:rPr>
              <w:fldChar w:fldCharType="begin"/>
            </w:r>
            <w:r w:rsidR="007B0712">
              <w:rPr>
                <w:noProof/>
                <w:webHidden/>
              </w:rPr>
              <w:instrText xml:space="preserve"> PAGEREF _Toc113628585 \h </w:instrText>
            </w:r>
            <w:r w:rsidR="007B0712">
              <w:rPr>
                <w:noProof/>
                <w:webHidden/>
              </w:rPr>
            </w:r>
            <w:r w:rsidR="007B0712">
              <w:rPr>
                <w:noProof/>
                <w:webHidden/>
              </w:rPr>
              <w:fldChar w:fldCharType="separate"/>
            </w:r>
            <w:r w:rsidR="007B0712">
              <w:rPr>
                <w:noProof/>
                <w:webHidden/>
              </w:rPr>
              <w:t>20</w:t>
            </w:r>
            <w:r w:rsidR="007B0712">
              <w:rPr>
                <w:noProof/>
                <w:webHidden/>
              </w:rPr>
              <w:fldChar w:fldCharType="end"/>
            </w:r>
          </w:hyperlink>
        </w:p>
        <w:p w14:paraId="2B59735D" w14:textId="4E51BBF2" w:rsidR="007B0712" w:rsidRDefault="00B74C22">
          <w:pPr>
            <w:pStyle w:val="TOC1"/>
            <w:tabs>
              <w:tab w:val="right" w:leader="dot" w:pos="9962"/>
            </w:tabs>
            <w:rPr>
              <w:rFonts w:asciiTheme="minorHAnsi" w:hAnsiTheme="minorHAnsi"/>
              <w:b w:val="0"/>
              <w:noProof/>
              <w:sz w:val="22"/>
              <w:szCs w:val="22"/>
            </w:rPr>
          </w:pPr>
          <w:hyperlink w:anchor="_Toc113628586" w:history="1">
            <w:r w:rsidR="007B0712" w:rsidRPr="00DF381D">
              <w:rPr>
                <w:rStyle w:val="Hyperlink"/>
                <w:noProof/>
              </w:rPr>
              <w:t>Other relevant work</w:t>
            </w:r>
            <w:r w:rsidR="007B0712">
              <w:rPr>
                <w:noProof/>
                <w:webHidden/>
              </w:rPr>
              <w:tab/>
            </w:r>
            <w:r w:rsidR="007B0712">
              <w:rPr>
                <w:noProof/>
                <w:webHidden/>
              </w:rPr>
              <w:fldChar w:fldCharType="begin"/>
            </w:r>
            <w:r w:rsidR="007B0712">
              <w:rPr>
                <w:noProof/>
                <w:webHidden/>
              </w:rPr>
              <w:instrText xml:space="preserve"> PAGEREF _Toc113628586 \h </w:instrText>
            </w:r>
            <w:r w:rsidR="007B0712">
              <w:rPr>
                <w:noProof/>
                <w:webHidden/>
              </w:rPr>
            </w:r>
            <w:r w:rsidR="007B0712">
              <w:rPr>
                <w:noProof/>
                <w:webHidden/>
              </w:rPr>
              <w:fldChar w:fldCharType="separate"/>
            </w:r>
            <w:r w:rsidR="007B0712">
              <w:rPr>
                <w:noProof/>
                <w:webHidden/>
              </w:rPr>
              <w:t>21</w:t>
            </w:r>
            <w:r w:rsidR="007B0712">
              <w:rPr>
                <w:noProof/>
                <w:webHidden/>
              </w:rPr>
              <w:fldChar w:fldCharType="end"/>
            </w:r>
          </w:hyperlink>
        </w:p>
        <w:p w14:paraId="21AB8FCD" w14:textId="17BCA50E" w:rsidR="007B0712" w:rsidRDefault="00B74C22">
          <w:pPr>
            <w:pStyle w:val="TOC2"/>
            <w:tabs>
              <w:tab w:val="right" w:leader="dot" w:pos="9962"/>
            </w:tabs>
            <w:rPr>
              <w:rFonts w:asciiTheme="minorHAnsi" w:hAnsiTheme="minorHAnsi"/>
              <w:noProof/>
              <w:sz w:val="22"/>
              <w:szCs w:val="22"/>
            </w:rPr>
          </w:pPr>
          <w:hyperlink w:anchor="_Toc113628587" w:history="1">
            <w:r w:rsidR="007B0712" w:rsidRPr="00DF381D">
              <w:rPr>
                <w:rStyle w:val="Hyperlink"/>
                <w:noProof/>
              </w:rPr>
              <w:t>JSNA</w:t>
            </w:r>
            <w:r w:rsidR="007B0712">
              <w:rPr>
                <w:noProof/>
                <w:webHidden/>
              </w:rPr>
              <w:tab/>
            </w:r>
            <w:r w:rsidR="007B0712">
              <w:rPr>
                <w:noProof/>
                <w:webHidden/>
              </w:rPr>
              <w:fldChar w:fldCharType="begin"/>
            </w:r>
            <w:r w:rsidR="007B0712">
              <w:rPr>
                <w:noProof/>
                <w:webHidden/>
              </w:rPr>
              <w:instrText xml:space="preserve"> PAGEREF _Toc113628587 \h </w:instrText>
            </w:r>
            <w:r w:rsidR="007B0712">
              <w:rPr>
                <w:noProof/>
                <w:webHidden/>
              </w:rPr>
            </w:r>
            <w:r w:rsidR="007B0712">
              <w:rPr>
                <w:noProof/>
                <w:webHidden/>
              </w:rPr>
              <w:fldChar w:fldCharType="separate"/>
            </w:r>
            <w:r w:rsidR="007B0712">
              <w:rPr>
                <w:noProof/>
                <w:webHidden/>
              </w:rPr>
              <w:t>21</w:t>
            </w:r>
            <w:r w:rsidR="007B0712">
              <w:rPr>
                <w:noProof/>
                <w:webHidden/>
              </w:rPr>
              <w:fldChar w:fldCharType="end"/>
            </w:r>
          </w:hyperlink>
        </w:p>
        <w:p w14:paraId="4DB87D38" w14:textId="463DB8F7" w:rsidR="007B0712" w:rsidRDefault="00B74C22">
          <w:pPr>
            <w:pStyle w:val="TOC2"/>
            <w:tabs>
              <w:tab w:val="right" w:leader="dot" w:pos="9962"/>
            </w:tabs>
            <w:rPr>
              <w:rFonts w:asciiTheme="minorHAnsi" w:hAnsiTheme="minorHAnsi"/>
              <w:noProof/>
              <w:sz w:val="22"/>
              <w:szCs w:val="22"/>
            </w:rPr>
          </w:pPr>
          <w:hyperlink w:anchor="_Toc113628588" w:history="1">
            <w:r w:rsidR="007B0712" w:rsidRPr="00DF381D">
              <w:rPr>
                <w:rStyle w:val="Hyperlink"/>
                <w:noProof/>
              </w:rPr>
              <w:t>Health inequalities plan</w:t>
            </w:r>
            <w:r w:rsidR="007B0712">
              <w:rPr>
                <w:noProof/>
                <w:webHidden/>
              </w:rPr>
              <w:tab/>
            </w:r>
            <w:r w:rsidR="007B0712">
              <w:rPr>
                <w:noProof/>
                <w:webHidden/>
              </w:rPr>
              <w:fldChar w:fldCharType="begin"/>
            </w:r>
            <w:r w:rsidR="007B0712">
              <w:rPr>
                <w:noProof/>
                <w:webHidden/>
              </w:rPr>
              <w:instrText xml:space="preserve"> PAGEREF _Toc113628588 \h </w:instrText>
            </w:r>
            <w:r w:rsidR="007B0712">
              <w:rPr>
                <w:noProof/>
                <w:webHidden/>
              </w:rPr>
            </w:r>
            <w:r w:rsidR="007B0712">
              <w:rPr>
                <w:noProof/>
                <w:webHidden/>
              </w:rPr>
              <w:fldChar w:fldCharType="separate"/>
            </w:r>
            <w:r w:rsidR="007B0712">
              <w:rPr>
                <w:noProof/>
                <w:webHidden/>
              </w:rPr>
              <w:t>21</w:t>
            </w:r>
            <w:r w:rsidR="007B0712">
              <w:rPr>
                <w:noProof/>
                <w:webHidden/>
              </w:rPr>
              <w:fldChar w:fldCharType="end"/>
            </w:r>
          </w:hyperlink>
        </w:p>
        <w:p w14:paraId="39A8ADB4" w14:textId="0111C20D" w:rsidR="007B0712" w:rsidRDefault="00B74C22">
          <w:pPr>
            <w:pStyle w:val="TOC2"/>
            <w:tabs>
              <w:tab w:val="right" w:leader="dot" w:pos="9962"/>
            </w:tabs>
            <w:rPr>
              <w:rFonts w:asciiTheme="minorHAnsi" w:hAnsiTheme="minorHAnsi"/>
              <w:noProof/>
              <w:sz w:val="22"/>
              <w:szCs w:val="22"/>
            </w:rPr>
          </w:pPr>
          <w:hyperlink w:anchor="_Toc113628589" w:history="1">
            <w:r w:rsidR="007B0712" w:rsidRPr="00DF381D">
              <w:rPr>
                <w:rStyle w:val="Hyperlink"/>
                <w:noProof/>
              </w:rPr>
              <w:t>Integrated Care Board (ICB)</w:t>
            </w:r>
            <w:r w:rsidR="007B0712">
              <w:rPr>
                <w:noProof/>
                <w:webHidden/>
              </w:rPr>
              <w:tab/>
            </w:r>
            <w:r w:rsidR="007B0712">
              <w:rPr>
                <w:noProof/>
                <w:webHidden/>
              </w:rPr>
              <w:fldChar w:fldCharType="begin"/>
            </w:r>
            <w:r w:rsidR="007B0712">
              <w:rPr>
                <w:noProof/>
                <w:webHidden/>
              </w:rPr>
              <w:instrText xml:space="preserve"> PAGEREF _Toc113628589 \h </w:instrText>
            </w:r>
            <w:r w:rsidR="007B0712">
              <w:rPr>
                <w:noProof/>
                <w:webHidden/>
              </w:rPr>
            </w:r>
            <w:r w:rsidR="007B0712">
              <w:rPr>
                <w:noProof/>
                <w:webHidden/>
              </w:rPr>
              <w:fldChar w:fldCharType="separate"/>
            </w:r>
            <w:r w:rsidR="007B0712">
              <w:rPr>
                <w:noProof/>
                <w:webHidden/>
              </w:rPr>
              <w:t>22</w:t>
            </w:r>
            <w:r w:rsidR="007B0712">
              <w:rPr>
                <w:noProof/>
                <w:webHidden/>
              </w:rPr>
              <w:fldChar w:fldCharType="end"/>
            </w:r>
          </w:hyperlink>
        </w:p>
        <w:p w14:paraId="171C9C7F" w14:textId="2BC61735" w:rsidR="007B0712" w:rsidRDefault="00B74C22">
          <w:pPr>
            <w:pStyle w:val="TOC2"/>
            <w:tabs>
              <w:tab w:val="right" w:leader="dot" w:pos="9962"/>
            </w:tabs>
            <w:rPr>
              <w:rFonts w:asciiTheme="minorHAnsi" w:hAnsiTheme="minorHAnsi"/>
              <w:noProof/>
              <w:sz w:val="22"/>
              <w:szCs w:val="22"/>
            </w:rPr>
          </w:pPr>
          <w:hyperlink w:anchor="_Toc113628590" w:history="1">
            <w:r w:rsidR="007B0712" w:rsidRPr="00DF381D">
              <w:rPr>
                <w:rStyle w:val="Hyperlink"/>
                <w:noProof/>
              </w:rPr>
              <w:t>Healthwatch</w:t>
            </w:r>
            <w:r w:rsidR="007B0712">
              <w:rPr>
                <w:noProof/>
                <w:webHidden/>
              </w:rPr>
              <w:tab/>
            </w:r>
            <w:r w:rsidR="007B0712">
              <w:rPr>
                <w:noProof/>
                <w:webHidden/>
              </w:rPr>
              <w:fldChar w:fldCharType="begin"/>
            </w:r>
            <w:r w:rsidR="007B0712">
              <w:rPr>
                <w:noProof/>
                <w:webHidden/>
              </w:rPr>
              <w:instrText xml:space="preserve"> PAGEREF _Toc113628590 \h </w:instrText>
            </w:r>
            <w:r w:rsidR="007B0712">
              <w:rPr>
                <w:noProof/>
                <w:webHidden/>
              </w:rPr>
            </w:r>
            <w:r w:rsidR="007B0712">
              <w:rPr>
                <w:noProof/>
                <w:webHidden/>
              </w:rPr>
              <w:fldChar w:fldCharType="separate"/>
            </w:r>
            <w:r w:rsidR="007B0712">
              <w:rPr>
                <w:noProof/>
                <w:webHidden/>
              </w:rPr>
              <w:t>22</w:t>
            </w:r>
            <w:r w:rsidR="007B0712">
              <w:rPr>
                <w:noProof/>
                <w:webHidden/>
              </w:rPr>
              <w:fldChar w:fldCharType="end"/>
            </w:r>
          </w:hyperlink>
        </w:p>
        <w:p w14:paraId="3FAC8044" w14:textId="683C0C4D" w:rsidR="007B0712" w:rsidRDefault="00B74C22">
          <w:pPr>
            <w:pStyle w:val="TOC2"/>
            <w:tabs>
              <w:tab w:val="right" w:leader="dot" w:pos="9962"/>
            </w:tabs>
            <w:rPr>
              <w:rFonts w:asciiTheme="minorHAnsi" w:hAnsiTheme="minorHAnsi"/>
              <w:noProof/>
              <w:sz w:val="22"/>
              <w:szCs w:val="22"/>
            </w:rPr>
          </w:pPr>
          <w:hyperlink w:anchor="_Toc113628591" w:history="1">
            <w:r w:rsidR="007B0712" w:rsidRPr="00DF381D">
              <w:rPr>
                <w:rStyle w:val="Hyperlink"/>
                <w:noProof/>
              </w:rPr>
              <w:t>Integrated Pharmacy Medicines Optimisation (IPMO)</w:t>
            </w:r>
            <w:r w:rsidR="007B0712">
              <w:rPr>
                <w:noProof/>
                <w:webHidden/>
              </w:rPr>
              <w:tab/>
            </w:r>
            <w:r w:rsidR="007B0712">
              <w:rPr>
                <w:noProof/>
                <w:webHidden/>
              </w:rPr>
              <w:fldChar w:fldCharType="begin"/>
            </w:r>
            <w:r w:rsidR="007B0712">
              <w:rPr>
                <w:noProof/>
                <w:webHidden/>
              </w:rPr>
              <w:instrText xml:space="preserve"> PAGEREF _Toc113628591 \h </w:instrText>
            </w:r>
            <w:r w:rsidR="007B0712">
              <w:rPr>
                <w:noProof/>
                <w:webHidden/>
              </w:rPr>
            </w:r>
            <w:r w:rsidR="007B0712">
              <w:rPr>
                <w:noProof/>
                <w:webHidden/>
              </w:rPr>
              <w:fldChar w:fldCharType="separate"/>
            </w:r>
            <w:r w:rsidR="007B0712">
              <w:rPr>
                <w:noProof/>
                <w:webHidden/>
              </w:rPr>
              <w:t>22</w:t>
            </w:r>
            <w:r w:rsidR="007B0712">
              <w:rPr>
                <w:noProof/>
                <w:webHidden/>
              </w:rPr>
              <w:fldChar w:fldCharType="end"/>
            </w:r>
          </w:hyperlink>
        </w:p>
        <w:p w14:paraId="57C17928" w14:textId="71485B6D" w:rsidR="007B0712" w:rsidRDefault="00B74C22">
          <w:pPr>
            <w:pStyle w:val="TOC1"/>
            <w:tabs>
              <w:tab w:val="right" w:leader="dot" w:pos="9962"/>
            </w:tabs>
            <w:rPr>
              <w:rFonts w:asciiTheme="minorHAnsi" w:hAnsiTheme="minorHAnsi"/>
              <w:b w:val="0"/>
              <w:noProof/>
              <w:sz w:val="22"/>
              <w:szCs w:val="22"/>
            </w:rPr>
          </w:pPr>
          <w:hyperlink w:anchor="_Toc113628592" w:history="1">
            <w:r w:rsidR="007B0712" w:rsidRPr="00DF381D">
              <w:rPr>
                <w:rStyle w:val="Hyperlink"/>
                <w:noProof/>
              </w:rPr>
              <w:t>Local Picture</w:t>
            </w:r>
            <w:r w:rsidR="007B0712">
              <w:rPr>
                <w:noProof/>
                <w:webHidden/>
              </w:rPr>
              <w:tab/>
            </w:r>
            <w:r w:rsidR="007B0712">
              <w:rPr>
                <w:noProof/>
                <w:webHidden/>
              </w:rPr>
              <w:fldChar w:fldCharType="begin"/>
            </w:r>
            <w:r w:rsidR="007B0712">
              <w:rPr>
                <w:noProof/>
                <w:webHidden/>
              </w:rPr>
              <w:instrText xml:space="preserve"> PAGEREF _Toc113628592 \h </w:instrText>
            </w:r>
            <w:r w:rsidR="007B0712">
              <w:rPr>
                <w:noProof/>
                <w:webHidden/>
              </w:rPr>
            </w:r>
            <w:r w:rsidR="007B0712">
              <w:rPr>
                <w:noProof/>
                <w:webHidden/>
              </w:rPr>
              <w:fldChar w:fldCharType="separate"/>
            </w:r>
            <w:r w:rsidR="007B0712">
              <w:rPr>
                <w:noProof/>
                <w:webHidden/>
              </w:rPr>
              <w:t>24</w:t>
            </w:r>
            <w:r w:rsidR="007B0712">
              <w:rPr>
                <w:noProof/>
                <w:webHidden/>
              </w:rPr>
              <w:fldChar w:fldCharType="end"/>
            </w:r>
          </w:hyperlink>
        </w:p>
        <w:p w14:paraId="3451E62C" w14:textId="412138AC" w:rsidR="007B0712" w:rsidRDefault="00B74C22">
          <w:pPr>
            <w:pStyle w:val="TOC2"/>
            <w:tabs>
              <w:tab w:val="right" w:leader="dot" w:pos="9962"/>
            </w:tabs>
            <w:rPr>
              <w:rFonts w:asciiTheme="minorHAnsi" w:hAnsiTheme="minorHAnsi"/>
              <w:noProof/>
              <w:sz w:val="22"/>
              <w:szCs w:val="22"/>
            </w:rPr>
          </w:pPr>
          <w:hyperlink w:anchor="_Toc113628593" w:history="1">
            <w:r w:rsidR="007B0712" w:rsidRPr="00DF381D">
              <w:rPr>
                <w:rStyle w:val="Hyperlink"/>
                <w:rFonts w:eastAsia="Arial" w:cs="Arial"/>
                <w:noProof/>
              </w:rPr>
              <w:t>Population</w:t>
            </w:r>
            <w:r w:rsidR="007B0712">
              <w:rPr>
                <w:noProof/>
                <w:webHidden/>
              </w:rPr>
              <w:tab/>
            </w:r>
            <w:r w:rsidR="007B0712">
              <w:rPr>
                <w:noProof/>
                <w:webHidden/>
              </w:rPr>
              <w:fldChar w:fldCharType="begin"/>
            </w:r>
            <w:r w:rsidR="007B0712">
              <w:rPr>
                <w:noProof/>
                <w:webHidden/>
              </w:rPr>
              <w:instrText xml:space="preserve"> PAGEREF _Toc113628593 \h </w:instrText>
            </w:r>
            <w:r w:rsidR="007B0712">
              <w:rPr>
                <w:noProof/>
                <w:webHidden/>
              </w:rPr>
            </w:r>
            <w:r w:rsidR="007B0712">
              <w:rPr>
                <w:noProof/>
                <w:webHidden/>
              </w:rPr>
              <w:fldChar w:fldCharType="separate"/>
            </w:r>
            <w:r w:rsidR="007B0712">
              <w:rPr>
                <w:noProof/>
                <w:webHidden/>
              </w:rPr>
              <w:t>24</w:t>
            </w:r>
            <w:r w:rsidR="007B0712">
              <w:rPr>
                <w:noProof/>
                <w:webHidden/>
              </w:rPr>
              <w:fldChar w:fldCharType="end"/>
            </w:r>
          </w:hyperlink>
        </w:p>
        <w:p w14:paraId="44F7FC60" w14:textId="7C79BBBE" w:rsidR="007B0712" w:rsidRDefault="00B74C22">
          <w:pPr>
            <w:pStyle w:val="TOC2"/>
            <w:tabs>
              <w:tab w:val="right" w:leader="dot" w:pos="9962"/>
            </w:tabs>
            <w:rPr>
              <w:rFonts w:asciiTheme="minorHAnsi" w:hAnsiTheme="minorHAnsi"/>
              <w:noProof/>
              <w:sz w:val="22"/>
              <w:szCs w:val="22"/>
            </w:rPr>
          </w:pPr>
          <w:hyperlink w:anchor="_Toc113628594" w:history="1">
            <w:r w:rsidR="007B0712" w:rsidRPr="00DF381D">
              <w:rPr>
                <w:rStyle w:val="Hyperlink"/>
                <w:rFonts w:eastAsia="Arial" w:cs="Arial"/>
                <w:noProof/>
              </w:rPr>
              <w:t>Ethnicity</w:t>
            </w:r>
            <w:r w:rsidR="007B0712">
              <w:rPr>
                <w:noProof/>
                <w:webHidden/>
              </w:rPr>
              <w:tab/>
            </w:r>
            <w:r w:rsidR="007B0712">
              <w:rPr>
                <w:noProof/>
                <w:webHidden/>
              </w:rPr>
              <w:fldChar w:fldCharType="begin"/>
            </w:r>
            <w:r w:rsidR="007B0712">
              <w:rPr>
                <w:noProof/>
                <w:webHidden/>
              </w:rPr>
              <w:instrText xml:space="preserve"> PAGEREF _Toc113628594 \h </w:instrText>
            </w:r>
            <w:r w:rsidR="007B0712">
              <w:rPr>
                <w:noProof/>
                <w:webHidden/>
              </w:rPr>
            </w:r>
            <w:r w:rsidR="007B0712">
              <w:rPr>
                <w:noProof/>
                <w:webHidden/>
              </w:rPr>
              <w:fldChar w:fldCharType="separate"/>
            </w:r>
            <w:r w:rsidR="007B0712">
              <w:rPr>
                <w:noProof/>
                <w:webHidden/>
              </w:rPr>
              <w:t>26</w:t>
            </w:r>
            <w:r w:rsidR="007B0712">
              <w:rPr>
                <w:noProof/>
                <w:webHidden/>
              </w:rPr>
              <w:fldChar w:fldCharType="end"/>
            </w:r>
          </w:hyperlink>
        </w:p>
        <w:p w14:paraId="7899D945" w14:textId="134C79B1" w:rsidR="007B0712" w:rsidRDefault="00B74C22">
          <w:pPr>
            <w:pStyle w:val="TOC2"/>
            <w:tabs>
              <w:tab w:val="right" w:leader="dot" w:pos="9962"/>
            </w:tabs>
            <w:rPr>
              <w:rFonts w:asciiTheme="minorHAnsi" w:hAnsiTheme="minorHAnsi"/>
              <w:noProof/>
              <w:sz w:val="22"/>
              <w:szCs w:val="22"/>
            </w:rPr>
          </w:pPr>
          <w:hyperlink w:anchor="_Toc113628595" w:history="1">
            <w:r w:rsidR="007B0712" w:rsidRPr="00DF381D">
              <w:rPr>
                <w:rStyle w:val="Hyperlink"/>
                <w:rFonts w:eastAsia="Arial" w:cs="Arial"/>
                <w:noProof/>
              </w:rPr>
              <w:t>Household Languages</w:t>
            </w:r>
            <w:r w:rsidR="007B0712">
              <w:rPr>
                <w:noProof/>
                <w:webHidden/>
              </w:rPr>
              <w:tab/>
            </w:r>
            <w:r w:rsidR="007B0712">
              <w:rPr>
                <w:noProof/>
                <w:webHidden/>
              </w:rPr>
              <w:fldChar w:fldCharType="begin"/>
            </w:r>
            <w:r w:rsidR="007B0712">
              <w:rPr>
                <w:noProof/>
                <w:webHidden/>
              </w:rPr>
              <w:instrText xml:space="preserve"> PAGEREF _Toc113628595 \h </w:instrText>
            </w:r>
            <w:r w:rsidR="007B0712">
              <w:rPr>
                <w:noProof/>
                <w:webHidden/>
              </w:rPr>
            </w:r>
            <w:r w:rsidR="007B0712">
              <w:rPr>
                <w:noProof/>
                <w:webHidden/>
              </w:rPr>
              <w:fldChar w:fldCharType="separate"/>
            </w:r>
            <w:r w:rsidR="007B0712">
              <w:rPr>
                <w:noProof/>
                <w:webHidden/>
              </w:rPr>
              <w:t>28</w:t>
            </w:r>
            <w:r w:rsidR="007B0712">
              <w:rPr>
                <w:noProof/>
                <w:webHidden/>
              </w:rPr>
              <w:fldChar w:fldCharType="end"/>
            </w:r>
          </w:hyperlink>
        </w:p>
        <w:p w14:paraId="41312992" w14:textId="2279BCBD" w:rsidR="007B0712" w:rsidRDefault="00B74C22">
          <w:pPr>
            <w:pStyle w:val="TOC2"/>
            <w:tabs>
              <w:tab w:val="right" w:leader="dot" w:pos="9962"/>
            </w:tabs>
            <w:rPr>
              <w:rFonts w:asciiTheme="minorHAnsi" w:hAnsiTheme="minorHAnsi"/>
              <w:noProof/>
              <w:sz w:val="22"/>
              <w:szCs w:val="22"/>
            </w:rPr>
          </w:pPr>
          <w:hyperlink w:anchor="_Toc113628596" w:history="1">
            <w:r w:rsidR="007B0712" w:rsidRPr="00DF381D">
              <w:rPr>
                <w:rStyle w:val="Hyperlink"/>
                <w:rFonts w:eastAsia="Arial" w:cs="Arial"/>
                <w:noProof/>
              </w:rPr>
              <w:t>Index of Multiple Deprivation</w:t>
            </w:r>
            <w:r w:rsidR="007B0712">
              <w:rPr>
                <w:noProof/>
                <w:webHidden/>
              </w:rPr>
              <w:tab/>
            </w:r>
            <w:r w:rsidR="007B0712">
              <w:rPr>
                <w:noProof/>
                <w:webHidden/>
              </w:rPr>
              <w:fldChar w:fldCharType="begin"/>
            </w:r>
            <w:r w:rsidR="007B0712">
              <w:rPr>
                <w:noProof/>
                <w:webHidden/>
              </w:rPr>
              <w:instrText xml:space="preserve"> PAGEREF _Toc113628596 \h </w:instrText>
            </w:r>
            <w:r w:rsidR="007B0712">
              <w:rPr>
                <w:noProof/>
                <w:webHidden/>
              </w:rPr>
            </w:r>
            <w:r w:rsidR="007B0712">
              <w:rPr>
                <w:noProof/>
                <w:webHidden/>
              </w:rPr>
              <w:fldChar w:fldCharType="separate"/>
            </w:r>
            <w:r w:rsidR="007B0712">
              <w:rPr>
                <w:noProof/>
                <w:webHidden/>
              </w:rPr>
              <w:t>29</w:t>
            </w:r>
            <w:r w:rsidR="007B0712">
              <w:rPr>
                <w:noProof/>
                <w:webHidden/>
              </w:rPr>
              <w:fldChar w:fldCharType="end"/>
            </w:r>
          </w:hyperlink>
        </w:p>
        <w:p w14:paraId="1614A979" w14:textId="77CFB88D" w:rsidR="007B0712" w:rsidRDefault="00B74C22">
          <w:pPr>
            <w:pStyle w:val="TOC2"/>
            <w:tabs>
              <w:tab w:val="right" w:leader="dot" w:pos="9962"/>
            </w:tabs>
            <w:rPr>
              <w:rFonts w:asciiTheme="minorHAnsi" w:hAnsiTheme="minorHAnsi"/>
              <w:noProof/>
              <w:sz w:val="22"/>
              <w:szCs w:val="22"/>
            </w:rPr>
          </w:pPr>
          <w:hyperlink w:anchor="_Toc113628597" w:history="1">
            <w:r w:rsidR="007B0712" w:rsidRPr="00DF381D">
              <w:rPr>
                <w:rStyle w:val="Hyperlink"/>
                <w:noProof/>
              </w:rPr>
              <w:t>Rural Deprivation Index for Health</w:t>
            </w:r>
            <w:r w:rsidR="007B0712">
              <w:rPr>
                <w:noProof/>
                <w:webHidden/>
              </w:rPr>
              <w:tab/>
            </w:r>
            <w:r w:rsidR="007B0712">
              <w:rPr>
                <w:noProof/>
                <w:webHidden/>
              </w:rPr>
              <w:fldChar w:fldCharType="begin"/>
            </w:r>
            <w:r w:rsidR="007B0712">
              <w:rPr>
                <w:noProof/>
                <w:webHidden/>
              </w:rPr>
              <w:instrText xml:space="preserve"> PAGEREF _Toc113628597 \h </w:instrText>
            </w:r>
            <w:r w:rsidR="007B0712">
              <w:rPr>
                <w:noProof/>
                <w:webHidden/>
              </w:rPr>
            </w:r>
            <w:r w:rsidR="007B0712">
              <w:rPr>
                <w:noProof/>
                <w:webHidden/>
              </w:rPr>
              <w:fldChar w:fldCharType="separate"/>
            </w:r>
            <w:r w:rsidR="007B0712">
              <w:rPr>
                <w:noProof/>
                <w:webHidden/>
              </w:rPr>
              <w:t>36</w:t>
            </w:r>
            <w:r w:rsidR="007B0712">
              <w:rPr>
                <w:noProof/>
                <w:webHidden/>
              </w:rPr>
              <w:fldChar w:fldCharType="end"/>
            </w:r>
          </w:hyperlink>
        </w:p>
        <w:p w14:paraId="31B63BDC" w14:textId="391727D0" w:rsidR="007B0712" w:rsidRDefault="00B74C22">
          <w:pPr>
            <w:pStyle w:val="TOC2"/>
            <w:tabs>
              <w:tab w:val="right" w:leader="dot" w:pos="9962"/>
            </w:tabs>
            <w:rPr>
              <w:rFonts w:asciiTheme="minorHAnsi" w:hAnsiTheme="minorHAnsi"/>
              <w:noProof/>
              <w:sz w:val="22"/>
              <w:szCs w:val="22"/>
            </w:rPr>
          </w:pPr>
          <w:hyperlink w:anchor="_Toc113628598" w:history="1">
            <w:r w:rsidR="007B0712" w:rsidRPr="00DF381D">
              <w:rPr>
                <w:rStyle w:val="Hyperlink"/>
                <w:rFonts w:eastAsia="Arial" w:cs="Arial"/>
                <w:noProof/>
              </w:rPr>
              <w:t>Life Expectancy</w:t>
            </w:r>
            <w:r w:rsidR="007B0712">
              <w:rPr>
                <w:noProof/>
                <w:webHidden/>
              </w:rPr>
              <w:tab/>
            </w:r>
            <w:r w:rsidR="007B0712">
              <w:rPr>
                <w:noProof/>
                <w:webHidden/>
              </w:rPr>
              <w:fldChar w:fldCharType="begin"/>
            </w:r>
            <w:r w:rsidR="007B0712">
              <w:rPr>
                <w:noProof/>
                <w:webHidden/>
              </w:rPr>
              <w:instrText xml:space="preserve"> PAGEREF _Toc113628598 \h </w:instrText>
            </w:r>
            <w:r w:rsidR="007B0712">
              <w:rPr>
                <w:noProof/>
                <w:webHidden/>
              </w:rPr>
            </w:r>
            <w:r w:rsidR="007B0712">
              <w:rPr>
                <w:noProof/>
                <w:webHidden/>
              </w:rPr>
              <w:fldChar w:fldCharType="separate"/>
            </w:r>
            <w:r w:rsidR="007B0712">
              <w:rPr>
                <w:noProof/>
                <w:webHidden/>
              </w:rPr>
              <w:t>37</w:t>
            </w:r>
            <w:r w:rsidR="007B0712">
              <w:rPr>
                <w:noProof/>
                <w:webHidden/>
              </w:rPr>
              <w:fldChar w:fldCharType="end"/>
            </w:r>
          </w:hyperlink>
        </w:p>
        <w:p w14:paraId="3723238A" w14:textId="35B9AAD1" w:rsidR="007B0712" w:rsidRDefault="00B74C22">
          <w:pPr>
            <w:pStyle w:val="TOC2"/>
            <w:tabs>
              <w:tab w:val="right" w:leader="dot" w:pos="9962"/>
            </w:tabs>
            <w:rPr>
              <w:rFonts w:asciiTheme="minorHAnsi" w:hAnsiTheme="minorHAnsi"/>
              <w:noProof/>
              <w:sz w:val="22"/>
              <w:szCs w:val="22"/>
            </w:rPr>
          </w:pPr>
          <w:hyperlink w:anchor="_Toc113628599" w:history="1">
            <w:r w:rsidR="007B0712" w:rsidRPr="00DF381D">
              <w:rPr>
                <w:rStyle w:val="Hyperlink"/>
                <w:rFonts w:eastAsia="Arial" w:cs="Arial"/>
                <w:noProof/>
              </w:rPr>
              <w:t>Households &amp; Housing Development Projections</w:t>
            </w:r>
            <w:r w:rsidR="007B0712">
              <w:rPr>
                <w:noProof/>
                <w:webHidden/>
              </w:rPr>
              <w:tab/>
            </w:r>
            <w:r w:rsidR="007B0712">
              <w:rPr>
                <w:noProof/>
                <w:webHidden/>
              </w:rPr>
              <w:fldChar w:fldCharType="begin"/>
            </w:r>
            <w:r w:rsidR="007B0712">
              <w:rPr>
                <w:noProof/>
                <w:webHidden/>
              </w:rPr>
              <w:instrText xml:space="preserve"> PAGEREF _Toc113628599 \h </w:instrText>
            </w:r>
            <w:r w:rsidR="007B0712">
              <w:rPr>
                <w:noProof/>
                <w:webHidden/>
              </w:rPr>
            </w:r>
            <w:r w:rsidR="007B0712">
              <w:rPr>
                <w:noProof/>
                <w:webHidden/>
              </w:rPr>
              <w:fldChar w:fldCharType="separate"/>
            </w:r>
            <w:r w:rsidR="007B0712">
              <w:rPr>
                <w:noProof/>
                <w:webHidden/>
              </w:rPr>
              <w:t>38</w:t>
            </w:r>
            <w:r w:rsidR="007B0712">
              <w:rPr>
                <w:noProof/>
                <w:webHidden/>
              </w:rPr>
              <w:fldChar w:fldCharType="end"/>
            </w:r>
          </w:hyperlink>
        </w:p>
        <w:p w14:paraId="5A173CF3" w14:textId="5FB49BFA" w:rsidR="007B0712" w:rsidRDefault="00B74C22">
          <w:pPr>
            <w:pStyle w:val="TOC2"/>
            <w:tabs>
              <w:tab w:val="right" w:leader="dot" w:pos="9962"/>
            </w:tabs>
            <w:rPr>
              <w:rFonts w:asciiTheme="minorHAnsi" w:hAnsiTheme="minorHAnsi"/>
              <w:noProof/>
              <w:sz w:val="22"/>
              <w:szCs w:val="22"/>
            </w:rPr>
          </w:pPr>
          <w:hyperlink w:anchor="_Toc113628600" w:history="1">
            <w:r w:rsidR="007B0712" w:rsidRPr="00DF381D">
              <w:rPr>
                <w:rStyle w:val="Hyperlink"/>
                <w:rFonts w:eastAsia="Arial" w:cs="Arial"/>
                <w:noProof/>
              </w:rPr>
              <w:t>Cost of Living Crisis</w:t>
            </w:r>
            <w:r w:rsidR="007B0712">
              <w:rPr>
                <w:noProof/>
                <w:webHidden/>
              </w:rPr>
              <w:tab/>
            </w:r>
            <w:r w:rsidR="007B0712">
              <w:rPr>
                <w:noProof/>
                <w:webHidden/>
              </w:rPr>
              <w:fldChar w:fldCharType="begin"/>
            </w:r>
            <w:r w:rsidR="007B0712">
              <w:rPr>
                <w:noProof/>
                <w:webHidden/>
              </w:rPr>
              <w:instrText xml:space="preserve"> PAGEREF _Toc113628600 \h </w:instrText>
            </w:r>
            <w:r w:rsidR="007B0712">
              <w:rPr>
                <w:noProof/>
                <w:webHidden/>
              </w:rPr>
            </w:r>
            <w:r w:rsidR="007B0712">
              <w:rPr>
                <w:noProof/>
                <w:webHidden/>
              </w:rPr>
              <w:fldChar w:fldCharType="separate"/>
            </w:r>
            <w:r w:rsidR="007B0712">
              <w:rPr>
                <w:noProof/>
                <w:webHidden/>
              </w:rPr>
              <w:t>43</w:t>
            </w:r>
            <w:r w:rsidR="007B0712">
              <w:rPr>
                <w:noProof/>
                <w:webHidden/>
              </w:rPr>
              <w:fldChar w:fldCharType="end"/>
            </w:r>
          </w:hyperlink>
        </w:p>
        <w:p w14:paraId="488A0B9F" w14:textId="0A796E55" w:rsidR="007B0712" w:rsidRDefault="00B74C22">
          <w:pPr>
            <w:pStyle w:val="TOC2"/>
            <w:tabs>
              <w:tab w:val="right" w:leader="dot" w:pos="9962"/>
            </w:tabs>
            <w:rPr>
              <w:rFonts w:asciiTheme="minorHAnsi" w:hAnsiTheme="minorHAnsi"/>
              <w:noProof/>
              <w:sz w:val="22"/>
              <w:szCs w:val="22"/>
            </w:rPr>
          </w:pPr>
          <w:hyperlink w:anchor="_Toc113628601" w:history="1">
            <w:r w:rsidR="007B0712" w:rsidRPr="00DF381D">
              <w:rPr>
                <w:rStyle w:val="Hyperlink"/>
                <w:rFonts w:eastAsia="Arial" w:cs="Arial"/>
                <w:noProof/>
              </w:rPr>
              <w:t>Car Ownership</w:t>
            </w:r>
            <w:r w:rsidR="007B0712">
              <w:rPr>
                <w:noProof/>
                <w:webHidden/>
              </w:rPr>
              <w:tab/>
            </w:r>
            <w:r w:rsidR="007B0712">
              <w:rPr>
                <w:noProof/>
                <w:webHidden/>
              </w:rPr>
              <w:fldChar w:fldCharType="begin"/>
            </w:r>
            <w:r w:rsidR="007B0712">
              <w:rPr>
                <w:noProof/>
                <w:webHidden/>
              </w:rPr>
              <w:instrText xml:space="preserve"> PAGEREF _Toc113628601 \h </w:instrText>
            </w:r>
            <w:r w:rsidR="007B0712">
              <w:rPr>
                <w:noProof/>
                <w:webHidden/>
              </w:rPr>
            </w:r>
            <w:r w:rsidR="007B0712">
              <w:rPr>
                <w:noProof/>
                <w:webHidden/>
              </w:rPr>
              <w:fldChar w:fldCharType="separate"/>
            </w:r>
            <w:r w:rsidR="007B0712">
              <w:rPr>
                <w:noProof/>
                <w:webHidden/>
              </w:rPr>
              <w:t>43</w:t>
            </w:r>
            <w:r w:rsidR="007B0712">
              <w:rPr>
                <w:noProof/>
                <w:webHidden/>
              </w:rPr>
              <w:fldChar w:fldCharType="end"/>
            </w:r>
          </w:hyperlink>
        </w:p>
        <w:p w14:paraId="72ECA854" w14:textId="2F45DEA5" w:rsidR="007B0712" w:rsidRDefault="00B74C22">
          <w:pPr>
            <w:pStyle w:val="TOC1"/>
            <w:tabs>
              <w:tab w:val="right" w:leader="dot" w:pos="9962"/>
            </w:tabs>
            <w:rPr>
              <w:rFonts w:asciiTheme="minorHAnsi" w:hAnsiTheme="minorHAnsi"/>
              <w:b w:val="0"/>
              <w:noProof/>
              <w:sz w:val="22"/>
              <w:szCs w:val="22"/>
            </w:rPr>
          </w:pPr>
          <w:hyperlink w:anchor="_Toc113628602" w:history="1">
            <w:r w:rsidR="007B0712" w:rsidRPr="00DF381D">
              <w:rPr>
                <w:rStyle w:val="Hyperlink"/>
                <w:noProof/>
              </w:rPr>
              <w:t>General Health Needs</w:t>
            </w:r>
            <w:r w:rsidR="007B0712">
              <w:rPr>
                <w:noProof/>
                <w:webHidden/>
              </w:rPr>
              <w:tab/>
            </w:r>
            <w:r w:rsidR="007B0712">
              <w:rPr>
                <w:noProof/>
                <w:webHidden/>
              </w:rPr>
              <w:fldChar w:fldCharType="begin"/>
            </w:r>
            <w:r w:rsidR="007B0712">
              <w:rPr>
                <w:noProof/>
                <w:webHidden/>
              </w:rPr>
              <w:instrText xml:space="preserve"> PAGEREF _Toc113628602 \h </w:instrText>
            </w:r>
            <w:r w:rsidR="007B0712">
              <w:rPr>
                <w:noProof/>
                <w:webHidden/>
              </w:rPr>
            </w:r>
            <w:r w:rsidR="007B0712">
              <w:rPr>
                <w:noProof/>
                <w:webHidden/>
              </w:rPr>
              <w:fldChar w:fldCharType="separate"/>
            </w:r>
            <w:r w:rsidR="007B0712">
              <w:rPr>
                <w:noProof/>
                <w:webHidden/>
              </w:rPr>
              <w:t>45</w:t>
            </w:r>
            <w:r w:rsidR="007B0712">
              <w:rPr>
                <w:noProof/>
                <w:webHidden/>
              </w:rPr>
              <w:fldChar w:fldCharType="end"/>
            </w:r>
          </w:hyperlink>
        </w:p>
        <w:p w14:paraId="7C0288FC" w14:textId="559753F3" w:rsidR="007B0712" w:rsidRDefault="00B74C22">
          <w:pPr>
            <w:pStyle w:val="TOC2"/>
            <w:tabs>
              <w:tab w:val="right" w:leader="dot" w:pos="9962"/>
            </w:tabs>
            <w:rPr>
              <w:rFonts w:asciiTheme="minorHAnsi" w:hAnsiTheme="minorHAnsi"/>
              <w:noProof/>
              <w:sz w:val="22"/>
              <w:szCs w:val="22"/>
            </w:rPr>
          </w:pPr>
          <w:hyperlink w:anchor="_Toc113628603" w:history="1">
            <w:r w:rsidR="007B0712" w:rsidRPr="00DF381D">
              <w:rPr>
                <w:rStyle w:val="Hyperlink"/>
                <w:noProof/>
              </w:rPr>
              <w:t>Physical Health</w:t>
            </w:r>
            <w:r w:rsidR="007B0712">
              <w:rPr>
                <w:noProof/>
                <w:webHidden/>
              </w:rPr>
              <w:tab/>
            </w:r>
            <w:r w:rsidR="007B0712">
              <w:rPr>
                <w:noProof/>
                <w:webHidden/>
              </w:rPr>
              <w:fldChar w:fldCharType="begin"/>
            </w:r>
            <w:r w:rsidR="007B0712">
              <w:rPr>
                <w:noProof/>
                <w:webHidden/>
              </w:rPr>
              <w:instrText xml:space="preserve"> PAGEREF _Toc113628603 \h </w:instrText>
            </w:r>
            <w:r w:rsidR="007B0712">
              <w:rPr>
                <w:noProof/>
                <w:webHidden/>
              </w:rPr>
            </w:r>
            <w:r w:rsidR="007B0712">
              <w:rPr>
                <w:noProof/>
                <w:webHidden/>
              </w:rPr>
              <w:fldChar w:fldCharType="separate"/>
            </w:r>
            <w:r w:rsidR="007B0712">
              <w:rPr>
                <w:noProof/>
                <w:webHidden/>
              </w:rPr>
              <w:t>45</w:t>
            </w:r>
            <w:r w:rsidR="007B0712">
              <w:rPr>
                <w:noProof/>
                <w:webHidden/>
              </w:rPr>
              <w:fldChar w:fldCharType="end"/>
            </w:r>
          </w:hyperlink>
        </w:p>
        <w:p w14:paraId="084E3019" w14:textId="3C20AC4D" w:rsidR="007B0712" w:rsidRDefault="00B74C22">
          <w:pPr>
            <w:pStyle w:val="TOC2"/>
            <w:tabs>
              <w:tab w:val="right" w:leader="dot" w:pos="9962"/>
            </w:tabs>
            <w:rPr>
              <w:rFonts w:asciiTheme="minorHAnsi" w:hAnsiTheme="minorHAnsi"/>
              <w:noProof/>
              <w:sz w:val="22"/>
              <w:szCs w:val="22"/>
            </w:rPr>
          </w:pPr>
          <w:hyperlink w:anchor="_Toc113628604" w:history="1">
            <w:r w:rsidR="007B0712" w:rsidRPr="00DF381D">
              <w:rPr>
                <w:rStyle w:val="Hyperlink"/>
                <w:noProof/>
              </w:rPr>
              <w:t>Long Term Conditions</w:t>
            </w:r>
            <w:r w:rsidR="007B0712">
              <w:rPr>
                <w:noProof/>
                <w:webHidden/>
              </w:rPr>
              <w:tab/>
            </w:r>
            <w:r w:rsidR="007B0712">
              <w:rPr>
                <w:noProof/>
                <w:webHidden/>
              </w:rPr>
              <w:fldChar w:fldCharType="begin"/>
            </w:r>
            <w:r w:rsidR="007B0712">
              <w:rPr>
                <w:noProof/>
                <w:webHidden/>
              </w:rPr>
              <w:instrText xml:space="preserve"> PAGEREF _Toc113628604 \h </w:instrText>
            </w:r>
            <w:r w:rsidR="007B0712">
              <w:rPr>
                <w:noProof/>
                <w:webHidden/>
              </w:rPr>
            </w:r>
            <w:r w:rsidR="007B0712">
              <w:rPr>
                <w:noProof/>
                <w:webHidden/>
              </w:rPr>
              <w:fldChar w:fldCharType="separate"/>
            </w:r>
            <w:r w:rsidR="007B0712">
              <w:rPr>
                <w:noProof/>
                <w:webHidden/>
              </w:rPr>
              <w:t>48</w:t>
            </w:r>
            <w:r w:rsidR="007B0712">
              <w:rPr>
                <w:noProof/>
                <w:webHidden/>
              </w:rPr>
              <w:fldChar w:fldCharType="end"/>
            </w:r>
          </w:hyperlink>
        </w:p>
        <w:p w14:paraId="3A97EEFF" w14:textId="12050C06" w:rsidR="007B0712" w:rsidRDefault="00B74C22">
          <w:pPr>
            <w:pStyle w:val="TOC2"/>
            <w:tabs>
              <w:tab w:val="right" w:leader="dot" w:pos="9962"/>
            </w:tabs>
            <w:rPr>
              <w:rFonts w:asciiTheme="minorHAnsi" w:hAnsiTheme="minorHAnsi"/>
              <w:noProof/>
              <w:sz w:val="22"/>
              <w:szCs w:val="22"/>
            </w:rPr>
          </w:pPr>
          <w:hyperlink w:anchor="_Toc113628605" w:history="1">
            <w:r w:rsidR="007B0712" w:rsidRPr="00DF381D">
              <w:rPr>
                <w:rStyle w:val="Hyperlink"/>
                <w:noProof/>
              </w:rPr>
              <w:t>COVID-19</w:t>
            </w:r>
            <w:r w:rsidR="007B0712">
              <w:rPr>
                <w:noProof/>
                <w:webHidden/>
              </w:rPr>
              <w:tab/>
            </w:r>
            <w:r w:rsidR="007B0712">
              <w:rPr>
                <w:noProof/>
                <w:webHidden/>
              </w:rPr>
              <w:fldChar w:fldCharType="begin"/>
            </w:r>
            <w:r w:rsidR="007B0712">
              <w:rPr>
                <w:noProof/>
                <w:webHidden/>
              </w:rPr>
              <w:instrText xml:space="preserve"> PAGEREF _Toc113628605 \h </w:instrText>
            </w:r>
            <w:r w:rsidR="007B0712">
              <w:rPr>
                <w:noProof/>
                <w:webHidden/>
              </w:rPr>
            </w:r>
            <w:r w:rsidR="007B0712">
              <w:rPr>
                <w:noProof/>
                <w:webHidden/>
              </w:rPr>
              <w:fldChar w:fldCharType="separate"/>
            </w:r>
            <w:r w:rsidR="007B0712">
              <w:rPr>
                <w:noProof/>
                <w:webHidden/>
              </w:rPr>
              <w:t>51</w:t>
            </w:r>
            <w:r w:rsidR="007B0712">
              <w:rPr>
                <w:noProof/>
                <w:webHidden/>
              </w:rPr>
              <w:fldChar w:fldCharType="end"/>
            </w:r>
          </w:hyperlink>
        </w:p>
        <w:p w14:paraId="71B88426" w14:textId="433838C5" w:rsidR="007B0712" w:rsidRDefault="00B74C22">
          <w:pPr>
            <w:pStyle w:val="TOC1"/>
            <w:tabs>
              <w:tab w:val="right" w:leader="dot" w:pos="9962"/>
            </w:tabs>
            <w:rPr>
              <w:rFonts w:asciiTheme="minorHAnsi" w:hAnsiTheme="minorHAnsi"/>
              <w:b w:val="0"/>
              <w:noProof/>
              <w:sz w:val="22"/>
              <w:szCs w:val="22"/>
            </w:rPr>
          </w:pPr>
          <w:hyperlink w:anchor="_Toc113628606" w:history="1">
            <w:r w:rsidR="007B0712" w:rsidRPr="00DF381D">
              <w:rPr>
                <w:rStyle w:val="Hyperlink"/>
                <w:noProof/>
              </w:rPr>
              <w:t>Pharmacy Provisions and Access</w:t>
            </w:r>
            <w:r w:rsidR="007B0712">
              <w:rPr>
                <w:noProof/>
                <w:webHidden/>
              </w:rPr>
              <w:tab/>
            </w:r>
            <w:r w:rsidR="007B0712">
              <w:rPr>
                <w:noProof/>
                <w:webHidden/>
              </w:rPr>
              <w:fldChar w:fldCharType="begin"/>
            </w:r>
            <w:r w:rsidR="007B0712">
              <w:rPr>
                <w:noProof/>
                <w:webHidden/>
              </w:rPr>
              <w:instrText xml:space="preserve"> PAGEREF _Toc113628606 \h </w:instrText>
            </w:r>
            <w:r w:rsidR="007B0712">
              <w:rPr>
                <w:noProof/>
                <w:webHidden/>
              </w:rPr>
            </w:r>
            <w:r w:rsidR="007B0712">
              <w:rPr>
                <w:noProof/>
                <w:webHidden/>
              </w:rPr>
              <w:fldChar w:fldCharType="separate"/>
            </w:r>
            <w:r w:rsidR="007B0712">
              <w:rPr>
                <w:noProof/>
                <w:webHidden/>
              </w:rPr>
              <w:t>57</w:t>
            </w:r>
            <w:r w:rsidR="007B0712">
              <w:rPr>
                <w:noProof/>
                <w:webHidden/>
              </w:rPr>
              <w:fldChar w:fldCharType="end"/>
            </w:r>
          </w:hyperlink>
        </w:p>
        <w:p w14:paraId="4EB2AC00" w14:textId="1E475940" w:rsidR="007B0712" w:rsidRDefault="00B74C22">
          <w:pPr>
            <w:pStyle w:val="TOC2"/>
            <w:tabs>
              <w:tab w:val="right" w:leader="dot" w:pos="9962"/>
            </w:tabs>
            <w:rPr>
              <w:rFonts w:asciiTheme="minorHAnsi" w:hAnsiTheme="minorHAnsi"/>
              <w:noProof/>
              <w:sz w:val="22"/>
              <w:szCs w:val="22"/>
            </w:rPr>
          </w:pPr>
          <w:hyperlink w:anchor="_Toc113628607" w:history="1">
            <w:r w:rsidR="007B0712" w:rsidRPr="00DF381D">
              <w:rPr>
                <w:rStyle w:val="Hyperlink"/>
                <w:noProof/>
              </w:rPr>
              <w:t>Community Pharmacy Contractual Framework</w:t>
            </w:r>
            <w:r w:rsidR="007B0712">
              <w:rPr>
                <w:noProof/>
                <w:webHidden/>
              </w:rPr>
              <w:tab/>
            </w:r>
            <w:r w:rsidR="007B0712">
              <w:rPr>
                <w:noProof/>
                <w:webHidden/>
              </w:rPr>
              <w:fldChar w:fldCharType="begin"/>
            </w:r>
            <w:r w:rsidR="007B0712">
              <w:rPr>
                <w:noProof/>
                <w:webHidden/>
              </w:rPr>
              <w:instrText xml:space="preserve"> PAGEREF _Toc113628607 \h </w:instrText>
            </w:r>
            <w:r w:rsidR="007B0712">
              <w:rPr>
                <w:noProof/>
                <w:webHidden/>
              </w:rPr>
            </w:r>
            <w:r w:rsidR="007B0712">
              <w:rPr>
                <w:noProof/>
                <w:webHidden/>
              </w:rPr>
              <w:fldChar w:fldCharType="separate"/>
            </w:r>
            <w:r w:rsidR="007B0712">
              <w:rPr>
                <w:noProof/>
                <w:webHidden/>
              </w:rPr>
              <w:t>57</w:t>
            </w:r>
            <w:r w:rsidR="007B0712">
              <w:rPr>
                <w:noProof/>
                <w:webHidden/>
              </w:rPr>
              <w:fldChar w:fldCharType="end"/>
            </w:r>
          </w:hyperlink>
        </w:p>
        <w:p w14:paraId="377D6221" w14:textId="50265FEA" w:rsidR="007B0712" w:rsidRDefault="00B74C22">
          <w:pPr>
            <w:pStyle w:val="TOC2"/>
            <w:tabs>
              <w:tab w:val="right" w:leader="dot" w:pos="9962"/>
            </w:tabs>
            <w:rPr>
              <w:rFonts w:asciiTheme="minorHAnsi" w:hAnsiTheme="minorHAnsi"/>
              <w:noProof/>
              <w:sz w:val="22"/>
              <w:szCs w:val="22"/>
            </w:rPr>
          </w:pPr>
          <w:hyperlink w:anchor="_Toc113628608" w:history="1">
            <w:r w:rsidR="007B0712" w:rsidRPr="00DF381D">
              <w:rPr>
                <w:rStyle w:val="Hyperlink"/>
                <w:noProof/>
              </w:rPr>
              <w:t>Pharmaceutical Lists</w:t>
            </w:r>
            <w:r w:rsidR="007B0712">
              <w:rPr>
                <w:noProof/>
                <w:webHidden/>
              </w:rPr>
              <w:tab/>
            </w:r>
            <w:r w:rsidR="007B0712">
              <w:rPr>
                <w:noProof/>
                <w:webHidden/>
              </w:rPr>
              <w:fldChar w:fldCharType="begin"/>
            </w:r>
            <w:r w:rsidR="007B0712">
              <w:rPr>
                <w:noProof/>
                <w:webHidden/>
              </w:rPr>
              <w:instrText xml:space="preserve"> PAGEREF _Toc113628608 \h </w:instrText>
            </w:r>
            <w:r w:rsidR="007B0712">
              <w:rPr>
                <w:noProof/>
                <w:webHidden/>
              </w:rPr>
            </w:r>
            <w:r w:rsidR="007B0712">
              <w:rPr>
                <w:noProof/>
                <w:webHidden/>
              </w:rPr>
              <w:fldChar w:fldCharType="separate"/>
            </w:r>
            <w:r w:rsidR="007B0712">
              <w:rPr>
                <w:noProof/>
                <w:webHidden/>
              </w:rPr>
              <w:t>57</w:t>
            </w:r>
            <w:r w:rsidR="007B0712">
              <w:rPr>
                <w:noProof/>
                <w:webHidden/>
              </w:rPr>
              <w:fldChar w:fldCharType="end"/>
            </w:r>
          </w:hyperlink>
        </w:p>
        <w:p w14:paraId="602A5591" w14:textId="546B6DB3" w:rsidR="007B0712" w:rsidRDefault="00B74C22">
          <w:pPr>
            <w:pStyle w:val="TOC2"/>
            <w:tabs>
              <w:tab w:val="right" w:leader="dot" w:pos="9962"/>
            </w:tabs>
            <w:rPr>
              <w:rFonts w:asciiTheme="minorHAnsi" w:hAnsiTheme="minorHAnsi"/>
              <w:noProof/>
              <w:sz w:val="22"/>
              <w:szCs w:val="22"/>
            </w:rPr>
          </w:pPr>
          <w:hyperlink w:anchor="_Toc113628609" w:history="1">
            <w:r w:rsidR="007B0712" w:rsidRPr="00DF381D">
              <w:rPr>
                <w:rStyle w:val="Hyperlink"/>
                <w:noProof/>
              </w:rPr>
              <w:t>Community Pharmacy Benchmarking</w:t>
            </w:r>
            <w:r w:rsidR="007B0712">
              <w:rPr>
                <w:noProof/>
                <w:webHidden/>
              </w:rPr>
              <w:tab/>
            </w:r>
            <w:r w:rsidR="007B0712">
              <w:rPr>
                <w:noProof/>
                <w:webHidden/>
              </w:rPr>
              <w:fldChar w:fldCharType="begin"/>
            </w:r>
            <w:r w:rsidR="007B0712">
              <w:rPr>
                <w:noProof/>
                <w:webHidden/>
              </w:rPr>
              <w:instrText xml:space="preserve"> PAGEREF _Toc113628609 \h </w:instrText>
            </w:r>
            <w:r w:rsidR="007B0712">
              <w:rPr>
                <w:noProof/>
                <w:webHidden/>
              </w:rPr>
            </w:r>
            <w:r w:rsidR="007B0712">
              <w:rPr>
                <w:noProof/>
                <w:webHidden/>
              </w:rPr>
              <w:fldChar w:fldCharType="separate"/>
            </w:r>
            <w:r w:rsidR="007B0712">
              <w:rPr>
                <w:noProof/>
                <w:webHidden/>
              </w:rPr>
              <w:t>58</w:t>
            </w:r>
            <w:r w:rsidR="007B0712">
              <w:rPr>
                <w:noProof/>
                <w:webHidden/>
              </w:rPr>
              <w:fldChar w:fldCharType="end"/>
            </w:r>
          </w:hyperlink>
        </w:p>
        <w:p w14:paraId="532183C0" w14:textId="068D5546" w:rsidR="007B0712" w:rsidRDefault="00B74C22">
          <w:pPr>
            <w:pStyle w:val="TOC2"/>
            <w:tabs>
              <w:tab w:val="right" w:leader="dot" w:pos="9962"/>
            </w:tabs>
            <w:rPr>
              <w:rFonts w:asciiTheme="minorHAnsi" w:hAnsiTheme="minorHAnsi"/>
              <w:noProof/>
              <w:sz w:val="22"/>
              <w:szCs w:val="22"/>
            </w:rPr>
          </w:pPr>
          <w:hyperlink w:anchor="_Toc113628610" w:history="1">
            <w:r w:rsidR="007B0712" w:rsidRPr="00DF381D">
              <w:rPr>
                <w:rStyle w:val="Hyperlink"/>
                <w:noProof/>
              </w:rPr>
              <w:t>Access to Pharmacies in Coventry and Warwickshire</w:t>
            </w:r>
            <w:r w:rsidR="007B0712">
              <w:rPr>
                <w:noProof/>
                <w:webHidden/>
              </w:rPr>
              <w:tab/>
            </w:r>
            <w:r w:rsidR="007B0712">
              <w:rPr>
                <w:noProof/>
                <w:webHidden/>
              </w:rPr>
              <w:fldChar w:fldCharType="begin"/>
            </w:r>
            <w:r w:rsidR="007B0712">
              <w:rPr>
                <w:noProof/>
                <w:webHidden/>
              </w:rPr>
              <w:instrText xml:space="preserve"> PAGEREF _Toc113628610 \h </w:instrText>
            </w:r>
            <w:r w:rsidR="007B0712">
              <w:rPr>
                <w:noProof/>
                <w:webHidden/>
              </w:rPr>
            </w:r>
            <w:r w:rsidR="007B0712">
              <w:rPr>
                <w:noProof/>
                <w:webHidden/>
              </w:rPr>
              <w:fldChar w:fldCharType="separate"/>
            </w:r>
            <w:r w:rsidR="007B0712">
              <w:rPr>
                <w:noProof/>
                <w:webHidden/>
              </w:rPr>
              <w:t>59</w:t>
            </w:r>
            <w:r w:rsidR="007B0712">
              <w:rPr>
                <w:noProof/>
                <w:webHidden/>
              </w:rPr>
              <w:fldChar w:fldCharType="end"/>
            </w:r>
          </w:hyperlink>
        </w:p>
        <w:p w14:paraId="47C8420E" w14:textId="533810F4" w:rsidR="007B0712" w:rsidRDefault="00B74C22">
          <w:pPr>
            <w:pStyle w:val="TOC1"/>
            <w:tabs>
              <w:tab w:val="right" w:leader="dot" w:pos="9962"/>
            </w:tabs>
            <w:rPr>
              <w:rFonts w:asciiTheme="minorHAnsi" w:hAnsiTheme="minorHAnsi"/>
              <w:b w:val="0"/>
              <w:noProof/>
              <w:sz w:val="22"/>
              <w:szCs w:val="22"/>
            </w:rPr>
          </w:pPr>
          <w:hyperlink w:anchor="_Toc113628611" w:history="1">
            <w:r w:rsidR="007B0712" w:rsidRPr="00DF381D">
              <w:rPr>
                <w:rStyle w:val="Hyperlink"/>
                <w:noProof/>
              </w:rPr>
              <w:t>Pharmacy Services</w:t>
            </w:r>
            <w:r w:rsidR="007B0712">
              <w:rPr>
                <w:noProof/>
                <w:webHidden/>
              </w:rPr>
              <w:tab/>
            </w:r>
            <w:r w:rsidR="007B0712">
              <w:rPr>
                <w:noProof/>
                <w:webHidden/>
              </w:rPr>
              <w:fldChar w:fldCharType="begin"/>
            </w:r>
            <w:r w:rsidR="007B0712">
              <w:rPr>
                <w:noProof/>
                <w:webHidden/>
              </w:rPr>
              <w:instrText xml:space="preserve"> PAGEREF _Toc113628611 \h </w:instrText>
            </w:r>
            <w:r w:rsidR="007B0712">
              <w:rPr>
                <w:noProof/>
                <w:webHidden/>
              </w:rPr>
            </w:r>
            <w:r w:rsidR="007B0712">
              <w:rPr>
                <w:noProof/>
                <w:webHidden/>
              </w:rPr>
              <w:fldChar w:fldCharType="separate"/>
            </w:r>
            <w:r w:rsidR="007B0712">
              <w:rPr>
                <w:noProof/>
                <w:webHidden/>
              </w:rPr>
              <w:t>85</w:t>
            </w:r>
            <w:r w:rsidR="007B0712">
              <w:rPr>
                <w:noProof/>
                <w:webHidden/>
              </w:rPr>
              <w:fldChar w:fldCharType="end"/>
            </w:r>
          </w:hyperlink>
        </w:p>
        <w:p w14:paraId="689ADCBD" w14:textId="4B1ADFE4" w:rsidR="007B0712" w:rsidRDefault="00B74C22">
          <w:pPr>
            <w:pStyle w:val="TOC2"/>
            <w:tabs>
              <w:tab w:val="right" w:leader="dot" w:pos="9962"/>
            </w:tabs>
            <w:rPr>
              <w:rFonts w:asciiTheme="minorHAnsi" w:hAnsiTheme="minorHAnsi"/>
              <w:noProof/>
              <w:sz w:val="22"/>
              <w:szCs w:val="22"/>
            </w:rPr>
          </w:pPr>
          <w:hyperlink w:anchor="_Toc113628612" w:history="1">
            <w:r w:rsidR="007B0712" w:rsidRPr="00DF381D">
              <w:rPr>
                <w:rStyle w:val="Hyperlink"/>
                <w:noProof/>
              </w:rPr>
              <w:t>Essential Services</w:t>
            </w:r>
            <w:r w:rsidR="007B0712">
              <w:rPr>
                <w:noProof/>
                <w:webHidden/>
              </w:rPr>
              <w:tab/>
            </w:r>
            <w:r w:rsidR="007B0712">
              <w:rPr>
                <w:noProof/>
                <w:webHidden/>
              </w:rPr>
              <w:fldChar w:fldCharType="begin"/>
            </w:r>
            <w:r w:rsidR="007B0712">
              <w:rPr>
                <w:noProof/>
                <w:webHidden/>
              </w:rPr>
              <w:instrText xml:space="preserve"> PAGEREF _Toc113628612 \h </w:instrText>
            </w:r>
            <w:r w:rsidR="007B0712">
              <w:rPr>
                <w:noProof/>
                <w:webHidden/>
              </w:rPr>
            </w:r>
            <w:r w:rsidR="007B0712">
              <w:rPr>
                <w:noProof/>
                <w:webHidden/>
              </w:rPr>
              <w:fldChar w:fldCharType="separate"/>
            </w:r>
            <w:r w:rsidR="007B0712">
              <w:rPr>
                <w:noProof/>
                <w:webHidden/>
              </w:rPr>
              <w:t>85</w:t>
            </w:r>
            <w:r w:rsidR="007B0712">
              <w:rPr>
                <w:noProof/>
                <w:webHidden/>
              </w:rPr>
              <w:fldChar w:fldCharType="end"/>
            </w:r>
          </w:hyperlink>
        </w:p>
        <w:p w14:paraId="18132DB5" w14:textId="3101727F" w:rsidR="007B0712" w:rsidRDefault="00B74C22">
          <w:pPr>
            <w:pStyle w:val="TOC2"/>
            <w:tabs>
              <w:tab w:val="right" w:leader="dot" w:pos="9962"/>
            </w:tabs>
            <w:rPr>
              <w:rFonts w:asciiTheme="minorHAnsi" w:hAnsiTheme="minorHAnsi"/>
              <w:noProof/>
              <w:sz w:val="22"/>
              <w:szCs w:val="22"/>
            </w:rPr>
          </w:pPr>
          <w:hyperlink w:anchor="_Toc113628613" w:history="1">
            <w:r w:rsidR="007B0712" w:rsidRPr="00DF381D">
              <w:rPr>
                <w:rStyle w:val="Hyperlink"/>
                <w:noProof/>
              </w:rPr>
              <w:t>Advanced Services</w:t>
            </w:r>
            <w:r w:rsidR="007B0712">
              <w:rPr>
                <w:noProof/>
                <w:webHidden/>
              </w:rPr>
              <w:tab/>
            </w:r>
            <w:r w:rsidR="007B0712">
              <w:rPr>
                <w:noProof/>
                <w:webHidden/>
              </w:rPr>
              <w:fldChar w:fldCharType="begin"/>
            </w:r>
            <w:r w:rsidR="007B0712">
              <w:rPr>
                <w:noProof/>
                <w:webHidden/>
              </w:rPr>
              <w:instrText xml:space="preserve"> PAGEREF _Toc113628613 \h </w:instrText>
            </w:r>
            <w:r w:rsidR="007B0712">
              <w:rPr>
                <w:noProof/>
                <w:webHidden/>
              </w:rPr>
            </w:r>
            <w:r w:rsidR="007B0712">
              <w:rPr>
                <w:noProof/>
                <w:webHidden/>
              </w:rPr>
              <w:fldChar w:fldCharType="separate"/>
            </w:r>
            <w:r w:rsidR="007B0712">
              <w:rPr>
                <w:noProof/>
                <w:webHidden/>
              </w:rPr>
              <w:t>90</w:t>
            </w:r>
            <w:r w:rsidR="007B0712">
              <w:rPr>
                <w:noProof/>
                <w:webHidden/>
              </w:rPr>
              <w:fldChar w:fldCharType="end"/>
            </w:r>
          </w:hyperlink>
        </w:p>
        <w:p w14:paraId="32CD3393" w14:textId="61AB0BF5" w:rsidR="007B0712" w:rsidRDefault="00B74C22">
          <w:pPr>
            <w:pStyle w:val="TOC2"/>
            <w:tabs>
              <w:tab w:val="right" w:leader="dot" w:pos="9962"/>
            </w:tabs>
            <w:rPr>
              <w:rFonts w:asciiTheme="minorHAnsi" w:hAnsiTheme="minorHAnsi"/>
              <w:noProof/>
              <w:sz w:val="22"/>
              <w:szCs w:val="22"/>
            </w:rPr>
          </w:pPr>
          <w:hyperlink w:anchor="_Toc113628614" w:history="1">
            <w:r w:rsidR="007B0712" w:rsidRPr="00DF381D">
              <w:rPr>
                <w:rStyle w:val="Hyperlink"/>
                <w:noProof/>
              </w:rPr>
              <w:t>Enhanced and Locally Commissioned Services</w:t>
            </w:r>
            <w:r w:rsidR="007B0712">
              <w:rPr>
                <w:noProof/>
                <w:webHidden/>
              </w:rPr>
              <w:tab/>
            </w:r>
            <w:r w:rsidR="007B0712">
              <w:rPr>
                <w:noProof/>
                <w:webHidden/>
              </w:rPr>
              <w:fldChar w:fldCharType="begin"/>
            </w:r>
            <w:r w:rsidR="007B0712">
              <w:rPr>
                <w:noProof/>
                <w:webHidden/>
              </w:rPr>
              <w:instrText xml:space="preserve"> PAGEREF _Toc113628614 \h </w:instrText>
            </w:r>
            <w:r w:rsidR="007B0712">
              <w:rPr>
                <w:noProof/>
                <w:webHidden/>
              </w:rPr>
            </w:r>
            <w:r w:rsidR="007B0712">
              <w:rPr>
                <w:noProof/>
                <w:webHidden/>
              </w:rPr>
              <w:fldChar w:fldCharType="separate"/>
            </w:r>
            <w:r w:rsidR="007B0712">
              <w:rPr>
                <w:noProof/>
                <w:webHidden/>
              </w:rPr>
              <w:t>99</w:t>
            </w:r>
            <w:r w:rsidR="007B0712">
              <w:rPr>
                <w:noProof/>
                <w:webHidden/>
              </w:rPr>
              <w:fldChar w:fldCharType="end"/>
            </w:r>
          </w:hyperlink>
        </w:p>
        <w:p w14:paraId="0540586F" w14:textId="514C49F4" w:rsidR="007B0712" w:rsidRDefault="00B74C22">
          <w:pPr>
            <w:pStyle w:val="TOC1"/>
            <w:tabs>
              <w:tab w:val="right" w:leader="dot" w:pos="9962"/>
            </w:tabs>
            <w:rPr>
              <w:rFonts w:asciiTheme="minorHAnsi" w:hAnsiTheme="minorHAnsi"/>
              <w:b w:val="0"/>
              <w:noProof/>
              <w:sz w:val="22"/>
              <w:szCs w:val="22"/>
            </w:rPr>
          </w:pPr>
          <w:hyperlink w:anchor="_Toc113628615" w:history="1">
            <w:r w:rsidR="007B0712" w:rsidRPr="00DF381D">
              <w:rPr>
                <w:rStyle w:val="Hyperlink"/>
                <w:noProof/>
              </w:rPr>
              <w:t>Conclusion</w:t>
            </w:r>
            <w:r w:rsidR="007B0712">
              <w:rPr>
                <w:noProof/>
                <w:webHidden/>
              </w:rPr>
              <w:tab/>
            </w:r>
            <w:r w:rsidR="007B0712">
              <w:rPr>
                <w:noProof/>
                <w:webHidden/>
              </w:rPr>
              <w:fldChar w:fldCharType="begin"/>
            </w:r>
            <w:r w:rsidR="007B0712">
              <w:rPr>
                <w:noProof/>
                <w:webHidden/>
              </w:rPr>
              <w:instrText xml:space="preserve"> PAGEREF _Toc113628615 \h </w:instrText>
            </w:r>
            <w:r w:rsidR="007B0712">
              <w:rPr>
                <w:noProof/>
                <w:webHidden/>
              </w:rPr>
            </w:r>
            <w:r w:rsidR="007B0712">
              <w:rPr>
                <w:noProof/>
                <w:webHidden/>
              </w:rPr>
              <w:fldChar w:fldCharType="separate"/>
            </w:r>
            <w:r w:rsidR="007B0712">
              <w:rPr>
                <w:noProof/>
                <w:webHidden/>
              </w:rPr>
              <w:t>117</w:t>
            </w:r>
            <w:r w:rsidR="007B0712">
              <w:rPr>
                <w:noProof/>
                <w:webHidden/>
              </w:rPr>
              <w:fldChar w:fldCharType="end"/>
            </w:r>
          </w:hyperlink>
        </w:p>
        <w:p w14:paraId="108D5F7C" w14:textId="55B7FE9F" w:rsidR="007B0712" w:rsidRDefault="00B74C22">
          <w:pPr>
            <w:pStyle w:val="TOC2"/>
            <w:tabs>
              <w:tab w:val="right" w:leader="dot" w:pos="9962"/>
            </w:tabs>
            <w:rPr>
              <w:rFonts w:asciiTheme="minorHAnsi" w:hAnsiTheme="minorHAnsi"/>
              <w:noProof/>
              <w:sz w:val="22"/>
              <w:szCs w:val="22"/>
            </w:rPr>
          </w:pPr>
          <w:hyperlink w:anchor="_Toc113628616" w:history="1">
            <w:r w:rsidR="007B0712" w:rsidRPr="00DF381D">
              <w:rPr>
                <w:rStyle w:val="Hyperlink"/>
                <w:noProof/>
              </w:rPr>
              <w:t>Coventry</w:t>
            </w:r>
            <w:r w:rsidR="007B0712">
              <w:rPr>
                <w:noProof/>
                <w:webHidden/>
              </w:rPr>
              <w:tab/>
            </w:r>
            <w:r w:rsidR="007B0712">
              <w:rPr>
                <w:noProof/>
                <w:webHidden/>
              </w:rPr>
              <w:fldChar w:fldCharType="begin"/>
            </w:r>
            <w:r w:rsidR="007B0712">
              <w:rPr>
                <w:noProof/>
                <w:webHidden/>
              </w:rPr>
              <w:instrText xml:space="preserve"> PAGEREF _Toc113628616 \h </w:instrText>
            </w:r>
            <w:r w:rsidR="007B0712">
              <w:rPr>
                <w:noProof/>
                <w:webHidden/>
              </w:rPr>
            </w:r>
            <w:r w:rsidR="007B0712">
              <w:rPr>
                <w:noProof/>
                <w:webHidden/>
              </w:rPr>
              <w:fldChar w:fldCharType="separate"/>
            </w:r>
            <w:r w:rsidR="007B0712">
              <w:rPr>
                <w:noProof/>
                <w:webHidden/>
              </w:rPr>
              <w:t>117</w:t>
            </w:r>
            <w:r w:rsidR="007B0712">
              <w:rPr>
                <w:noProof/>
                <w:webHidden/>
              </w:rPr>
              <w:fldChar w:fldCharType="end"/>
            </w:r>
          </w:hyperlink>
        </w:p>
        <w:p w14:paraId="1A94E4A0" w14:textId="71C2B2A1" w:rsidR="007B0712" w:rsidRDefault="00B74C22">
          <w:pPr>
            <w:pStyle w:val="TOC2"/>
            <w:tabs>
              <w:tab w:val="right" w:leader="dot" w:pos="9962"/>
            </w:tabs>
            <w:rPr>
              <w:rFonts w:asciiTheme="minorHAnsi" w:hAnsiTheme="minorHAnsi"/>
              <w:noProof/>
              <w:sz w:val="22"/>
              <w:szCs w:val="22"/>
            </w:rPr>
          </w:pPr>
          <w:hyperlink w:anchor="_Toc113628617" w:history="1">
            <w:r w:rsidR="007B0712" w:rsidRPr="00DF381D">
              <w:rPr>
                <w:rStyle w:val="Hyperlink"/>
                <w:noProof/>
              </w:rPr>
              <w:t>Warwickshire</w:t>
            </w:r>
            <w:r w:rsidR="007B0712">
              <w:rPr>
                <w:noProof/>
                <w:webHidden/>
              </w:rPr>
              <w:tab/>
            </w:r>
            <w:r w:rsidR="007B0712">
              <w:rPr>
                <w:noProof/>
                <w:webHidden/>
              </w:rPr>
              <w:fldChar w:fldCharType="begin"/>
            </w:r>
            <w:r w:rsidR="007B0712">
              <w:rPr>
                <w:noProof/>
                <w:webHidden/>
              </w:rPr>
              <w:instrText xml:space="preserve"> PAGEREF _Toc113628617 \h </w:instrText>
            </w:r>
            <w:r w:rsidR="007B0712">
              <w:rPr>
                <w:noProof/>
                <w:webHidden/>
              </w:rPr>
            </w:r>
            <w:r w:rsidR="007B0712">
              <w:rPr>
                <w:noProof/>
                <w:webHidden/>
              </w:rPr>
              <w:fldChar w:fldCharType="separate"/>
            </w:r>
            <w:r w:rsidR="007B0712">
              <w:rPr>
                <w:noProof/>
                <w:webHidden/>
              </w:rPr>
              <w:t>119</w:t>
            </w:r>
            <w:r w:rsidR="007B0712">
              <w:rPr>
                <w:noProof/>
                <w:webHidden/>
              </w:rPr>
              <w:fldChar w:fldCharType="end"/>
            </w:r>
          </w:hyperlink>
        </w:p>
        <w:p w14:paraId="5D139A07" w14:textId="0478B8B1" w:rsidR="007B0712" w:rsidRDefault="00B74C22">
          <w:pPr>
            <w:pStyle w:val="TOC1"/>
            <w:tabs>
              <w:tab w:val="right" w:leader="dot" w:pos="9962"/>
            </w:tabs>
            <w:rPr>
              <w:rFonts w:asciiTheme="minorHAnsi" w:hAnsiTheme="minorHAnsi"/>
              <w:b w:val="0"/>
              <w:noProof/>
              <w:sz w:val="22"/>
              <w:szCs w:val="22"/>
            </w:rPr>
          </w:pPr>
          <w:hyperlink w:anchor="_Toc113628618" w:history="1">
            <w:r w:rsidR="007B0712" w:rsidRPr="00DF381D">
              <w:rPr>
                <w:rStyle w:val="Hyperlink"/>
                <w:noProof/>
              </w:rPr>
              <w:t>Appendicies</w:t>
            </w:r>
            <w:r w:rsidR="007B0712">
              <w:rPr>
                <w:noProof/>
                <w:webHidden/>
              </w:rPr>
              <w:tab/>
            </w:r>
            <w:r w:rsidR="007B0712">
              <w:rPr>
                <w:noProof/>
                <w:webHidden/>
              </w:rPr>
              <w:fldChar w:fldCharType="begin"/>
            </w:r>
            <w:r w:rsidR="007B0712">
              <w:rPr>
                <w:noProof/>
                <w:webHidden/>
              </w:rPr>
              <w:instrText xml:space="preserve"> PAGEREF _Toc113628618 \h </w:instrText>
            </w:r>
            <w:r w:rsidR="007B0712">
              <w:rPr>
                <w:noProof/>
                <w:webHidden/>
              </w:rPr>
            </w:r>
            <w:r w:rsidR="007B0712">
              <w:rPr>
                <w:noProof/>
                <w:webHidden/>
              </w:rPr>
              <w:fldChar w:fldCharType="separate"/>
            </w:r>
            <w:r w:rsidR="007B0712">
              <w:rPr>
                <w:noProof/>
                <w:webHidden/>
              </w:rPr>
              <w:t>121</w:t>
            </w:r>
            <w:r w:rsidR="007B0712">
              <w:rPr>
                <w:noProof/>
                <w:webHidden/>
              </w:rPr>
              <w:fldChar w:fldCharType="end"/>
            </w:r>
          </w:hyperlink>
        </w:p>
        <w:p w14:paraId="5408D875" w14:textId="4CA19EDB" w:rsidR="007B0712" w:rsidRDefault="00B74C22">
          <w:pPr>
            <w:pStyle w:val="TOC2"/>
            <w:tabs>
              <w:tab w:val="right" w:leader="dot" w:pos="9962"/>
            </w:tabs>
            <w:rPr>
              <w:rFonts w:asciiTheme="minorHAnsi" w:hAnsiTheme="minorHAnsi"/>
              <w:noProof/>
              <w:sz w:val="22"/>
              <w:szCs w:val="22"/>
            </w:rPr>
          </w:pPr>
          <w:hyperlink w:anchor="_Toc113628619" w:history="1">
            <w:r w:rsidR="007B0712" w:rsidRPr="00DF381D">
              <w:rPr>
                <w:rStyle w:val="Hyperlink"/>
                <w:noProof/>
              </w:rPr>
              <w:t>Appendix 1 - Pharmacy Survey</w:t>
            </w:r>
            <w:r w:rsidR="007B0712">
              <w:rPr>
                <w:noProof/>
                <w:webHidden/>
              </w:rPr>
              <w:tab/>
            </w:r>
            <w:r w:rsidR="007B0712">
              <w:rPr>
                <w:noProof/>
                <w:webHidden/>
              </w:rPr>
              <w:fldChar w:fldCharType="begin"/>
            </w:r>
            <w:r w:rsidR="007B0712">
              <w:rPr>
                <w:noProof/>
                <w:webHidden/>
              </w:rPr>
              <w:instrText xml:space="preserve"> PAGEREF _Toc113628619 \h </w:instrText>
            </w:r>
            <w:r w:rsidR="007B0712">
              <w:rPr>
                <w:noProof/>
                <w:webHidden/>
              </w:rPr>
            </w:r>
            <w:r w:rsidR="007B0712">
              <w:rPr>
                <w:noProof/>
                <w:webHidden/>
              </w:rPr>
              <w:fldChar w:fldCharType="separate"/>
            </w:r>
            <w:r w:rsidR="007B0712">
              <w:rPr>
                <w:noProof/>
                <w:webHidden/>
              </w:rPr>
              <w:t>121</w:t>
            </w:r>
            <w:r w:rsidR="007B0712">
              <w:rPr>
                <w:noProof/>
                <w:webHidden/>
              </w:rPr>
              <w:fldChar w:fldCharType="end"/>
            </w:r>
          </w:hyperlink>
        </w:p>
        <w:p w14:paraId="7264D924" w14:textId="7B3D5847" w:rsidR="007B0712" w:rsidRDefault="00B74C22">
          <w:pPr>
            <w:pStyle w:val="TOC2"/>
            <w:tabs>
              <w:tab w:val="right" w:leader="dot" w:pos="9962"/>
            </w:tabs>
            <w:rPr>
              <w:rFonts w:asciiTheme="minorHAnsi" w:hAnsiTheme="minorHAnsi"/>
              <w:noProof/>
              <w:sz w:val="22"/>
              <w:szCs w:val="22"/>
            </w:rPr>
          </w:pPr>
          <w:hyperlink w:anchor="_Toc113628620" w:history="1">
            <w:r w:rsidR="007B0712" w:rsidRPr="00DF381D">
              <w:rPr>
                <w:rStyle w:val="Hyperlink"/>
                <w:noProof/>
              </w:rPr>
              <w:t>Appendix 2 - Public Survey</w:t>
            </w:r>
            <w:r w:rsidR="007B0712">
              <w:rPr>
                <w:noProof/>
                <w:webHidden/>
              </w:rPr>
              <w:tab/>
            </w:r>
            <w:r w:rsidR="007B0712">
              <w:rPr>
                <w:noProof/>
                <w:webHidden/>
              </w:rPr>
              <w:fldChar w:fldCharType="begin"/>
            </w:r>
            <w:r w:rsidR="007B0712">
              <w:rPr>
                <w:noProof/>
                <w:webHidden/>
              </w:rPr>
              <w:instrText xml:space="preserve"> PAGEREF _Toc113628620 \h </w:instrText>
            </w:r>
            <w:r w:rsidR="007B0712">
              <w:rPr>
                <w:noProof/>
                <w:webHidden/>
              </w:rPr>
            </w:r>
            <w:r w:rsidR="007B0712">
              <w:rPr>
                <w:noProof/>
                <w:webHidden/>
              </w:rPr>
              <w:fldChar w:fldCharType="separate"/>
            </w:r>
            <w:r w:rsidR="007B0712">
              <w:rPr>
                <w:noProof/>
                <w:webHidden/>
              </w:rPr>
              <w:t>126</w:t>
            </w:r>
            <w:r w:rsidR="007B0712">
              <w:rPr>
                <w:noProof/>
                <w:webHidden/>
              </w:rPr>
              <w:fldChar w:fldCharType="end"/>
            </w:r>
          </w:hyperlink>
        </w:p>
        <w:p w14:paraId="21EB35B6" w14:textId="092CDD89" w:rsidR="007B0712" w:rsidRDefault="00B74C22">
          <w:pPr>
            <w:pStyle w:val="TOC2"/>
            <w:tabs>
              <w:tab w:val="right" w:leader="dot" w:pos="9962"/>
            </w:tabs>
            <w:rPr>
              <w:rFonts w:asciiTheme="minorHAnsi" w:hAnsiTheme="minorHAnsi"/>
              <w:noProof/>
              <w:sz w:val="22"/>
              <w:szCs w:val="22"/>
            </w:rPr>
          </w:pPr>
          <w:hyperlink w:anchor="_Toc113628621" w:history="1">
            <w:r w:rsidR="007B0712" w:rsidRPr="00DF381D">
              <w:rPr>
                <w:rStyle w:val="Hyperlink"/>
                <w:noProof/>
              </w:rPr>
              <w:t>Appendix 3 – Public Survey Question Feedback</w:t>
            </w:r>
            <w:r w:rsidR="007B0712">
              <w:rPr>
                <w:noProof/>
                <w:webHidden/>
              </w:rPr>
              <w:tab/>
            </w:r>
            <w:r w:rsidR="007B0712">
              <w:rPr>
                <w:noProof/>
                <w:webHidden/>
              </w:rPr>
              <w:fldChar w:fldCharType="begin"/>
            </w:r>
            <w:r w:rsidR="007B0712">
              <w:rPr>
                <w:noProof/>
                <w:webHidden/>
              </w:rPr>
              <w:instrText xml:space="preserve"> PAGEREF _Toc113628621 \h </w:instrText>
            </w:r>
            <w:r w:rsidR="007B0712">
              <w:rPr>
                <w:noProof/>
                <w:webHidden/>
              </w:rPr>
            </w:r>
            <w:r w:rsidR="007B0712">
              <w:rPr>
                <w:noProof/>
                <w:webHidden/>
              </w:rPr>
              <w:fldChar w:fldCharType="separate"/>
            </w:r>
            <w:r w:rsidR="007B0712">
              <w:rPr>
                <w:noProof/>
                <w:webHidden/>
              </w:rPr>
              <w:t>134</w:t>
            </w:r>
            <w:r w:rsidR="007B0712">
              <w:rPr>
                <w:noProof/>
                <w:webHidden/>
              </w:rPr>
              <w:fldChar w:fldCharType="end"/>
            </w:r>
          </w:hyperlink>
        </w:p>
        <w:p w14:paraId="577855DE" w14:textId="304EF475" w:rsidR="007B0712" w:rsidRDefault="00B74C22">
          <w:pPr>
            <w:pStyle w:val="TOC2"/>
            <w:tabs>
              <w:tab w:val="right" w:leader="dot" w:pos="9962"/>
            </w:tabs>
            <w:rPr>
              <w:rFonts w:asciiTheme="minorHAnsi" w:hAnsiTheme="minorHAnsi"/>
              <w:noProof/>
              <w:sz w:val="22"/>
              <w:szCs w:val="22"/>
            </w:rPr>
          </w:pPr>
          <w:hyperlink w:anchor="_Toc113628622" w:history="1">
            <w:r w:rsidR="007B0712" w:rsidRPr="00DF381D">
              <w:rPr>
                <w:rStyle w:val="Hyperlink"/>
                <w:noProof/>
              </w:rPr>
              <w:t>Appendix 4 – Formal Consultation Feedback</w:t>
            </w:r>
            <w:r w:rsidR="007B0712">
              <w:rPr>
                <w:noProof/>
                <w:webHidden/>
              </w:rPr>
              <w:tab/>
            </w:r>
            <w:r w:rsidR="007B0712">
              <w:rPr>
                <w:noProof/>
                <w:webHidden/>
              </w:rPr>
              <w:fldChar w:fldCharType="begin"/>
            </w:r>
            <w:r w:rsidR="007B0712">
              <w:rPr>
                <w:noProof/>
                <w:webHidden/>
              </w:rPr>
              <w:instrText xml:space="preserve"> PAGEREF _Toc113628622 \h </w:instrText>
            </w:r>
            <w:r w:rsidR="007B0712">
              <w:rPr>
                <w:noProof/>
                <w:webHidden/>
              </w:rPr>
            </w:r>
            <w:r w:rsidR="007B0712">
              <w:rPr>
                <w:noProof/>
                <w:webHidden/>
              </w:rPr>
              <w:fldChar w:fldCharType="separate"/>
            </w:r>
            <w:r w:rsidR="007B0712">
              <w:rPr>
                <w:noProof/>
                <w:webHidden/>
              </w:rPr>
              <w:t>145</w:t>
            </w:r>
            <w:r w:rsidR="007B0712">
              <w:rPr>
                <w:noProof/>
                <w:webHidden/>
              </w:rPr>
              <w:fldChar w:fldCharType="end"/>
            </w:r>
          </w:hyperlink>
        </w:p>
        <w:p w14:paraId="6284BF53" w14:textId="3E82FBD1" w:rsidR="00991F56" w:rsidRDefault="00991F56">
          <w:r>
            <w:rPr>
              <w:b/>
              <w:color w:val="2B579A"/>
              <w:shd w:val="clear" w:color="auto" w:fill="E6E6E6"/>
            </w:rPr>
            <w:fldChar w:fldCharType="end"/>
          </w:r>
        </w:p>
      </w:sdtContent>
    </w:sdt>
    <w:p w14:paraId="3D512A63" w14:textId="49C0E5F6" w:rsidR="00A56435" w:rsidRDefault="00A56435">
      <w:pPr>
        <w:spacing w:before="200" w:after="200" w:line="276" w:lineRule="auto"/>
        <w:rPr>
          <w:b/>
          <w:bCs/>
        </w:rPr>
      </w:pPr>
      <w:r>
        <w:rPr>
          <w:b/>
          <w:bCs/>
        </w:rPr>
        <w:br w:type="page"/>
      </w:r>
    </w:p>
    <w:p w14:paraId="0842F6D2" w14:textId="068EA147" w:rsidR="00A56435" w:rsidRDefault="00A56435" w:rsidP="00597F68">
      <w:pPr>
        <w:rPr>
          <w:b/>
          <w:bCs/>
        </w:rPr>
      </w:pPr>
    </w:p>
    <w:p w14:paraId="6D2BB600" w14:textId="6CBA572A" w:rsidR="00A56435" w:rsidRDefault="00A56435" w:rsidP="00259A39">
      <w:pPr>
        <w:pStyle w:val="Heading1"/>
      </w:pPr>
      <w:bookmarkStart w:id="8" w:name="_Toc113628570"/>
      <w:r>
        <w:t>Abbreviations</w:t>
      </w:r>
      <w:bookmarkEnd w:id="8"/>
    </w:p>
    <w:p w14:paraId="28CDCC8E" w14:textId="3D1CB72F" w:rsidR="00A56435" w:rsidRPr="002D62C2" w:rsidRDefault="1E29F87F" w:rsidP="00259A39">
      <w:pPr>
        <w:rPr>
          <w:rFonts w:eastAsia="Arial" w:cs="Arial"/>
        </w:rPr>
      </w:pPr>
      <w:r w:rsidRPr="23F273C8">
        <w:rPr>
          <w:rFonts w:eastAsia="Arial" w:cs="Arial"/>
        </w:rPr>
        <w:t xml:space="preserve">AUR.......................................................................................................Appliance Use Review </w:t>
      </w:r>
      <w:r w:rsidR="00259A39" w:rsidRPr="23F273C8">
        <w:rPr>
          <w:rFonts w:eastAsia="Arial" w:cs="Arial"/>
        </w:rPr>
        <w:t>BAME................................................................................................Black and Minority Ethnic CHWB.............................................................................Coventry Health and Wellbeing Board CCG.................................................................</w:t>
      </w:r>
      <w:r w:rsidR="00CB201E" w:rsidRPr="23F273C8">
        <w:rPr>
          <w:rFonts w:eastAsia="Arial" w:cs="Arial"/>
        </w:rPr>
        <w:t>...........................</w:t>
      </w:r>
      <w:r w:rsidR="00259A39" w:rsidRPr="23F273C8">
        <w:rPr>
          <w:rFonts w:eastAsia="Arial" w:cs="Arial"/>
        </w:rPr>
        <w:t>Clinical Commissioning Group CVD.................................................................</w:t>
      </w:r>
      <w:r w:rsidR="00E20EBD" w:rsidRPr="23F273C8">
        <w:rPr>
          <w:rFonts w:eastAsia="Arial" w:cs="Arial"/>
        </w:rPr>
        <w:t>.....................................</w:t>
      </w:r>
      <w:r w:rsidR="00259A39" w:rsidRPr="23F273C8">
        <w:rPr>
          <w:rFonts w:eastAsia="Arial" w:cs="Arial"/>
        </w:rPr>
        <w:t>.Cardiovascular Disease COPD...........................................................................Chronic Obstructive Pulmonary Disease CPCF……………………………………</w:t>
      </w:r>
      <w:r w:rsidR="69CEAB75" w:rsidRPr="23F273C8">
        <w:rPr>
          <w:rFonts w:eastAsia="Arial" w:cs="Arial"/>
        </w:rPr>
        <w:t>..</w:t>
      </w:r>
      <w:r w:rsidR="00027662" w:rsidRPr="23F273C8">
        <w:rPr>
          <w:rFonts w:eastAsia="Arial" w:cs="Arial"/>
        </w:rPr>
        <w:t>……….</w:t>
      </w:r>
      <w:r w:rsidR="00259A39" w:rsidRPr="23F273C8">
        <w:rPr>
          <w:rFonts w:eastAsia="Arial" w:cs="Arial"/>
        </w:rPr>
        <w:t>Community Pharmacy Contractual Framework</w:t>
      </w:r>
      <w:r>
        <w:br/>
      </w:r>
      <w:r w:rsidR="176F0ACF" w:rsidRPr="23F273C8">
        <w:rPr>
          <w:rFonts w:eastAsia="Arial" w:cs="Arial"/>
        </w:rPr>
        <w:t>CPCS</w:t>
      </w:r>
      <w:r w:rsidR="64589720" w:rsidRPr="23F273C8">
        <w:rPr>
          <w:rFonts w:eastAsia="Arial" w:cs="Arial"/>
        </w:rPr>
        <w:t>..................................................................Community Pharmacist Consultation Service</w:t>
      </w:r>
      <w:r w:rsidR="00259A39" w:rsidRPr="23F273C8">
        <w:rPr>
          <w:rFonts w:eastAsia="Arial" w:cs="Arial"/>
        </w:rPr>
        <w:t xml:space="preserve"> </w:t>
      </w:r>
      <w:r>
        <w:br/>
      </w:r>
      <w:r w:rsidR="00259A39" w:rsidRPr="23F273C8">
        <w:rPr>
          <w:rFonts w:eastAsia="Arial" w:cs="Arial"/>
        </w:rPr>
        <w:t>DAC………………………………………………………</w:t>
      </w:r>
      <w:r w:rsidR="00027662" w:rsidRPr="23F273C8">
        <w:rPr>
          <w:rFonts w:eastAsia="Arial" w:cs="Arial"/>
        </w:rPr>
        <w:t>……….</w:t>
      </w:r>
      <w:r w:rsidR="00259A39" w:rsidRPr="23F273C8">
        <w:rPr>
          <w:rFonts w:eastAsia="Arial" w:cs="Arial"/>
        </w:rPr>
        <w:t>Dispensing Appliance Contractors DD……………………………………………</w:t>
      </w:r>
      <w:r w:rsidR="00027662" w:rsidRPr="23F273C8">
        <w:rPr>
          <w:rFonts w:eastAsia="Arial" w:cs="Arial"/>
        </w:rPr>
        <w:t>………………………………….</w:t>
      </w:r>
      <w:r w:rsidR="00259A39" w:rsidRPr="23F273C8">
        <w:rPr>
          <w:rFonts w:eastAsia="Arial" w:cs="Arial"/>
        </w:rPr>
        <w:t>…Dispensing Doctors DH................................................................</w:t>
      </w:r>
      <w:r w:rsidR="00E20EBD" w:rsidRPr="23F273C8">
        <w:rPr>
          <w:rFonts w:eastAsia="Arial" w:cs="Arial"/>
        </w:rPr>
        <w:t>..............................................</w:t>
      </w:r>
      <w:r w:rsidR="00259A39" w:rsidRPr="23F273C8">
        <w:rPr>
          <w:rFonts w:eastAsia="Arial" w:cs="Arial"/>
        </w:rPr>
        <w:t>Department of Health DSP…………………………………………</w:t>
      </w:r>
      <w:r w:rsidR="00E20EBD" w:rsidRPr="23F273C8">
        <w:rPr>
          <w:rFonts w:eastAsia="Arial" w:cs="Arial"/>
        </w:rPr>
        <w:t>…………………………</w:t>
      </w:r>
      <w:r w:rsidR="00259A39" w:rsidRPr="23F273C8">
        <w:rPr>
          <w:rFonts w:eastAsia="Arial" w:cs="Arial"/>
        </w:rPr>
        <w:t>…Distance Selling Pharmacy EHC.................</w:t>
      </w:r>
      <w:r w:rsidR="00E20EBD" w:rsidRPr="23F273C8">
        <w:rPr>
          <w:rFonts w:eastAsia="Arial" w:cs="Arial"/>
        </w:rPr>
        <w:t>.................................................................</w:t>
      </w:r>
      <w:r w:rsidR="00259A39" w:rsidRPr="23F273C8">
        <w:rPr>
          <w:rFonts w:eastAsia="Arial" w:cs="Arial"/>
        </w:rPr>
        <w:t xml:space="preserve"> Emergency Hormonal Contraception </w:t>
      </w:r>
      <w:r w:rsidRPr="23F273C8">
        <w:rPr>
          <w:rFonts w:eastAsia="Arial" w:cs="Arial"/>
        </w:rPr>
        <w:t>GP..........................................................................</w:t>
      </w:r>
      <w:r w:rsidR="001750FD" w:rsidRPr="23F273C8">
        <w:rPr>
          <w:rFonts w:eastAsia="Arial" w:cs="Arial"/>
        </w:rPr>
        <w:t>................................</w:t>
      </w:r>
      <w:r w:rsidRPr="23F273C8">
        <w:rPr>
          <w:rFonts w:eastAsia="Arial" w:cs="Arial"/>
        </w:rPr>
        <w:t>......General Practitioner HLP……………………</w:t>
      </w:r>
      <w:r w:rsidR="001750FD" w:rsidRPr="23F273C8">
        <w:rPr>
          <w:rFonts w:eastAsia="Arial" w:cs="Arial"/>
        </w:rPr>
        <w:t>………………………………………………….</w:t>
      </w:r>
      <w:r w:rsidRPr="23F273C8">
        <w:rPr>
          <w:rFonts w:eastAsia="Arial" w:cs="Arial"/>
        </w:rPr>
        <w:t xml:space="preserve">…Healthy Living Pharmacy </w:t>
      </w:r>
      <w:r w:rsidR="00C53989" w:rsidRPr="23F273C8">
        <w:rPr>
          <w:rFonts w:eastAsia="Arial" w:cs="Arial"/>
        </w:rPr>
        <w:t>HLS……………………………………………………………</w:t>
      </w:r>
      <w:r w:rsidR="00734543" w:rsidRPr="23F273C8">
        <w:rPr>
          <w:rFonts w:eastAsia="Arial" w:cs="Arial"/>
        </w:rPr>
        <w:t>……………</w:t>
      </w:r>
      <w:r w:rsidR="00C53989" w:rsidRPr="23F273C8">
        <w:rPr>
          <w:rFonts w:eastAsia="Arial" w:cs="Arial"/>
        </w:rPr>
        <w:t>.Healthy Lifestyle Ser</w:t>
      </w:r>
      <w:r w:rsidR="00734543" w:rsidRPr="23F273C8">
        <w:rPr>
          <w:rFonts w:eastAsia="Arial" w:cs="Arial"/>
        </w:rPr>
        <w:t>vice</w:t>
      </w:r>
      <w:r w:rsidR="00734543">
        <w:br/>
      </w:r>
      <w:r w:rsidRPr="23F273C8">
        <w:rPr>
          <w:rFonts w:eastAsia="Arial" w:cs="Arial"/>
        </w:rPr>
        <w:t>HWB.................................................................................</w:t>
      </w:r>
      <w:r w:rsidR="001750FD" w:rsidRPr="23F273C8">
        <w:rPr>
          <w:rFonts w:eastAsia="Arial" w:cs="Arial"/>
        </w:rPr>
        <w:t>..........</w:t>
      </w:r>
      <w:r w:rsidRPr="23F273C8">
        <w:rPr>
          <w:rFonts w:eastAsia="Arial" w:cs="Arial"/>
        </w:rPr>
        <w:t xml:space="preserve">....Health and Wellbeing Board </w:t>
      </w:r>
      <w:r w:rsidR="000B55BC" w:rsidRPr="23F273C8">
        <w:rPr>
          <w:rFonts w:eastAsia="Arial" w:cs="Arial"/>
        </w:rPr>
        <w:t>ICB………………………………………………………………………..……Integrated Care Boar</w:t>
      </w:r>
      <w:r w:rsidR="00414AB7" w:rsidRPr="23F273C8">
        <w:rPr>
          <w:rFonts w:eastAsia="Arial" w:cs="Arial"/>
        </w:rPr>
        <w:t>d</w:t>
      </w:r>
      <w:r w:rsidR="003104D9">
        <w:br/>
      </w:r>
      <w:r w:rsidR="000B55BC" w:rsidRPr="23F273C8">
        <w:rPr>
          <w:rFonts w:eastAsia="Arial" w:cs="Arial"/>
        </w:rPr>
        <w:t>ICS……………………………………………………………………………Integrated Care System</w:t>
      </w:r>
      <w:r w:rsidR="003104D9">
        <w:br/>
      </w:r>
      <w:r w:rsidR="00BE163A" w:rsidRPr="23F273C8">
        <w:rPr>
          <w:rFonts w:eastAsia="Arial" w:cs="Arial"/>
        </w:rPr>
        <w:t>I</w:t>
      </w:r>
      <w:r w:rsidR="00C23EEF" w:rsidRPr="23F273C8">
        <w:rPr>
          <w:rFonts w:eastAsia="Arial" w:cs="Arial"/>
        </w:rPr>
        <w:t>PM</w:t>
      </w:r>
      <w:r w:rsidR="00BE163A" w:rsidRPr="23F273C8">
        <w:rPr>
          <w:rFonts w:eastAsia="Arial" w:cs="Arial"/>
        </w:rPr>
        <w:t>O…………………………………………………</w:t>
      </w:r>
      <w:r w:rsidR="00C23EEF" w:rsidRPr="23F273C8">
        <w:rPr>
          <w:rFonts w:eastAsia="Arial" w:cs="Arial"/>
        </w:rPr>
        <w:t>.</w:t>
      </w:r>
      <w:r w:rsidR="00BE163A" w:rsidRPr="23F273C8">
        <w:rPr>
          <w:rFonts w:eastAsia="Arial" w:cs="Arial"/>
        </w:rPr>
        <w:t>Inte</w:t>
      </w:r>
      <w:r w:rsidR="00C23EEF" w:rsidRPr="23F273C8">
        <w:rPr>
          <w:rFonts w:eastAsia="Arial" w:cs="Arial"/>
        </w:rPr>
        <w:t>g</w:t>
      </w:r>
      <w:r w:rsidR="00BE163A" w:rsidRPr="23F273C8">
        <w:rPr>
          <w:rFonts w:eastAsia="Arial" w:cs="Arial"/>
        </w:rPr>
        <w:t xml:space="preserve">rated </w:t>
      </w:r>
      <w:r w:rsidR="00C23EEF" w:rsidRPr="23F273C8">
        <w:rPr>
          <w:rFonts w:eastAsia="Arial" w:cs="Arial"/>
        </w:rPr>
        <w:t xml:space="preserve">Pharmacy </w:t>
      </w:r>
      <w:r w:rsidR="00BE163A" w:rsidRPr="23F273C8">
        <w:rPr>
          <w:rFonts w:eastAsia="Arial" w:cs="Arial"/>
        </w:rPr>
        <w:t>Medici</w:t>
      </w:r>
      <w:r w:rsidR="00C23EEF" w:rsidRPr="23F273C8">
        <w:rPr>
          <w:rFonts w:eastAsia="Arial" w:cs="Arial"/>
        </w:rPr>
        <w:t>ne Optimisation</w:t>
      </w:r>
      <w:r w:rsidR="00C23EEF">
        <w:br/>
      </w:r>
      <w:r w:rsidRPr="23F273C8">
        <w:rPr>
          <w:rFonts w:eastAsia="Arial" w:cs="Arial"/>
        </w:rPr>
        <w:t>ISHS…………………………………</w:t>
      </w:r>
      <w:r w:rsidR="001750FD" w:rsidRPr="23F273C8">
        <w:rPr>
          <w:rFonts w:eastAsia="Arial" w:cs="Arial"/>
        </w:rPr>
        <w:t>……………………………</w:t>
      </w:r>
      <w:r w:rsidRPr="23F273C8">
        <w:rPr>
          <w:rFonts w:eastAsia="Arial" w:cs="Arial"/>
        </w:rPr>
        <w:t xml:space="preserve">Integrated Sexual Health Services </w:t>
      </w:r>
      <w:r w:rsidR="003104D9">
        <w:br/>
      </w:r>
      <w:r w:rsidRPr="23F273C8">
        <w:rPr>
          <w:rFonts w:eastAsia="Arial" w:cs="Arial"/>
        </w:rPr>
        <w:t>JSNA .......................................................................</w:t>
      </w:r>
      <w:r w:rsidR="001750FD" w:rsidRPr="23F273C8">
        <w:rPr>
          <w:rFonts w:eastAsia="Arial" w:cs="Arial"/>
        </w:rPr>
        <w:t>........</w:t>
      </w:r>
      <w:r w:rsidRPr="23F273C8">
        <w:rPr>
          <w:rFonts w:eastAsia="Arial" w:cs="Arial"/>
        </w:rPr>
        <w:t>.....Joint Strategic Needs Assessment LA…………………</w:t>
      </w:r>
      <w:r w:rsidR="001750FD" w:rsidRPr="23F273C8">
        <w:rPr>
          <w:rFonts w:eastAsia="Arial" w:cs="Arial"/>
        </w:rPr>
        <w:t>…………………………………………………………………...</w:t>
      </w:r>
      <w:r w:rsidRPr="23F273C8">
        <w:rPr>
          <w:rFonts w:eastAsia="Arial" w:cs="Arial"/>
        </w:rPr>
        <w:t>Local Authorities LMC……………</w:t>
      </w:r>
      <w:r w:rsidR="001750FD" w:rsidRPr="23F273C8">
        <w:rPr>
          <w:rFonts w:eastAsia="Arial" w:cs="Arial"/>
        </w:rPr>
        <w:t>……………………………………………………………</w:t>
      </w:r>
      <w:r w:rsidRPr="23F273C8">
        <w:rPr>
          <w:rFonts w:eastAsia="Arial" w:cs="Arial"/>
        </w:rPr>
        <w:t>Local Medical Committee LPC.......................</w:t>
      </w:r>
      <w:r w:rsidR="001750FD" w:rsidRPr="23F273C8">
        <w:rPr>
          <w:rFonts w:eastAsia="Arial" w:cs="Arial"/>
        </w:rPr>
        <w:t>.................................................................</w:t>
      </w:r>
      <w:r w:rsidRPr="23F273C8">
        <w:rPr>
          <w:rFonts w:eastAsia="Arial" w:cs="Arial"/>
        </w:rPr>
        <w:t>.</w:t>
      </w:r>
      <w:r w:rsidR="00259A39" w:rsidRPr="23F273C8">
        <w:rPr>
          <w:rFonts w:eastAsia="Arial" w:cs="Arial"/>
        </w:rPr>
        <w:t>Local Pharmaceutical Committee LSOA</w:t>
      </w:r>
      <w:r w:rsidRPr="23F273C8">
        <w:rPr>
          <w:rFonts w:eastAsia="Arial" w:cs="Arial"/>
        </w:rPr>
        <w:t>……………………………</w:t>
      </w:r>
      <w:r w:rsidR="001750FD" w:rsidRPr="23F273C8">
        <w:rPr>
          <w:rFonts w:eastAsia="Arial" w:cs="Arial"/>
        </w:rPr>
        <w:t>………………………………………</w:t>
      </w:r>
      <w:r w:rsidRPr="23F273C8">
        <w:rPr>
          <w:rFonts w:eastAsia="Arial" w:cs="Arial"/>
        </w:rPr>
        <w:t>…</w:t>
      </w:r>
      <w:r w:rsidR="00259A39" w:rsidRPr="23F273C8">
        <w:rPr>
          <w:rFonts w:eastAsia="Arial" w:cs="Arial"/>
        </w:rPr>
        <w:t>Lower Super Output Areas LTC…………………………………………………………………………</w:t>
      </w:r>
      <w:r w:rsidR="001750FD" w:rsidRPr="23F273C8">
        <w:rPr>
          <w:rFonts w:eastAsia="Arial" w:cs="Arial"/>
        </w:rPr>
        <w:t>..</w:t>
      </w:r>
      <w:r w:rsidR="00259A39" w:rsidRPr="23F273C8">
        <w:rPr>
          <w:rFonts w:eastAsia="Arial" w:cs="Arial"/>
        </w:rPr>
        <w:t>…Long Term Conditions NMS…………………………………………………………………………..New Medicines Service NHS BSA</w:t>
      </w:r>
      <w:r w:rsidRPr="23F273C8">
        <w:rPr>
          <w:rFonts w:eastAsia="Arial" w:cs="Arial"/>
        </w:rPr>
        <w:t>…</w:t>
      </w:r>
      <w:r w:rsidR="001750FD" w:rsidRPr="23F273C8">
        <w:rPr>
          <w:rFonts w:eastAsia="Arial" w:cs="Arial"/>
        </w:rPr>
        <w:t>……………………………………………………….</w:t>
      </w:r>
      <w:r w:rsidR="00259A39" w:rsidRPr="23F273C8">
        <w:rPr>
          <w:rFonts w:eastAsia="Arial" w:cs="Arial"/>
        </w:rPr>
        <w:t>NHS Business Services Authority NHSE ......................................................................................National Health Service England</w:t>
      </w:r>
      <w:r w:rsidR="002D62C2">
        <w:br/>
      </w:r>
      <w:r w:rsidR="001750FD" w:rsidRPr="23F273C8">
        <w:rPr>
          <w:rFonts w:eastAsia="Arial" w:cs="Arial"/>
        </w:rPr>
        <w:t>NHSI</w:t>
      </w:r>
      <w:r w:rsidR="00D103DF" w:rsidRPr="23F273C8">
        <w:rPr>
          <w:rFonts w:eastAsia="Arial" w:cs="Arial"/>
        </w:rPr>
        <w:t>………………………………………………………..…National Health Service Improvement</w:t>
      </w:r>
      <w:r w:rsidR="00259A39" w:rsidRPr="23F273C8">
        <w:rPr>
          <w:rFonts w:eastAsia="Arial" w:cs="Arial"/>
        </w:rPr>
        <w:t xml:space="preserve"> NICE……………………………………………………</w:t>
      </w:r>
      <w:r w:rsidR="00D103DF" w:rsidRPr="23F273C8">
        <w:rPr>
          <w:rFonts w:eastAsia="Arial" w:cs="Arial"/>
        </w:rPr>
        <w:t>..</w:t>
      </w:r>
      <w:r w:rsidR="00259A39" w:rsidRPr="23F273C8">
        <w:rPr>
          <w:rFonts w:eastAsia="Arial" w:cs="Arial"/>
        </w:rPr>
        <w:t xml:space="preserve">…National Institute for Clinical Excellence NUMSAS………………………………………………..NHS Urgent Medicines Advanced Service </w:t>
      </w:r>
      <w:r w:rsidR="00259A39" w:rsidRPr="23F273C8">
        <w:rPr>
          <w:rFonts w:eastAsia="Arial" w:cs="Arial"/>
        </w:rPr>
        <w:lastRenderedPageBreak/>
        <w:t>OOH………………………………………………………………………………………..Out of Hours ONS……………</w:t>
      </w:r>
      <w:r w:rsidR="00D103DF" w:rsidRPr="23F273C8">
        <w:rPr>
          <w:rFonts w:eastAsia="Arial" w:cs="Arial"/>
        </w:rPr>
        <w:t>...</w:t>
      </w:r>
      <w:r w:rsidR="00259A39" w:rsidRPr="23F273C8">
        <w:rPr>
          <w:rFonts w:eastAsia="Arial" w:cs="Arial"/>
        </w:rPr>
        <w:t>………………………………………………………..Office of National Statistics NRT........................................................................................... Nicotine Replacement Therapy PC</w:t>
      </w:r>
      <w:r w:rsidR="00D103DF" w:rsidRPr="23F273C8">
        <w:rPr>
          <w:rFonts w:eastAsia="Arial" w:cs="Arial"/>
        </w:rPr>
        <w:t>N</w:t>
      </w:r>
      <w:r w:rsidR="00259A39" w:rsidRPr="23F273C8">
        <w:rPr>
          <w:rFonts w:eastAsia="Arial" w:cs="Arial"/>
        </w:rPr>
        <w:t>....................................................................................................</w:t>
      </w:r>
      <w:r w:rsidR="00D103DF" w:rsidRPr="23F273C8">
        <w:rPr>
          <w:rFonts w:eastAsia="Arial" w:cs="Arial"/>
        </w:rPr>
        <w:t>.</w:t>
      </w:r>
      <w:r w:rsidR="00259A39" w:rsidRPr="23F273C8">
        <w:rPr>
          <w:rFonts w:eastAsia="Arial" w:cs="Arial"/>
        </w:rPr>
        <w:t xml:space="preserve">.... Primary Care </w:t>
      </w:r>
      <w:r w:rsidR="00D103DF" w:rsidRPr="23F273C8">
        <w:rPr>
          <w:rFonts w:eastAsia="Arial" w:cs="Arial"/>
        </w:rPr>
        <w:t>Network</w:t>
      </w:r>
      <w:r w:rsidR="00259A39" w:rsidRPr="23F273C8">
        <w:rPr>
          <w:rFonts w:eastAsia="Arial" w:cs="Arial"/>
        </w:rPr>
        <w:t xml:space="preserve"> PHE………………</w:t>
      </w:r>
      <w:r w:rsidR="00D103DF" w:rsidRPr="23F273C8">
        <w:rPr>
          <w:rFonts w:eastAsia="Arial" w:cs="Arial"/>
        </w:rPr>
        <w:t>..</w:t>
      </w:r>
      <w:r w:rsidR="00259A39" w:rsidRPr="23F273C8">
        <w:rPr>
          <w:rFonts w:eastAsia="Arial" w:cs="Arial"/>
        </w:rPr>
        <w:t>……………………………….…………………………..Public Health England PNA.................................................................................... Pharmaceutical Needs Assessment PSNC……………………………………</w:t>
      </w:r>
      <w:r w:rsidR="00D103DF" w:rsidRPr="23F273C8">
        <w:rPr>
          <w:rFonts w:eastAsia="Arial" w:cs="Arial"/>
        </w:rPr>
        <w:t>..</w:t>
      </w:r>
      <w:r w:rsidR="00259A39" w:rsidRPr="23F273C8">
        <w:rPr>
          <w:rFonts w:eastAsia="Arial" w:cs="Arial"/>
        </w:rPr>
        <w:t xml:space="preserve">……..Pharmaceutical Services Negotiating Committee SAC.......................................................................................... Stoma Appliance Customisation STI.............................................................................................. Sexually Transmitted Infection </w:t>
      </w:r>
      <w:r w:rsidR="00734543" w:rsidRPr="23F273C8">
        <w:rPr>
          <w:rFonts w:eastAsia="Arial" w:cs="Arial"/>
        </w:rPr>
        <w:t>SWFT…………………………..…………………………….South Warwickshire Foundation Trust</w:t>
      </w:r>
      <w:r w:rsidR="00734543">
        <w:br/>
      </w:r>
      <w:r w:rsidR="00259A39" w:rsidRPr="23F273C8">
        <w:rPr>
          <w:rFonts w:eastAsia="Arial" w:cs="Arial"/>
        </w:rPr>
        <w:t>UHCW……………………………………………….University Hospital Coventry &amp; Warwickshire UK …………………………</w:t>
      </w:r>
      <w:r w:rsidR="000B55BC" w:rsidRPr="23F273C8">
        <w:rPr>
          <w:rFonts w:eastAsia="Arial" w:cs="Arial"/>
        </w:rPr>
        <w:t>..</w:t>
      </w:r>
      <w:r w:rsidR="00259A39" w:rsidRPr="23F273C8">
        <w:rPr>
          <w:rFonts w:eastAsia="Arial" w:cs="Arial"/>
        </w:rPr>
        <w:t>………………………………………...............…….. United Kingdom WHWB…………………………………………………….Warwickshire Health &amp; Wellbeing Board</w:t>
      </w:r>
      <w:r w:rsidR="00A56435">
        <w:br w:type="page"/>
      </w:r>
    </w:p>
    <w:p w14:paraId="04E955D6" w14:textId="77777777" w:rsidR="00991F56" w:rsidRPr="007C097D" w:rsidRDefault="00991F56" w:rsidP="00597F68">
      <w:pPr>
        <w:rPr>
          <w:b/>
          <w:bCs/>
        </w:rPr>
        <w:sectPr w:rsidR="00991F56" w:rsidRPr="007C097D" w:rsidSect="00F96554">
          <w:pgSz w:w="12240" w:h="15840"/>
          <w:pgMar w:top="1134" w:right="1134" w:bottom="1134" w:left="1134" w:header="708" w:footer="708" w:gutter="0"/>
          <w:cols w:space="708"/>
          <w:docGrid w:linePitch="360"/>
        </w:sectPr>
      </w:pPr>
    </w:p>
    <w:p w14:paraId="5F63F222" w14:textId="77777777" w:rsidR="00216508" w:rsidRDefault="00216508" w:rsidP="00216508">
      <w:pPr>
        <w:pStyle w:val="Heading1"/>
      </w:pPr>
      <w:bookmarkStart w:id="9" w:name="_Toc113628571"/>
      <w:bookmarkStart w:id="10" w:name="_Toc359931963"/>
      <w:bookmarkStart w:id="11" w:name="_Toc363033302"/>
      <w:bookmarkStart w:id="12" w:name="_Toc366594460"/>
      <w:bookmarkEnd w:id="6"/>
      <w:bookmarkEnd w:id="7"/>
      <w:r>
        <w:lastRenderedPageBreak/>
        <w:t>Recommendations</w:t>
      </w:r>
      <w:bookmarkEnd w:id="9"/>
    </w:p>
    <w:p w14:paraId="184CDBAB" w14:textId="77777777" w:rsidR="00216508" w:rsidRPr="00225880" w:rsidRDefault="00216508" w:rsidP="00216508">
      <w:r>
        <w:t xml:space="preserve">Taking into account current service provision and other factors that may affect need for pharmaceutical services in the future; the following recommendations have been put forward: </w:t>
      </w:r>
    </w:p>
    <w:p w14:paraId="5793F660" w14:textId="77777777" w:rsidR="00216508" w:rsidRDefault="00216508" w:rsidP="00216508">
      <w:pPr>
        <w:pStyle w:val="ListParagraph"/>
        <w:numPr>
          <w:ilvl w:val="0"/>
          <w:numId w:val="36"/>
        </w:numPr>
      </w:pPr>
      <w:r w:rsidRPr="001A038E">
        <w:t xml:space="preserve">Currently there is a sufficient provision of pharmacies. </w:t>
      </w:r>
      <w:r>
        <w:t>S</w:t>
      </w:r>
      <w:r w:rsidRPr="001A038E">
        <w:t xml:space="preserve">upplementary statements </w:t>
      </w:r>
      <w:r>
        <w:t>will be</w:t>
      </w:r>
      <w:r w:rsidRPr="001A038E">
        <w:t xml:space="preserve"> produced</w:t>
      </w:r>
      <w:r>
        <w:t xml:space="preserve"> by the Community Pharmacy Steering Group on behalf of both the Coventry and Warwickshire Health and Wellbeing Boards</w:t>
      </w:r>
      <w:r w:rsidRPr="001A038E">
        <w:t xml:space="preserve"> should there be a significant </w:t>
      </w:r>
      <w:r>
        <w:t xml:space="preserve">change </w:t>
      </w:r>
      <w:r w:rsidRPr="001A038E">
        <w:t xml:space="preserve">across Coventry and Warwickshire or within localities. </w:t>
      </w:r>
      <w:r>
        <w:t>Significant</w:t>
      </w:r>
      <w:r w:rsidRPr="001A038E">
        <w:t xml:space="preserve"> new housing developments should also</w:t>
      </w:r>
      <w:r>
        <w:t xml:space="preserve"> be</w:t>
      </w:r>
      <w:r w:rsidRPr="001A038E">
        <w:t xml:space="preserve"> considered. </w:t>
      </w:r>
    </w:p>
    <w:p w14:paraId="625FB71C" w14:textId="77777777" w:rsidR="00216508" w:rsidRPr="002366E7" w:rsidRDefault="00216508" w:rsidP="00216508">
      <w:pPr>
        <w:pStyle w:val="ListParagraph"/>
        <w:numPr>
          <w:ilvl w:val="0"/>
          <w:numId w:val="36"/>
        </w:numPr>
      </w:pPr>
      <w:r>
        <w:t xml:space="preserve">Consideration should be given to the </w:t>
      </w:r>
      <w:r w:rsidRPr="002366E7">
        <w:t>increase in pressure on community pharmacies caused by the COVID-19 pandemic</w:t>
      </w:r>
      <w:r>
        <w:t xml:space="preserve">, particularly as the country enters a cost-of-living crisis. </w:t>
      </w:r>
    </w:p>
    <w:p w14:paraId="0D009F24" w14:textId="77777777" w:rsidR="00216508" w:rsidRDefault="00216508" w:rsidP="00216508">
      <w:pPr>
        <w:pStyle w:val="ListParagraph"/>
        <w:numPr>
          <w:ilvl w:val="0"/>
          <w:numId w:val="36"/>
        </w:numPr>
      </w:pPr>
      <w:r>
        <w:t>Consideration</w:t>
      </w:r>
      <w:r w:rsidRPr="001A038E">
        <w:t xml:space="preserve"> of </w:t>
      </w:r>
      <w:r>
        <w:t xml:space="preserve">any change within predominantly </w:t>
      </w:r>
      <w:r w:rsidRPr="001A038E">
        <w:t xml:space="preserve">rural areas should be undertaken within the lifetime of the PNA. </w:t>
      </w:r>
    </w:p>
    <w:p w14:paraId="6BE5E61E" w14:textId="77777777" w:rsidR="00216508" w:rsidRDefault="00216508" w:rsidP="00216508">
      <w:pPr>
        <w:pStyle w:val="ListParagraph"/>
        <w:numPr>
          <w:ilvl w:val="0"/>
          <w:numId w:val="36"/>
        </w:numPr>
      </w:pPr>
      <w:r w:rsidRPr="001A038E">
        <w:t>Consideration should be given to commissioning evening or weekend rotas if needed to support extended hours by general practice in addition to the current bank holiday rotas.</w:t>
      </w:r>
    </w:p>
    <w:p w14:paraId="6DB9F605" w14:textId="1347D3D4" w:rsidR="00216508" w:rsidRDefault="00216508" w:rsidP="00216508">
      <w:pPr>
        <w:pStyle w:val="ListParagraph"/>
        <w:numPr>
          <w:ilvl w:val="0"/>
          <w:numId w:val="36"/>
        </w:numPr>
      </w:pPr>
      <w:r>
        <w:t xml:space="preserve">There is an opportunity for more joined up work when it comes to signposting, both to and from community pharmacies. Community pharmacies should be continually </w:t>
      </w:r>
      <w:r w:rsidR="00684B2E">
        <w:t>consulted</w:t>
      </w:r>
      <w:r>
        <w:t xml:space="preserve"> as to the best pathways for care</w:t>
      </w:r>
      <w:r w:rsidR="00684B2E">
        <w:t>. P</w:t>
      </w:r>
      <w:r>
        <w:t xml:space="preserve">atients, public, and other care settings should be provided with clear information on opening times, services offered (including provision of confidential consulting space), and alternative provisions when pharmacies are not open. </w:t>
      </w:r>
    </w:p>
    <w:p w14:paraId="12201807" w14:textId="77777777" w:rsidR="00216508" w:rsidRDefault="00216508" w:rsidP="00216508">
      <w:pPr>
        <w:pStyle w:val="ListParagraph"/>
        <w:numPr>
          <w:ilvl w:val="0"/>
          <w:numId w:val="36"/>
        </w:numPr>
      </w:pPr>
      <w:r>
        <w:t xml:space="preserve">Health Education England (HEE) training should be supported for prescribers in community pharmacies. </w:t>
      </w:r>
    </w:p>
    <w:p w14:paraId="744681E8" w14:textId="77777777" w:rsidR="00216508" w:rsidRDefault="00216508" w:rsidP="00216508">
      <w:pPr>
        <w:pStyle w:val="ListParagraph"/>
        <w:numPr>
          <w:ilvl w:val="0"/>
          <w:numId w:val="36"/>
        </w:numPr>
      </w:pPr>
      <w:r>
        <w:t>The HEE Community Pharmacy Survey 2021 should be used when released later in 2022 to help understand community pharmacy workforce further, and support should be given to the delivery of an annual HEE Community Pharmacy Survey to build data and insight going forward, including use in the next PNA.</w:t>
      </w:r>
    </w:p>
    <w:p w14:paraId="4FF2986B" w14:textId="77777777" w:rsidR="00216508" w:rsidRDefault="00216508" w:rsidP="00216508">
      <w:pPr>
        <w:pStyle w:val="ListParagraph"/>
        <w:numPr>
          <w:ilvl w:val="0"/>
          <w:numId w:val="36"/>
        </w:numPr>
      </w:pPr>
      <w:r>
        <w:t xml:space="preserve">Under the Hep-C service, pathways for referral to a confirmatory PCR test are currently under development. There is currently a limited pathway for PCR testing, so this pathway development should be supported. </w:t>
      </w:r>
    </w:p>
    <w:p w14:paraId="28CE1385" w14:textId="20C6D25D" w:rsidR="00216508" w:rsidRPr="007A2890" w:rsidRDefault="00216508" w:rsidP="00216508">
      <w:pPr>
        <w:pStyle w:val="ListParagraph"/>
        <w:numPr>
          <w:ilvl w:val="0"/>
          <w:numId w:val="36"/>
        </w:numPr>
      </w:pPr>
      <w:r w:rsidRPr="00843147">
        <w:t xml:space="preserve">As </w:t>
      </w:r>
      <w:r>
        <w:t>the Smoking Cessation advanced service</w:t>
      </w:r>
      <w:r w:rsidRPr="00843147">
        <w:t xml:space="preserve"> is a newly commissioned service pharmacies are still signing up to provide it. The number of pharmacies providing this service should be monitored whilst this initial sign-up is taking place.</w:t>
      </w:r>
      <w:r w:rsidR="00F71DAD">
        <w:t xml:space="preserve"> </w:t>
      </w:r>
      <w:r w:rsidR="004F35F9">
        <w:rPr>
          <w:rFonts w:eastAsia="Arial" w:cs="Arial"/>
          <w:color w:val="202A30"/>
          <w:szCs w:val="24"/>
        </w:rPr>
        <w:t xml:space="preserve">The </w:t>
      </w:r>
      <w:r w:rsidR="004B3982">
        <w:rPr>
          <w:rFonts w:eastAsia="Arial" w:cs="Arial"/>
          <w:color w:val="202A30"/>
          <w:szCs w:val="24"/>
        </w:rPr>
        <w:t>referral pathway</w:t>
      </w:r>
      <w:r w:rsidR="004F35F9">
        <w:rPr>
          <w:rFonts w:eastAsia="Arial" w:cs="Arial"/>
          <w:color w:val="202A30"/>
          <w:szCs w:val="24"/>
        </w:rPr>
        <w:t xml:space="preserve"> from Trusts into community smoking cessation services</w:t>
      </w:r>
      <w:r w:rsidR="002D1C11">
        <w:rPr>
          <w:rFonts w:eastAsia="Arial" w:cs="Arial"/>
          <w:color w:val="202A30"/>
          <w:szCs w:val="24"/>
        </w:rPr>
        <w:t xml:space="preserve"> are being developed</w:t>
      </w:r>
      <w:r w:rsidR="004B3982">
        <w:rPr>
          <w:rFonts w:eastAsia="Arial" w:cs="Arial"/>
          <w:color w:val="202A30"/>
          <w:szCs w:val="24"/>
        </w:rPr>
        <w:t xml:space="preserve">, </w:t>
      </w:r>
      <w:r w:rsidR="004B3982">
        <w:rPr>
          <w:rFonts w:eastAsia="Arial" w:cs="Arial"/>
          <w:color w:val="202A30"/>
          <w:szCs w:val="24"/>
        </w:rPr>
        <w:lastRenderedPageBreak/>
        <w:t xml:space="preserve">this work </w:t>
      </w:r>
      <w:r w:rsidR="00B07E89">
        <w:rPr>
          <w:rFonts w:eastAsia="Arial" w:cs="Arial"/>
          <w:color w:val="202A30"/>
          <w:szCs w:val="24"/>
        </w:rPr>
        <w:t>should be supported</w:t>
      </w:r>
      <w:r w:rsidR="002D1C11">
        <w:rPr>
          <w:rFonts w:eastAsia="Arial" w:cs="Arial"/>
          <w:color w:val="202A30"/>
          <w:szCs w:val="24"/>
        </w:rPr>
        <w:t xml:space="preserve"> as part of </w:t>
      </w:r>
      <w:r w:rsidR="004F35F9">
        <w:rPr>
          <w:rFonts w:eastAsia="Arial" w:cs="Arial"/>
          <w:color w:val="202A30"/>
          <w:szCs w:val="24"/>
        </w:rPr>
        <w:t xml:space="preserve">the NHS long term plan </w:t>
      </w:r>
      <w:r w:rsidR="002D1C11">
        <w:rPr>
          <w:rFonts w:eastAsia="Arial" w:cs="Arial"/>
          <w:color w:val="202A30"/>
          <w:szCs w:val="24"/>
        </w:rPr>
        <w:t>t</w:t>
      </w:r>
      <w:r w:rsidR="004F35F9">
        <w:rPr>
          <w:rFonts w:eastAsia="Arial" w:cs="Arial"/>
          <w:color w:val="202A30"/>
          <w:szCs w:val="24"/>
        </w:rPr>
        <w:t>obacco dependency work</w:t>
      </w:r>
      <w:r w:rsidR="00B07E89">
        <w:rPr>
          <w:rFonts w:eastAsia="Arial" w:cs="Arial"/>
          <w:color w:val="202A30"/>
          <w:szCs w:val="24"/>
        </w:rPr>
        <w:t>.</w:t>
      </w:r>
      <w:r w:rsidR="00804797">
        <w:rPr>
          <w:rFonts w:eastAsia="Arial" w:cs="Arial"/>
          <w:color w:val="202A30"/>
          <w:szCs w:val="24"/>
        </w:rPr>
        <w:t xml:space="preserve"> </w:t>
      </w:r>
    </w:p>
    <w:p w14:paraId="23CFB4E2" w14:textId="27E7D746" w:rsidR="007A2890" w:rsidRDefault="007A2890" w:rsidP="00216508">
      <w:pPr>
        <w:pStyle w:val="ListParagraph"/>
        <w:numPr>
          <w:ilvl w:val="0"/>
          <w:numId w:val="36"/>
        </w:numPr>
      </w:pPr>
      <w:r>
        <w:t xml:space="preserve">There is an opportunity to develop </w:t>
      </w:r>
      <w:r w:rsidRPr="00A23B28">
        <w:t>pathway</w:t>
      </w:r>
      <w:r>
        <w:t>s</w:t>
      </w:r>
      <w:r w:rsidRPr="00A23B28">
        <w:t xml:space="preserve"> for </w:t>
      </w:r>
      <w:r w:rsidR="00AA227D">
        <w:t>the NHS Blood Pressure Check</w:t>
      </w:r>
      <w:r w:rsidR="00AA227D" w:rsidRPr="00A23B28">
        <w:t xml:space="preserve"> </w:t>
      </w:r>
      <w:r w:rsidR="00AA227D">
        <w:t>service</w:t>
      </w:r>
      <w:r w:rsidRPr="00A23B28">
        <w:t xml:space="preserve"> from pharmac</w:t>
      </w:r>
      <w:r>
        <w:t>ies</w:t>
      </w:r>
      <w:r w:rsidRPr="00A23B28">
        <w:t xml:space="preserve"> </w:t>
      </w:r>
      <w:r>
        <w:t xml:space="preserve">and GPs </w:t>
      </w:r>
      <w:r w:rsidRPr="00A23B28">
        <w:t xml:space="preserve">straight through to </w:t>
      </w:r>
      <w:r>
        <w:t>lifestyle service f</w:t>
      </w:r>
      <w:r w:rsidRPr="00A23B28">
        <w:t>or people who want support around lifestyle interventions.</w:t>
      </w:r>
    </w:p>
    <w:p w14:paraId="06ABAA55" w14:textId="58E02535" w:rsidR="00E2391E" w:rsidRPr="00E2391E" w:rsidRDefault="00E2391E" w:rsidP="00E2391E">
      <w:pPr>
        <w:pStyle w:val="ListParagraph"/>
        <w:numPr>
          <w:ilvl w:val="0"/>
          <w:numId w:val="36"/>
        </w:numPr>
        <w:rPr>
          <w:rFonts w:eastAsia="MS Mincho" w:cs="Arial"/>
          <w:szCs w:val="24"/>
        </w:rPr>
      </w:pPr>
      <w:r w:rsidRPr="00E2391E">
        <w:rPr>
          <w:rFonts w:eastAsia="MS Mincho" w:cs="Arial"/>
          <w:szCs w:val="24"/>
        </w:rPr>
        <w:t>Partnership work needs to be done between Commissioners of</w:t>
      </w:r>
      <w:r w:rsidR="00507443">
        <w:rPr>
          <w:rFonts w:eastAsia="MS Mincho" w:cs="Arial"/>
          <w:szCs w:val="24"/>
        </w:rPr>
        <w:t xml:space="preserve"> Stop Smoking and Stop Smoking in Pregnancy </w:t>
      </w:r>
      <w:r w:rsidR="00041B1B">
        <w:rPr>
          <w:rFonts w:eastAsia="MS Mincho" w:cs="Arial"/>
          <w:szCs w:val="24"/>
        </w:rPr>
        <w:t>l</w:t>
      </w:r>
      <w:r w:rsidR="00507443">
        <w:rPr>
          <w:rFonts w:eastAsia="MS Mincho" w:cs="Arial"/>
          <w:szCs w:val="24"/>
        </w:rPr>
        <w:t xml:space="preserve">ocally </w:t>
      </w:r>
      <w:r w:rsidR="00041B1B">
        <w:rPr>
          <w:rFonts w:eastAsia="MS Mincho" w:cs="Arial"/>
          <w:szCs w:val="24"/>
        </w:rPr>
        <w:t>c</w:t>
      </w:r>
      <w:r w:rsidR="00507443">
        <w:rPr>
          <w:rFonts w:eastAsia="MS Mincho" w:cs="Arial"/>
          <w:szCs w:val="24"/>
        </w:rPr>
        <w:t xml:space="preserve">ommissioned </w:t>
      </w:r>
      <w:r w:rsidR="00041B1B">
        <w:rPr>
          <w:rFonts w:eastAsia="MS Mincho" w:cs="Arial"/>
          <w:szCs w:val="24"/>
        </w:rPr>
        <w:t>s</w:t>
      </w:r>
      <w:r w:rsidR="00507443">
        <w:rPr>
          <w:rFonts w:eastAsia="MS Mincho" w:cs="Arial"/>
          <w:szCs w:val="24"/>
        </w:rPr>
        <w:t>ervices</w:t>
      </w:r>
      <w:r w:rsidRPr="00E2391E">
        <w:rPr>
          <w:rFonts w:eastAsia="MS Mincho" w:cs="Arial"/>
          <w:szCs w:val="24"/>
        </w:rPr>
        <w:t xml:space="preserve"> and pharmacies to identify the actions to increase activity across those pharmacies where behavioural support and prescribing is low, with a particular focus on areas of greatest need. </w:t>
      </w:r>
    </w:p>
    <w:p w14:paraId="04CF9635" w14:textId="77777777" w:rsidR="00216508" w:rsidRPr="00C130BC" w:rsidRDefault="00216508" w:rsidP="00216508">
      <w:pPr>
        <w:pStyle w:val="ListParagraph"/>
        <w:numPr>
          <w:ilvl w:val="0"/>
          <w:numId w:val="36"/>
        </w:numPr>
      </w:pPr>
      <w:r>
        <w:rPr>
          <w:rFonts w:eastAsia="MS Mincho" w:cs="Arial"/>
          <w:szCs w:val="24"/>
        </w:rPr>
        <w:t xml:space="preserve">Consideration should be given to the role of pharmacies within the NHS long term plan tobacco dependency commitment to deliver NHS funded tobacco dependence treatment services which includes inpatient, maternity, outpatients, and community settings.  </w:t>
      </w:r>
    </w:p>
    <w:p w14:paraId="2AC22E45" w14:textId="77777777" w:rsidR="00216508" w:rsidRPr="009737A0" w:rsidRDefault="00216508" w:rsidP="00216508">
      <w:pPr>
        <w:pStyle w:val="ListParagraph"/>
        <w:numPr>
          <w:ilvl w:val="0"/>
          <w:numId w:val="36"/>
        </w:numPr>
      </w:pPr>
      <w:r w:rsidRPr="00C130BC">
        <w:t>To achieve the national ambition outlined in the Drug Strategy 2021, more work will be required to improve the quality of services and expand the number of providers delivering supervised consumption and needle exchange programmes in Warwickshire. More work is required to map out the current provision to ensure there is fair and equitable provision countywide. Adequate provision will need to be sought in the more deprived areas and those with higher drug and alcohol prevalence. Individuals within these areas are more likely to have a range of health inequalities and poorer health outcomes.</w:t>
      </w:r>
    </w:p>
    <w:p w14:paraId="7675DDB0" w14:textId="6B79B0A4" w:rsidR="00216508" w:rsidRDefault="00216508" w:rsidP="00216508">
      <w:pPr>
        <w:pStyle w:val="ListParagraph"/>
        <w:numPr>
          <w:ilvl w:val="0"/>
          <w:numId w:val="36"/>
        </w:numPr>
      </w:pPr>
      <w:r>
        <w:t>Within Coventry and Warwickshire work can be done to strengthen the pathways around the Stop Smoking in Pregnancy service</w:t>
      </w:r>
      <w:r w:rsidR="009174B0">
        <w:t xml:space="preserve"> (SSiPS)</w:t>
      </w:r>
      <w:r>
        <w:t xml:space="preserve">, especially to encourage pharmacists to redeem and dispense the letters of recommendation. The SSiPS is commissioned separately to the generic Stop Smoking service, more promotion can be done between these 2 services to increase the number of pharmacies able to dispense NRT products to pregnant women. </w:t>
      </w:r>
    </w:p>
    <w:p w14:paraId="22C693DD" w14:textId="77777777" w:rsidR="00216508" w:rsidRDefault="00216508" w:rsidP="00216508">
      <w:pPr>
        <w:pStyle w:val="ListParagraph"/>
        <w:numPr>
          <w:ilvl w:val="0"/>
          <w:numId w:val="36"/>
        </w:numPr>
      </w:pPr>
      <w:r w:rsidRPr="00494B68">
        <w:t>Local data shows that some Coventry residents are accessing</w:t>
      </w:r>
      <w:r>
        <w:t xml:space="preserve"> Emergency Hormornal Contraception</w:t>
      </w:r>
      <w:r w:rsidRPr="00494B68">
        <w:t xml:space="preserve"> </w:t>
      </w:r>
      <w:r>
        <w:t>(</w:t>
      </w:r>
      <w:r w:rsidRPr="00494B68">
        <w:t>EHC</w:t>
      </w:r>
      <w:r>
        <w:t>)</w:t>
      </w:r>
      <w:r w:rsidRPr="00494B68">
        <w:t xml:space="preserve"> in Warwickshire, this could be as Warwickshire doesn't have an upper age limit whereas Coventry does.  Bringing the Integrated Sexual Health contracts together to one contract will enable the current pharmacy offers to be aligned, this will help to reduce service user confusion as to what is offered where and to whom.</w:t>
      </w:r>
    </w:p>
    <w:p w14:paraId="27DDC646" w14:textId="2883BB70" w:rsidR="00B54B2B" w:rsidRDefault="00B54B2B" w:rsidP="00B54B2B">
      <w:pPr>
        <w:pStyle w:val="ListParagraph"/>
        <w:numPr>
          <w:ilvl w:val="0"/>
          <w:numId w:val="36"/>
        </w:numPr>
      </w:pPr>
      <w:r>
        <w:t xml:space="preserve">Pharmacies provide a convenient access to End of Life medicines throughout Coventry and Warwickshire. At present there is a limit to the number of pharmacies commissioners can commission to provide the End of Life medicines service. This is </w:t>
      </w:r>
      <w:r>
        <w:lastRenderedPageBreak/>
        <w:t xml:space="preserve">currently being reviewed, and a supplementary statement to this PNA will be produced if there is any change in this service.  </w:t>
      </w:r>
    </w:p>
    <w:p w14:paraId="3723408E" w14:textId="77777777" w:rsidR="00216508" w:rsidRDefault="00216508" w:rsidP="00216508">
      <w:pPr>
        <w:pStyle w:val="ListParagraph"/>
        <w:numPr>
          <w:ilvl w:val="0"/>
          <w:numId w:val="36"/>
        </w:numPr>
      </w:pPr>
      <w:r>
        <w:t>There are different sharps service collections in place which can be unclear to both the public and pharmacies, such as the service provided by PHS which also collects sharps. Because of this, the quantity of sharps collected by the locally commissioned service Sharps Disposal in Warwick District has been minimal. To help with this the following opportunities have been identified:</w:t>
      </w:r>
    </w:p>
    <w:p w14:paraId="5E70550F" w14:textId="77777777" w:rsidR="00216508" w:rsidRDefault="00216508" w:rsidP="00216508">
      <w:pPr>
        <w:pStyle w:val="ListParagraph"/>
        <w:numPr>
          <w:ilvl w:val="1"/>
          <w:numId w:val="36"/>
        </w:numPr>
      </w:pPr>
      <w:r>
        <w:t xml:space="preserve">Provide clarification on the different services to clear up confusion for pharmacies and patients, including over the size of sharps containers accepted with the different services. </w:t>
      </w:r>
    </w:p>
    <w:p w14:paraId="167C199C" w14:textId="77777777" w:rsidR="00216508" w:rsidRDefault="00216508" w:rsidP="00216508">
      <w:pPr>
        <w:pStyle w:val="ListParagraph"/>
        <w:numPr>
          <w:ilvl w:val="1"/>
          <w:numId w:val="36"/>
        </w:numPr>
      </w:pPr>
      <w:r>
        <w:t xml:space="preserve">Provide better communication between pharmacies who provide a sharps disposal service and GPs so better signposting can be done. </w:t>
      </w:r>
    </w:p>
    <w:p w14:paraId="22E8985F" w14:textId="0AFA75C7" w:rsidR="5D8FBA55" w:rsidRDefault="5D8FBA55" w:rsidP="518616D1">
      <w:pPr>
        <w:ind w:left="720"/>
        <w:rPr>
          <w:rFonts w:eastAsia="MS Mincho" w:cs="Arial"/>
          <w:szCs w:val="24"/>
        </w:rPr>
      </w:pPr>
      <w:r w:rsidRPr="0B453413">
        <w:rPr>
          <w:rFonts w:eastAsia="MS Mincho" w:cs="Arial"/>
          <w:szCs w:val="24"/>
        </w:rPr>
        <w:t>Additionally, consideration could be given to expanding the service to cover Coventry and Warwickshire to create equitable access.</w:t>
      </w:r>
    </w:p>
    <w:p w14:paraId="31EF447F" w14:textId="77777777" w:rsidR="00216508" w:rsidRPr="00E6514D" w:rsidRDefault="00216508" w:rsidP="4CD0F80F">
      <w:pPr>
        <w:rPr>
          <w:rFonts w:eastAsia="MS Mincho" w:cs="Arial"/>
          <w:szCs w:val="24"/>
        </w:rPr>
        <w:sectPr w:rsidR="00216508" w:rsidRPr="00E6514D" w:rsidSect="00F96554">
          <w:pgSz w:w="12240" w:h="15840"/>
          <w:pgMar w:top="1134" w:right="1134" w:bottom="1134" w:left="1134" w:header="708" w:footer="708" w:gutter="0"/>
          <w:cols w:space="708"/>
          <w:docGrid w:linePitch="360"/>
        </w:sectPr>
      </w:pPr>
    </w:p>
    <w:p w14:paraId="7A55D79A" w14:textId="079CE85B" w:rsidR="002950CB" w:rsidRDefault="00E504C6" w:rsidP="00DB0337">
      <w:pPr>
        <w:pStyle w:val="Heading1"/>
      </w:pPr>
      <w:bookmarkStart w:id="13" w:name="_Toc113628572"/>
      <w:r>
        <w:lastRenderedPageBreak/>
        <w:t>Introduction</w:t>
      </w:r>
      <w:bookmarkEnd w:id="10"/>
      <w:bookmarkEnd w:id="11"/>
      <w:bookmarkEnd w:id="12"/>
      <w:bookmarkEnd w:id="13"/>
    </w:p>
    <w:p w14:paraId="6C138300" w14:textId="4AC7B2F8" w:rsidR="0041369C" w:rsidRDefault="002950CB" w:rsidP="00DB0337">
      <w:pPr>
        <w:pStyle w:val="Heading2"/>
      </w:pPr>
      <w:bookmarkStart w:id="14" w:name="_Toc113628573"/>
      <w:r w:rsidRPr="00C91F65">
        <w:t>Purpose of the Pharmaceutical Needs Assessment (PNA)</w:t>
      </w:r>
      <w:bookmarkEnd w:id="14"/>
    </w:p>
    <w:p w14:paraId="3339A639" w14:textId="38D71769" w:rsidR="00996DBF" w:rsidRDefault="00DC6112" w:rsidP="0041369C">
      <w:pPr>
        <w:rPr>
          <w:szCs w:val="24"/>
        </w:rPr>
      </w:pPr>
      <w:r w:rsidRPr="00C91F65">
        <w:rPr>
          <w:szCs w:val="24"/>
        </w:rPr>
        <w:t xml:space="preserve">The purpose of the PNA is to assess local needs for pharmaceutical service provision across Coventry and Warwickshire. It should identify any gaps in service or unmet needs of the local population. It should also identify any services that pharmacies could provide to address these needs, and to promote Coventry and Warwickshire’s population to improve uptake of these services. It is a tool to enable Health and Wellbeing Boards (HWBs) to identify the current and future commissioning of services required from pharmaceutical service providers. </w:t>
      </w:r>
      <w:r w:rsidRPr="00C91F65">
        <w:rPr>
          <w:szCs w:val="24"/>
        </w:rPr>
        <w:br/>
      </w:r>
      <w:r w:rsidRPr="00C91F65">
        <w:rPr>
          <w:szCs w:val="24"/>
        </w:rPr>
        <w:br/>
        <w:t xml:space="preserve">Coventry City Council and Warwickshire City Council HWBs approached the development of the 2022 PNA as a collaborative project, with one report being produced for both areas. </w:t>
      </w:r>
      <w:r w:rsidR="00CC22E7">
        <w:rPr>
          <w:szCs w:val="24"/>
        </w:rPr>
        <w:t xml:space="preserve">This decision was taken due to the interconnectivity of health and care systems across Coventry and Warwickshire, </w:t>
      </w:r>
      <w:r w:rsidR="00840088">
        <w:rPr>
          <w:szCs w:val="24"/>
        </w:rPr>
        <w:t xml:space="preserve">the joint recommissioning of several services which </w:t>
      </w:r>
      <w:r w:rsidR="000A3959">
        <w:rPr>
          <w:szCs w:val="24"/>
        </w:rPr>
        <w:t>community pharmacies are involved in, and creating a consistency</w:t>
      </w:r>
      <w:r w:rsidR="000510F8">
        <w:rPr>
          <w:szCs w:val="24"/>
        </w:rPr>
        <w:t xml:space="preserve"> for a population who access services</w:t>
      </w:r>
      <w:r w:rsidR="000A3959">
        <w:rPr>
          <w:szCs w:val="24"/>
        </w:rPr>
        <w:t xml:space="preserve"> </w:t>
      </w:r>
      <w:r w:rsidR="003F42FA">
        <w:rPr>
          <w:szCs w:val="24"/>
        </w:rPr>
        <w:t>across both areas</w:t>
      </w:r>
      <w:r w:rsidR="00EF5F37">
        <w:rPr>
          <w:szCs w:val="24"/>
        </w:rPr>
        <w:t xml:space="preserve">. </w:t>
      </w:r>
    </w:p>
    <w:p w14:paraId="5668DA40" w14:textId="45AAB53E" w:rsidR="00D31CBC" w:rsidRDefault="00DC6112" w:rsidP="0041369C">
      <w:pPr>
        <w:rPr>
          <w:szCs w:val="24"/>
        </w:rPr>
      </w:pPr>
      <w:r w:rsidRPr="00C91F65">
        <w:rPr>
          <w:szCs w:val="24"/>
        </w:rPr>
        <w:t xml:space="preserve">The 2022 PNA replaces the 2018 </w:t>
      </w:r>
      <w:r w:rsidR="007F47D2">
        <w:rPr>
          <w:szCs w:val="24"/>
        </w:rPr>
        <w:t>PNA</w:t>
      </w:r>
      <w:r w:rsidRPr="00C91F65">
        <w:rPr>
          <w:szCs w:val="24"/>
        </w:rPr>
        <w:t xml:space="preserve"> for both Coventry and Warwickshire, which were done as separate</w:t>
      </w:r>
      <w:r w:rsidR="00D31CBC">
        <w:rPr>
          <w:szCs w:val="24"/>
        </w:rPr>
        <w:t xml:space="preserve"> reports.</w:t>
      </w:r>
    </w:p>
    <w:p w14:paraId="0CC74E63" w14:textId="77777777" w:rsidR="00D31CBC" w:rsidRDefault="00D31CBC" w:rsidP="0041369C">
      <w:pPr>
        <w:rPr>
          <w:szCs w:val="24"/>
        </w:rPr>
      </w:pPr>
    </w:p>
    <w:p w14:paraId="78536C3A" w14:textId="77777777" w:rsidR="00895F8A" w:rsidRDefault="00895F8A" w:rsidP="00DB0337">
      <w:pPr>
        <w:pStyle w:val="Heading2"/>
      </w:pPr>
      <w:bookmarkStart w:id="15" w:name="_Toc113628574"/>
      <w:r>
        <w:t>Background and Legislation</w:t>
      </w:r>
      <w:bookmarkEnd w:id="15"/>
    </w:p>
    <w:p w14:paraId="48219386" w14:textId="275E0A78" w:rsidR="00923C25" w:rsidRDefault="00923C25" w:rsidP="58C1A692">
      <w:pPr>
        <w:rPr>
          <w:szCs w:val="24"/>
        </w:rPr>
      </w:pPr>
      <w:r>
        <w:t xml:space="preserve">The responsibility for producing and updating PNAs was changed from Primary Care Trusts (PCTs) to Health and Wellbeing Boards by The Health and Social Care Act 2012. In 2013 this was followed by the NHS Pharmaceutical and Local Pharmaceutical Services Regulations introducing a statutory requirement on Health and Wellbeing Boards to publish and update a statement of needs for pharmaceutical services for their area. </w:t>
      </w:r>
      <w:r w:rsidR="58C1A692" w:rsidRPr="58C1A692">
        <w:rPr>
          <w:rFonts w:eastAsia="Arial" w:cs="Arial"/>
          <w:szCs w:val="24"/>
        </w:rPr>
        <w:t xml:space="preserve">Local Authorities (LA) and </w:t>
      </w:r>
      <w:r w:rsidR="008B6E77">
        <w:rPr>
          <w:rFonts w:eastAsia="Arial" w:cs="Arial"/>
          <w:szCs w:val="24"/>
        </w:rPr>
        <w:t>Integrated Care Boards</w:t>
      </w:r>
      <w:r w:rsidR="007F47D2">
        <w:rPr>
          <w:rFonts w:eastAsia="Arial" w:cs="Arial"/>
          <w:szCs w:val="24"/>
        </w:rPr>
        <w:t xml:space="preserve"> (</w:t>
      </w:r>
      <w:r w:rsidR="008B6E77">
        <w:rPr>
          <w:rFonts w:eastAsia="Arial" w:cs="Arial"/>
          <w:szCs w:val="24"/>
        </w:rPr>
        <w:t>ICBs</w:t>
      </w:r>
      <w:r w:rsidR="007F47D2">
        <w:rPr>
          <w:rFonts w:eastAsia="Arial" w:cs="Arial"/>
          <w:szCs w:val="24"/>
        </w:rPr>
        <w:t>)</w:t>
      </w:r>
      <w:r w:rsidR="58C1A692" w:rsidRPr="58C1A692">
        <w:rPr>
          <w:rFonts w:eastAsia="Arial" w:cs="Arial"/>
          <w:szCs w:val="24"/>
        </w:rPr>
        <w:t xml:space="preserve"> have equal and joint responsibility for producing the Joint Strategic Needs Assessment (JSNA), through the HWB.</w:t>
      </w:r>
    </w:p>
    <w:p w14:paraId="7C215DCA" w14:textId="6534BCB3" w:rsidR="00923C25" w:rsidRDefault="00923C25" w:rsidP="58C1A692">
      <w:pPr>
        <w:rPr>
          <w:szCs w:val="24"/>
        </w:rPr>
      </w:pPr>
      <w:r>
        <w:br/>
        <w:t xml:space="preserve">NHS England uses PNAs when assessing applications for opening new pharmacies, and to help make informed decisions on the commissioning of NHS funded services that are provided by local community pharmacies and other pharmaceutical providers. </w:t>
      </w:r>
      <w:r>
        <w:br/>
      </w:r>
      <w:r>
        <w:br/>
      </w:r>
      <w:r>
        <w:lastRenderedPageBreak/>
        <w:t>A PNA published by a Health and Wellbeing Board has a maximum lifetime of three years, after which a new PNA will need to be produced.</w:t>
      </w:r>
    </w:p>
    <w:p w14:paraId="340B961E" w14:textId="0829BDED" w:rsidR="00923C25" w:rsidRDefault="00923C25" w:rsidP="00DB0337">
      <w:pPr>
        <w:pStyle w:val="Heading2"/>
      </w:pPr>
      <w:bookmarkStart w:id="16" w:name="_Toc113628575"/>
      <w:r>
        <w:t xml:space="preserve">Health and Wellbeing Board </w:t>
      </w:r>
      <w:r w:rsidR="00E32057">
        <w:t>D</w:t>
      </w:r>
      <w:r>
        <w:t xml:space="preserve">uties in </w:t>
      </w:r>
      <w:r w:rsidR="00E32057">
        <w:t>R</w:t>
      </w:r>
      <w:r>
        <w:t>egard to pna</w:t>
      </w:r>
      <w:bookmarkEnd w:id="16"/>
    </w:p>
    <w:p w14:paraId="58F1F178" w14:textId="24737F77" w:rsidR="00895F8A" w:rsidRDefault="00974CD8" w:rsidP="00974CD8">
      <w:r>
        <w:t xml:space="preserve">Health and Wellbeing </w:t>
      </w:r>
      <w:r w:rsidR="00770BA0">
        <w:t>B</w:t>
      </w:r>
      <w:r>
        <w:t>oards work to improve health and wellbeing and reduce inequalities through partnership working and collaboration. Health and Wellbeing boards became statutory bodies on the 1</w:t>
      </w:r>
      <w:r w:rsidRPr="3777AFE0">
        <w:rPr>
          <w:vertAlign w:val="superscript"/>
        </w:rPr>
        <w:t>st of</w:t>
      </w:r>
      <w:r>
        <w:t xml:space="preserve"> April 2013 and every Local Authority has a Health and Wellbeing </w:t>
      </w:r>
      <w:r w:rsidR="008C210A">
        <w:t>B</w:t>
      </w:r>
      <w:r>
        <w:t xml:space="preserve">oard. </w:t>
      </w:r>
      <w:r>
        <w:br/>
      </w:r>
      <w:r>
        <w:br/>
        <w:t xml:space="preserve">A revised PNA needs to be published within three years of a Health and Wellbeing </w:t>
      </w:r>
      <w:r w:rsidR="008C210A">
        <w:t>B</w:t>
      </w:r>
      <w:r>
        <w:t>oard producing their first assessment. If significant changes take place to the availability of pharmaceutical services the board are required to publish a revised assessment as soon as reasonably practical, unless producing a revised assessment would be a disproportionate response to those changes. If producing a revised assessment is deemed to be a disproportionate response, a supplementary statement should be produced.</w:t>
      </w:r>
      <w:r w:rsidR="2FC407A9">
        <w:t xml:space="preserve"> The board will publish subsequent PNAs every three years to comply with regulatory requirements.</w:t>
      </w:r>
    </w:p>
    <w:p w14:paraId="4A278C61" w14:textId="77777777" w:rsidR="00974CD8" w:rsidRDefault="00974CD8" w:rsidP="00974CD8">
      <w:pPr>
        <w:rPr>
          <w:szCs w:val="24"/>
        </w:rPr>
      </w:pPr>
    </w:p>
    <w:p w14:paraId="3F664AE0" w14:textId="77777777" w:rsidR="00974CD8" w:rsidRDefault="00974CD8" w:rsidP="00DB0337">
      <w:pPr>
        <w:pStyle w:val="Heading2"/>
      </w:pPr>
      <w:bookmarkStart w:id="17" w:name="_Toc113628576"/>
      <w:r>
        <w:t>Scope of the PNA</w:t>
      </w:r>
      <w:bookmarkEnd w:id="17"/>
    </w:p>
    <w:p w14:paraId="42B7BB5D" w14:textId="1ADB9D6A" w:rsidR="00974CD8" w:rsidRDefault="000C2D05" w:rsidP="00974CD8">
      <w:pPr>
        <w:rPr>
          <w:szCs w:val="24"/>
        </w:rPr>
      </w:pPr>
      <w:r w:rsidRPr="00C91F65">
        <w:rPr>
          <w:szCs w:val="24"/>
        </w:rPr>
        <w:t>A PNA is defined as:</w:t>
      </w:r>
      <w:r w:rsidRPr="00C91F65">
        <w:rPr>
          <w:szCs w:val="24"/>
        </w:rPr>
        <w:br/>
      </w:r>
      <w:r w:rsidRPr="00C91F65">
        <w:rPr>
          <w:szCs w:val="24"/>
        </w:rPr>
        <w:br/>
        <w:t xml:space="preserve">“The statement of the needs for pharmaceutical services which each HWB is required to publish by the virtue of section 128A of the 2006 Act(1) (pharmaceutical needs assessments), whether it is the statement of its first assessment or of any revised assessment, is referred to in these Regulations as a pharmaceutical needs assessment.” - </w:t>
      </w:r>
      <w:hyperlink r:id="rId25" w:history="1">
        <w:r w:rsidRPr="00C91F65">
          <w:rPr>
            <w:rStyle w:val="Hyperlink"/>
            <w:szCs w:val="24"/>
          </w:rPr>
          <w:t>http://www.legislation.gov.uk/uksi/2013/349/part/2/made</w:t>
        </w:r>
      </w:hyperlink>
      <w:r w:rsidRPr="00C91F65">
        <w:rPr>
          <w:szCs w:val="24"/>
        </w:rPr>
        <w:t xml:space="preserve"> </w:t>
      </w:r>
      <w:r w:rsidRPr="00C91F65">
        <w:rPr>
          <w:szCs w:val="24"/>
        </w:rPr>
        <w:br/>
      </w:r>
      <w:r w:rsidRPr="00C91F65">
        <w:rPr>
          <w:szCs w:val="24"/>
        </w:rPr>
        <w:br/>
        <w:t xml:space="preserve">The PNA informs both professional bodies and the public about the need for pharmaceutical services, and will consider pharmaceutical services as all services delivered through pharmacies, dispensing doctors, or appliance contractors that are commissioned on a national or local basis in Coventry and Warwickshire.  </w:t>
      </w:r>
    </w:p>
    <w:p w14:paraId="6D4CAA22" w14:textId="77777777" w:rsidR="000C2D05" w:rsidRDefault="000C2D05" w:rsidP="00974CD8">
      <w:pPr>
        <w:rPr>
          <w:szCs w:val="24"/>
        </w:rPr>
      </w:pPr>
    </w:p>
    <w:p w14:paraId="06C2510F" w14:textId="77777777" w:rsidR="000C2D05" w:rsidRDefault="000C2D05" w:rsidP="00DB0337">
      <w:pPr>
        <w:pStyle w:val="Heading2"/>
      </w:pPr>
      <w:bookmarkStart w:id="18" w:name="_Toc113628577"/>
      <w:r>
        <w:lastRenderedPageBreak/>
        <w:t>Exclusions from the PNA</w:t>
      </w:r>
      <w:bookmarkEnd w:id="18"/>
    </w:p>
    <w:p w14:paraId="73086D80" w14:textId="09EF063A" w:rsidR="008A2F11" w:rsidRDefault="00FC0C28" w:rsidP="00FC0C28">
      <w:pPr>
        <w:spacing w:before="0" w:after="160" w:line="259" w:lineRule="auto"/>
        <w:rPr>
          <w:szCs w:val="24"/>
        </w:rPr>
      </w:pPr>
      <w:r w:rsidRPr="00FC0C28">
        <w:rPr>
          <w:szCs w:val="24"/>
        </w:rPr>
        <w:t xml:space="preserve">Pharmacy provisions in prisons or in secondary care settings such as hospitals will not be considered as part of the PNA. Whilst the PNA does not assess pharmaceutical services in secondary care settings, it is important to ensure the smooth transition of patients moving in and out of hospital that </w:t>
      </w:r>
      <w:r w:rsidR="00352EAE">
        <w:rPr>
          <w:szCs w:val="24"/>
        </w:rPr>
        <w:t>creates</w:t>
      </w:r>
      <w:r w:rsidRPr="00FC0C28">
        <w:rPr>
          <w:szCs w:val="24"/>
        </w:rPr>
        <w:t xml:space="preserve"> the seamless continuity of support around medicines. </w:t>
      </w:r>
      <w:r w:rsidRPr="00FC0C28">
        <w:rPr>
          <w:szCs w:val="24"/>
        </w:rPr>
        <w:br/>
      </w:r>
      <w:r w:rsidRPr="00FC0C28">
        <w:rPr>
          <w:szCs w:val="24"/>
        </w:rPr>
        <w:br/>
        <w:t xml:space="preserve">Distance selling of medicines and appliances that residents may use are not considered by the PNA. This is because they are available nationally and aren’t localised to a LA, </w:t>
      </w:r>
      <w:r w:rsidR="008B6E77">
        <w:rPr>
          <w:szCs w:val="24"/>
        </w:rPr>
        <w:t>ICB</w:t>
      </w:r>
      <w:r w:rsidRPr="00FC0C28">
        <w:rPr>
          <w:szCs w:val="24"/>
        </w:rPr>
        <w:t xml:space="preserve">, or NHS England area team. The service provision from these providers has therefore not informed the decision-making process in the PNA. </w:t>
      </w:r>
    </w:p>
    <w:p w14:paraId="021ACFCE" w14:textId="77777777" w:rsidR="0075123F" w:rsidRDefault="0075123F" w:rsidP="00FC0C28">
      <w:pPr>
        <w:spacing w:before="0" w:after="160" w:line="259" w:lineRule="auto"/>
        <w:rPr>
          <w:szCs w:val="24"/>
        </w:rPr>
      </w:pPr>
    </w:p>
    <w:p w14:paraId="4145A67D" w14:textId="6277FE0B" w:rsidR="00FC0C28" w:rsidRDefault="008A2F11" w:rsidP="00DB0337">
      <w:pPr>
        <w:pStyle w:val="Heading2"/>
      </w:pPr>
      <w:bookmarkStart w:id="19" w:name="_Toc113628578"/>
      <w:r>
        <w:t xml:space="preserve">Minimum </w:t>
      </w:r>
      <w:r w:rsidR="00E32057">
        <w:t>R</w:t>
      </w:r>
      <w:r>
        <w:t>equirements for a PNA</w:t>
      </w:r>
      <w:bookmarkEnd w:id="19"/>
    </w:p>
    <w:p w14:paraId="2D6F1DFE" w14:textId="313F924A" w:rsidR="00901ECF" w:rsidRDefault="00901ECF" w:rsidP="00FE256C">
      <w:pPr>
        <w:rPr>
          <w:szCs w:val="24"/>
        </w:rPr>
      </w:pPr>
      <w:r w:rsidRPr="00C91F65">
        <w:rPr>
          <w:szCs w:val="24"/>
        </w:rPr>
        <w:t>A statement of the following must be included as a minimum, as set out in schedule 1 of the NHS 2013 Regulations:</w:t>
      </w:r>
      <w:r w:rsidRPr="00C91F65">
        <w:rPr>
          <w:szCs w:val="24"/>
        </w:rPr>
        <w:br/>
      </w:r>
      <w:r w:rsidRPr="00C91F65">
        <w:rPr>
          <w:szCs w:val="24"/>
        </w:rPr>
        <w:br/>
      </w:r>
      <w:r w:rsidRPr="00C91F65">
        <w:rPr>
          <w:b/>
          <w:bCs/>
          <w:szCs w:val="24"/>
        </w:rPr>
        <w:t>Necessary services</w:t>
      </w:r>
      <w:r w:rsidRPr="00C91F65">
        <w:rPr>
          <w:szCs w:val="24"/>
        </w:rPr>
        <w:t xml:space="preserve"> – services which have been assessed as required to meet a pharmaceutical need. This should include both their current provision (inside the Health and Wellbeing board area and outside of their area within a range that may affect the provision within the area), and any gaps, either current or likely to occur in the future.</w:t>
      </w:r>
      <w:r w:rsidRPr="00C91F65">
        <w:rPr>
          <w:szCs w:val="24"/>
        </w:rPr>
        <w:br/>
      </w:r>
      <w:r w:rsidRPr="00C91F65">
        <w:rPr>
          <w:szCs w:val="24"/>
        </w:rPr>
        <w:br/>
      </w:r>
      <w:r w:rsidRPr="00C91F65">
        <w:rPr>
          <w:b/>
          <w:bCs/>
          <w:szCs w:val="24"/>
        </w:rPr>
        <w:t>Relevant services</w:t>
      </w:r>
      <w:r w:rsidRPr="00C91F65">
        <w:rPr>
          <w:szCs w:val="24"/>
        </w:rPr>
        <w:t xml:space="preserve"> – services that have created better access to pharmaceutical services. This should include both their current provision (inside the Health and Wellbeing board area and outside of their area within a range that may affect the provision within the area), and any gaps, either current or likely to occur in the future.</w:t>
      </w:r>
      <w:r w:rsidRPr="00C91F65">
        <w:rPr>
          <w:szCs w:val="24"/>
        </w:rPr>
        <w:br/>
      </w:r>
      <w:r w:rsidRPr="00C91F65">
        <w:rPr>
          <w:szCs w:val="24"/>
        </w:rPr>
        <w:br/>
      </w:r>
      <w:r w:rsidRPr="00C91F65">
        <w:rPr>
          <w:b/>
          <w:bCs/>
          <w:szCs w:val="24"/>
        </w:rPr>
        <w:t>Other NHS services</w:t>
      </w:r>
      <w:r w:rsidRPr="00C91F65">
        <w:rPr>
          <w:szCs w:val="24"/>
        </w:rPr>
        <w:t xml:space="preserve"> – Services that either impact the need for pharmaceutical services or create better access to pharmaceutical services within the area. These are provided or arranged by a LA, NHS England, a </w:t>
      </w:r>
      <w:r w:rsidR="008B6E77">
        <w:rPr>
          <w:szCs w:val="24"/>
        </w:rPr>
        <w:t>ICB</w:t>
      </w:r>
      <w:r w:rsidRPr="00C91F65">
        <w:rPr>
          <w:szCs w:val="24"/>
        </w:rPr>
        <w:t xml:space="preserve">, an NHS Trust or Foundation Trust. </w:t>
      </w:r>
      <w:r w:rsidRPr="00C91F65">
        <w:rPr>
          <w:szCs w:val="24"/>
        </w:rPr>
        <w:br/>
      </w:r>
      <w:r w:rsidRPr="00C91F65">
        <w:rPr>
          <w:szCs w:val="24"/>
        </w:rPr>
        <w:br/>
      </w:r>
      <w:r w:rsidRPr="00C91F65">
        <w:rPr>
          <w:b/>
          <w:bCs/>
          <w:szCs w:val="24"/>
        </w:rPr>
        <w:t>Map of pharmaceutical services</w:t>
      </w:r>
      <w:r w:rsidRPr="00C91F65">
        <w:rPr>
          <w:szCs w:val="24"/>
        </w:rPr>
        <w:t xml:space="preserve"> – a map showing the places where pharmaceutical services are provided and assess the implications of distance to these places.</w:t>
      </w:r>
      <w:r w:rsidRPr="00C91F65">
        <w:rPr>
          <w:szCs w:val="24"/>
        </w:rPr>
        <w:br/>
      </w:r>
      <w:r w:rsidRPr="00C91F65">
        <w:rPr>
          <w:szCs w:val="24"/>
        </w:rPr>
        <w:br/>
      </w:r>
      <w:r w:rsidRPr="00C91F65">
        <w:rPr>
          <w:b/>
          <w:bCs/>
          <w:szCs w:val="24"/>
        </w:rPr>
        <w:t>Explanation of assessment</w:t>
      </w:r>
      <w:r w:rsidRPr="00C91F65">
        <w:rPr>
          <w:szCs w:val="24"/>
        </w:rPr>
        <w:t xml:space="preserve"> – an explanation of how the assessment was made, including details of the public and pharmaceutical surveys that have been undertaken.</w:t>
      </w:r>
    </w:p>
    <w:p w14:paraId="4BA3AD40" w14:textId="77777777" w:rsidR="00901ECF" w:rsidRDefault="00901ECF">
      <w:pPr>
        <w:spacing w:before="200" w:after="200" w:line="276" w:lineRule="auto"/>
        <w:rPr>
          <w:szCs w:val="24"/>
        </w:rPr>
      </w:pPr>
      <w:r>
        <w:rPr>
          <w:szCs w:val="24"/>
        </w:rPr>
        <w:br w:type="page"/>
      </w:r>
    </w:p>
    <w:p w14:paraId="16C35017" w14:textId="5CA8190F" w:rsidR="007249A3" w:rsidRDefault="00901ECF" w:rsidP="00DB0337">
      <w:pPr>
        <w:pStyle w:val="Heading1"/>
      </w:pPr>
      <w:bookmarkStart w:id="20" w:name="_Toc113628579"/>
      <w:r>
        <w:lastRenderedPageBreak/>
        <w:t xml:space="preserve">Approach to </w:t>
      </w:r>
      <w:r w:rsidR="00C65FF5">
        <w:t>PNA</w:t>
      </w:r>
      <w:bookmarkEnd w:id="20"/>
    </w:p>
    <w:p w14:paraId="1961C1FD" w14:textId="08827B51" w:rsidR="00E65D78" w:rsidRDefault="00901ECF" w:rsidP="00DB0337">
      <w:pPr>
        <w:pStyle w:val="Heading2"/>
      </w:pPr>
      <w:bookmarkStart w:id="21" w:name="_Toc113628580"/>
      <w:bookmarkStart w:id="22" w:name="_Toc359931965"/>
      <w:bookmarkStart w:id="23" w:name="_Toc363033304"/>
      <w:r>
        <w:t>Determining Localities</w:t>
      </w:r>
      <w:bookmarkEnd w:id="21"/>
    </w:p>
    <w:p w14:paraId="39584E70" w14:textId="7C473B2E" w:rsidR="006A7DE5" w:rsidRDefault="00B0473B" w:rsidP="4B93F686">
      <w:pPr>
        <w:spacing w:before="200" w:after="200" w:line="276" w:lineRule="auto"/>
      </w:pPr>
      <w:r>
        <w:t>Warwickshire is a two-tier local authority and is made up of 5 district and borough areas</w:t>
      </w:r>
      <w:r w:rsidR="003E4647">
        <w:t xml:space="preserve"> with an area of 1975km</w:t>
      </w:r>
      <w:r w:rsidR="006449B6" w:rsidRPr="006449B6">
        <w:rPr>
          <w:vertAlign w:val="superscript"/>
        </w:rPr>
        <w:t>2</w:t>
      </w:r>
      <w:r>
        <w:t>, whereas Coventry is a single-tier authority</w:t>
      </w:r>
      <w:r w:rsidR="008739B5">
        <w:t xml:space="preserve"> with an area of 99km</w:t>
      </w:r>
      <w:r w:rsidR="008739B5">
        <w:rPr>
          <w:vertAlign w:val="superscript"/>
        </w:rPr>
        <w:t>2</w:t>
      </w:r>
      <w:r w:rsidR="00F578EC">
        <w:t xml:space="preserve">. The </w:t>
      </w:r>
      <w:r>
        <w:t>geographical size</w:t>
      </w:r>
      <w:r w:rsidR="00F578EC">
        <w:t xml:space="preserve"> of Coventry is</w:t>
      </w:r>
      <w:r>
        <w:t xml:space="preserve"> equivalent to one of the </w:t>
      </w:r>
      <w:r w:rsidR="009602B2">
        <w:t>district or boroughs within</w:t>
      </w:r>
      <w:r w:rsidR="00076D3A">
        <w:t xml:space="preserve"> Warwickshire</w:t>
      </w:r>
      <w:r>
        <w:t xml:space="preserve">. </w:t>
      </w:r>
      <w:r w:rsidR="00505876">
        <w:t xml:space="preserve">Coventry </w:t>
      </w:r>
      <w:r w:rsidR="005D7F63">
        <w:t xml:space="preserve">is a high density area with a population of approximately 3100 individuals per square kilometre. </w:t>
      </w:r>
      <w:r w:rsidR="00173EA3">
        <w:t>Warwickshire has pockets of high density population but also considerable rural areas,</w:t>
      </w:r>
      <w:r w:rsidR="00EC1599">
        <w:t xml:space="preserve"> with a population of approximately </w:t>
      </w:r>
      <w:r w:rsidR="008D08C1">
        <w:t xml:space="preserve">296 individuals per square kilometre. </w:t>
      </w:r>
    </w:p>
    <w:p w14:paraId="3C6D57A3" w14:textId="63F990B9" w:rsidR="00BB515F" w:rsidRDefault="00B0473B">
      <w:pPr>
        <w:spacing w:before="200" w:after="200" w:line="276" w:lineRule="auto"/>
      </w:pPr>
      <w:r>
        <w:t xml:space="preserve">Coventry will be considered as </w:t>
      </w:r>
      <w:r w:rsidR="00626EE0">
        <w:t>one</w:t>
      </w:r>
      <w:r>
        <w:t xml:space="preserve"> locality</w:t>
      </w:r>
      <w:r w:rsidR="00573542">
        <w:t xml:space="preserve"> and Warwickshire will </w:t>
      </w:r>
      <w:r w:rsidR="009604BF">
        <w:t xml:space="preserve">reflect </w:t>
      </w:r>
      <w:r w:rsidR="00275782">
        <w:t>it’s</w:t>
      </w:r>
      <w:r w:rsidR="009604BF">
        <w:t xml:space="preserve"> five district</w:t>
      </w:r>
      <w:r w:rsidR="00275782">
        <w:t>s</w:t>
      </w:r>
      <w:r w:rsidR="009604BF">
        <w:t xml:space="preserve"> and boroughs.</w:t>
      </w:r>
      <w:r w:rsidR="00076D3A">
        <w:t xml:space="preserve"> These localities are used for many of the Local Authority and Health and Wellbeing Board resources and documents, and so creates logical cross referencing with the PNA. They also correlate with the new JSNA Geographies that were approved by the JSNA Strategic Group in June 2017. </w:t>
      </w:r>
      <w:r w:rsidR="00076D3A">
        <w:br/>
      </w:r>
      <w:r w:rsidR="00076D3A">
        <w:br/>
        <w:t>The localities are therefore defined as</w:t>
      </w:r>
      <w:r w:rsidR="00EC5B9E">
        <w:t xml:space="preserve"> (Figure </w:t>
      </w:r>
      <w:r w:rsidR="002831CF">
        <w:t>1</w:t>
      </w:r>
      <w:r w:rsidR="00EC5B9E">
        <w:t>)</w:t>
      </w:r>
      <w:r w:rsidR="00076D3A">
        <w:t>:</w:t>
      </w:r>
    </w:p>
    <w:p w14:paraId="3F2307B8" w14:textId="77777777" w:rsidR="00BB515F" w:rsidRDefault="00076D3A" w:rsidP="00BB515F">
      <w:pPr>
        <w:pStyle w:val="ListParagraph"/>
        <w:numPr>
          <w:ilvl w:val="0"/>
          <w:numId w:val="74"/>
        </w:numPr>
        <w:spacing w:before="200" w:line="276" w:lineRule="auto"/>
      </w:pPr>
      <w:r>
        <w:t xml:space="preserve">Coventry </w:t>
      </w:r>
    </w:p>
    <w:p w14:paraId="68DD772C" w14:textId="77777777" w:rsidR="00BB515F" w:rsidRDefault="00076D3A" w:rsidP="00BB515F">
      <w:pPr>
        <w:pStyle w:val="ListParagraph"/>
        <w:numPr>
          <w:ilvl w:val="0"/>
          <w:numId w:val="74"/>
        </w:numPr>
        <w:spacing w:before="200" w:line="276" w:lineRule="auto"/>
      </w:pPr>
      <w:r>
        <w:t>North Warwickshire Borough</w:t>
      </w:r>
    </w:p>
    <w:p w14:paraId="30627B09" w14:textId="77777777" w:rsidR="00BB515F" w:rsidRDefault="00076D3A" w:rsidP="00BB515F">
      <w:pPr>
        <w:pStyle w:val="ListParagraph"/>
        <w:numPr>
          <w:ilvl w:val="0"/>
          <w:numId w:val="74"/>
        </w:numPr>
        <w:spacing w:before="200" w:line="276" w:lineRule="auto"/>
      </w:pPr>
      <w:r>
        <w:t>Nuneaton &amp; Bedworth Borough</w:t>
      </w:r>
    </w:p>
    <w:p w14:paraId="5BFF5F37" w14:textId="77777777" w:rsidR="00BB515F" w:rsidRDefault="00076D3A" w:rsidP="00BB515F">
      <w:pPr>
        <w:pStyle w:val="ListParagraph"/>
        <w:numPr>
          <w:ilvl w:val="0"/>
          <w:numId w:val="74"/>
        </w:numPr>
        <w:spacing w:before="200" w:line="276" w:lineRule="auto"/>
      </w:pPr>
      <w:r>
        <w:t>Rugby Borough</w:t>
      </w:r>
    </w:p>
    <w:p w14:paraId="2D8F0D2F" w14:textId="77777777" w:rsidR="00BB515F" w:rsidRDefault="00076D3A" w:rsidP="00BB515F">
      <w:pPr>
        <w:pStyle w:val="ListParagraph"/>
        <w:numPr>
          <w:ilvl w:val="0"/>
          <w:numId w:val="74"/>
        </w:numPr>
        <w:spacing w:before="200" w:line="276" w:lineRule="auto"/>
      </w:pPr>
      <w:r>
        <w:t>Stratford-on-Avon District</w:t>
      </w:r>
    </w:p>
    <w:p w14:paraId="0C18813D" w14:textId="114C0CAD" w:rsidR="00600C97" w:rsidRDefault="00076D3A" w:rsidP="00BB515F">
      <w:pPr>
        <w:pStyle w:val="ListParagraph"/>
        <w:numPr>
          <w:ilvl w:val="0"/>
          <w:numId w:val="74"/>
        </w:numPr>
        <w:spacing w:before="200" w:line="276" w:lineRule="auto"/>
      </w:pPr>
      <w:r>
        <w:t xml:space="preserve">Warwick District </w:t>
      </w:r>
    </w:p>
    <w:p w14:paraId="5A0E983C" w14:textId="6825C58C" w:rsidR="007A3CED" w:rsidRDefault="00076D3A">
      <w:pPr>
        <w:spacing w:before="200" w:after="200" w:line="276" w:lineRule="auto"/>
      </w:pPr>
      <w:r>
        <w:lastRenderedPageBreak/>
        <w:br/>
      </w:r>
      <w:r w:rsidR="007F7146">
        <w:rPr>
          <w:noProof/>
        </w:rPr>
        <w:drawing>
          <wp:inline distT="0" distB="0" distL="0" distR="0" wp14:anchorId="541AB2C4" wp14:editId="5B8B914C">
            <wp:extent cx="5551518" cy="7848600"/>
            <wp:effectExtent l="0" t="0" r="0" b="0"/>
            <wp:docPr id="292678446" name="Picture 29267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62172" cy="7863662"/>
                    </a:xfrm>
                    <a:prstGeom prst="rect">
                      <a:avLst/>
                    </a:prstGeom>
                    <a:noFill/>
                    <a:ln>
                      <a:noFill/>
                    </a:ln>
                  </pic:spPr>
                </pic:pic>
              </a:graphicData>
            </a:graphic>
          </wp:inline>
        </w:drawing>
      </w:r>
    </w:p>
    <w:p w14:paraId="569BF67B" w14:textId="021FE2FB" w:rsidR="00600C97" w:rsidRDefault="00600C97" w:rsidP="00600C97">
      <w:pPr>
        <w:pStyle w:val="Caption"/>
      </w:pPr>
      <w:r>
        <w:t xml:space="preserve">Figure </w:t>
      </w:r>
      <w:r>
        <w:fldChar w:fldCharType="begin"/>
      </w:r>
      <w:r>
        <w:instrText>SEQ Figure \* ARABIC</w:instrText>
      </w:r>
      <w:r>
        <w:fldChar w:fldCharType="separate"/>
      </w:r>
      <w:r w:rsidR="006553F7">
        <w:rPr>
          <w:noProof/>
        </w:rPr>
        <w:t>1</w:t>
      </w:r>
      <w:r>
        <w:fldChar w:fldCharType="end"/>
      </w:r>
      <w:r w:rsidR="004D69D3">
        <w:t>:</w:t>
      </w:r>
      <w:r>
        <w:t xml:space="preserve"> Map of localities</w:t>
      </w:r>
    </w:p>
    <w:p w14:paraId="58B74245" w14:textId="23037493" w:rsidR="00F01E2A" w:rsidRDefault="00076D3A">
      <w:pPr>
        <w:spacing w:before="200" w:after="200" w:line="276" w:lineRule="auto"/>
      </w:pPr>
      <w:r>
        <w:lastRenderedPageBreak/>
        <w:br/>
      </w:r>
      <w:r w:rsidR="008B4EBB" w:rsidRPr="0058686D">
        <w:t>For the purpose of this PNA</w:t>
      </w:r>
      <w:r w:rsidR="00413673" w:rsidRPr="0058686D">
        <w:t xml:space="preserve">, LSOA’s have been chosen as the unit of geography to capture more granular differences in needs and services. LSOA’s are ideal for the PNA as they are small enough to distinguish different </w:t>
      </w:r>
      <w:r w:rsidR="0058686D" w:rsidRPr="0058686D">
        <w:t>characteristics</w:t>
      </w:r>
      <w:r w:rsidR="00413673" w:rsidRPr="0058686D">
        <w:t xml:space="preserve"> of areas within the localities of Coventry and Warwickshire, and large enough for statistical information to be meaningful.</w:t>
      </w:r>
      <w:r w:rsidR="00413673">
        <w:t xml:space="preserve"> </w:t>
      </w:r>
    </w:p>
    <w:p w14:paraId="219B16F4" w14:textId="4D9E63BA" w:rsidR="00FF2029" w:rsidRDefault="00FF2029">
      <w:pPr>
        <w:spacing w:before="200" w:after="200" w:line="276" w:lineRule="auto"/>
      </w:pPr>
      <w:r>
        <w:t xml:space="preserve">Figure </w:t>
      </w:r>
      <w:r w:rsidR="00BB515F">
        <w:t>2</w:t>
      </w:r>
      <w:r>
        <w:t xml:space="preserve"> shows the LSOA’s within Coventry:</w:t>
      </w:r>
    </w:p>
    <w:p w14:paraId="7A2190FF" w14:textId="36A786A9" w:rsidR="00FF2029" w:rsidRDefault="00E50EEA">
      <w:pPr>
        <w:spacing w:before="200" w:after="200" w:line="276" w:lineRule="auto"/>
      </w:pPr>
      <w:r>
        <w:rPr>
          <w:noProof/>
          <w:highlight w:val="yellow"/>
        </w:rPr>
        <w:drawing>
          <wp:inline distT="0" distB="0" distL="0" distR="0" wp14:anchorId="3385D703" wp14:editId="031E2614">
            <wp:extent cx="6329680" cy="50234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29680" cy="5023485"/>
                    </a:xfrm>
                    <a:prstGeom prst="rect">
                      <a:avLst/>
                    </a:prstGeom>
                    <a:noFill/>
                    <a:ln>
                      <a:noFill/>
                    </a:ln>
                  </pic:spPr>
                </pic:pic>
              </a:graphicData>
            </a:graphic>
          </wp:inline>
        </w:drawing>
      </w:r>
    </w:p>
    <w:p w14:paraId="796FE649" w14:textId="6DD839B1" w:rsidR="00BB515F" w:rsidRPr="00BB515F" w:rsidRDefault="00BB515F" w:rsidP="00BB515F">
      <w:pPr>
        <w:pStyle w:val="Caption"/>
      </w:pPr>
      <w:r>
        <w:t xml:space="preserve">Figure </w:t>
      </w:r>
      <w:r>
        <w:fldChar w:fldCharType="begin"/>
      </w:r>
      <w:r>
        <w:instrText>SEQ Figure \* ARABIC</w:instrText>
      </w:r>
      <w:r>
        <w:fldChar w:fldCharType="separate"/>
      </w:r>
      <w:r w:rsidR="006553F7">
        <w:rPr>
          <w:noProof/>
        </w:rPr>
        <w:t>2</w:t>
      </w:r>
      <w:r>
        <w:fldChar w:fldCharType="end"/>
      </w:r>
      <w:r w:rsidR="004D69D3">
        <w:t>:</w:t>
      </w:r>
      <w:r>
        <w:t xml:space="preserve"> Map of LSOA’s within Coventry</w:t>
      </w:r>
      <w:r>
        <w:br/>
        <w:t>Source</w:t>
      </w:r>
      <w:r w:rsidR="004D69D3">
        <w:t>:</w:t>
      </w:r>
      <w:r>
        <w:t xml:space="preserve"> SHAPE</w:t>
      </w:r>
    </w:p>
    <w:p w14:paraId="3470C7BD" w14:textId="18D34DFC" w:rsidR="006109F0" w:rsidRDefault="006109F0">
      <w:pPr>
        <w:spacing w:before="200" w:after="200" w:line="276" w:lineRule="auto"/>
      </w:pPr>
      <w:r>
        <w:t xml:space="preserve">Figure </w:t>
      </w:r>
      <w:r w:rsidR="00BB515F">
        <w:t>3</w:t>
      </w:r>
      <w:r>
        <w:t xml:space="preserve"> shows the LSOA’s within Warwickshire:</w:t>
      </w:r>
    </w:p>
    <w:p w14:paraId="046F0456" w14:textId="20FCA7E7" w:rsidR="006109F0" w:rsidRDefault="00D160E1">
      <w:pPr>
        <w:spacing w:before="200" w:after="200" w:line="276" w:lineRule="auto"/>
      </w:pPr>
      <w:r>
        <w:rPr>
          <w:noProof/>
          <w:highlight w:val="yellow"/>
        </w:rPr>
        <w:lastRenderedPageBreak/>
        <w:drawing>
          <wp:inline distT="0" distB="0" distL="0" distR="0" wp14:anchorId="530BFBC9" wp14:editId="622ADA11">
            <wp:extent cx="5569585" cy="77127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9585" cy="7712710"/>
                    </a:xfrm>
                    <a:prstGeom prst="rect">
                      <a:avLst/>
                    </a:prstGeom>
                    <a:noFill/>
                    <a:ln>
                      <a:noFill/>
                    </a:ln>
                  </pic:spPr>
                </pic:pic>
              </a:graphicData>
            </a:graphic>
          </wp:inline>
        </w:drawing>
      </w:r>
    </w:p>
    <w:p w14:paraId="44E9DA1F" w14:textId="37D6BC48" w:rsidR="00BB515F" w:rsidRDefault="00BB515F" w:rsidP="00BB515F">
      <w:pPr>
        <w:pStyle w:val="Caption"/>
      </w:pPr>
      <w:r>
        <w:t xml:space="preserve">Figure </w:t>
      </w:r>
      <w:r>
        <w:fldChar w:fldCharType="begin"/>
      </w:r>
      <w:r>
        <w:instrText>SEQ Figure \* ARABIC</w:instrText>
      </w:r>
      <w:r>
        <w:fldChar w:fldCharType="separate"/>
      </w:r>
      <w:r w:rsidR="006553F7">
        <w:rPr>
          <w:noProof/>
        </w:rPr>
        <w:t>3</w:t>
      </w:r>
      <w:r>
        <w:fldChar w:fldCharType="end"/>
      </w:r>
      <w:r w:rsidR="004D69D3">
        <w:t>:</w:t>
      </w:r>
      <w:r>
        <w:t xml:space="preserve"> Map of LSOA’s in Warwickshire</w:t>
      </w:r>
      <w:r>
        <w:br/>
        <w:t>Source</w:t>
      </w:r>
      <w:r w:rsidR="004D69D3">
        <w:t>:</w:t>
      </w:r>
      <w:r>
        <w:t xml:space="preserve"> SHAPE</w:t>
      </w:r>
    </w:p>
    <w:p w14:paraId="0DED77AE" w14:textId="6465060A" w:rsidR="005273D2" w:rsidRDefault="00DB0337" w:rsidP="005273D2">
      <w:pPr>
        <w:pStyle w:val="Heading2"/>
      </w:pPr>
      <w:bookmarkStart w:id="24" w:name="_Toc113628581"/>
      <w:r>
        <w:lastRenderedPageBreak/>
        <w:t xml:space="preserve">PNA Steering </w:t>
      </w:r>
      <w:r w:rsidR="00C65FF5">
        <w:t>Group</w:t>
      </w:r>
      <w:bookmarkEnd w:id="24"/>
      <w:r w:rsidR="005273D2">
        <w:t xml:space="preserve"> </w:t>
      </w:r>
    </w:p>
    <w:p w14:paraId="3C58B53A" w14:textId="55CBBA05" w:rsidR="00DE11A2" w:rsidRDefault="00DE11A2" w:rsidP="5137F99D">
      <w:r>
        <w:t>The Health and Wellbeing Boards of Coventry and Warwickshire are approaching the development of the PNA as a collaborative project</w:t>
      </w:r>
      <w:r w:rsidR="001017DC">
        <w:t>, with one report being produced to cover both Local Authorities</w:t>
      </w:r>
      <w:r w:rsidR="00D0054D">
        <w:t>, in accordance with the regulations.</w:t>
      </w:r>
    </w:p>
    <w:p w14:paraId="5939622D" w14:textId="65271FB6" w:rsidR="00D0054D" w:rsidRDefault="00D0054D" w:rsidP="5137F99D">
      <w:r>
        <w:t>The development of the PNA is being overseen by one multi-disciplinary steering group which include</w:t>
      </w:r>
      <w:r w:rsidR="00B33BB5">
        <w:t>s</w:t>
      </w:r>
      <w:r>
        <w:t xml:space="preserve"> representation from organisations for both the Coventry and Warwickshire areas such as the Warwickshire Local Pharmaceutical Committee (LPC), Coventry LPC, Healthwatch and local </w:t>
      </w:r>
      <w:r w:rsidR="008365C6">
        <w:t>ICBs</w:t>
      </w:r>
      <w:r>
        <w:t>. The steering group has the following responsibilities:</w:t>
      </w:r>
    </w:p>
    <w:p w14:paraId="7FA59FE6" w14:textId="79D0D7F2" w:rsidR="00D0054D" w:rsidRDefault="004E53A0" w:rsidP="008D3B10">
      <w:pPr>
        <w:pStyle w:val="ListParagraph"/>
        <w:numPr>
          <w:ilvl w:val="0"/>
          <w:numId w:val="10"/>
        </w:numPr>
      </w:pPr>
      <w:r>
        <w:t xml:space="preserve">Reviewing the PNA to ensure it meets the statutory requirements. </w:t>
      </w:r>
    </w:p>
    <w:p w14:paraId="09892AA7" w14:textId="757FA1D5" w:rsidR="004E53A0" w:rsidRDefault="004E53A0" w:rsidP="008D3B10">
      <w:pPr>
        <w:pStyle w:val="ListParagraph"/>
        <w:numPr>
          <w:ilvl w:val="0"/>
          <w:numId w:val="10"/>
        </w:numPr>
      </w:pPr>
      <w:r>
        <w:t>Approving all public facing documentation.</w:t>
      </w:r>
    </w:p>
    <w:p w14:paraId="4093E06D" w14:textId="1A75840D" w:rsidR="004E53A0" w:rsidRDefault="004E53A0" w:rsidP="008D3B10">
      <w:pPr>
        <w:pStyle w:val="ListParagraph"/>
        <w:numPr>
          <w:ilvl w:val="0"/>
          <w:numId w:val="10"/>
        </w:numPr>
      </w:pPr>
      <w:r>
        <w:t>Providing advice on the best method to integrate/align the PNA to the Joint Strategic Needs Assessment (JSNA).</w:t>
      </w:r>
    </w:p>
    <w:p w14:paraId="24BFDA4A" w14:textId="393A8CB7" w:rsidR="004E53A0" w:rsidRDefault="004E53A0" w:rsidP="008D3B10">
      <w:pPr>
        <w:pStyle w:val="ListParagraph"/>
        <w:numPr>
          <w:ilvl w:val="0"/>
          <w:numId w:val="10"/>
        </w:numPr>
      </w:pPr>
      <w:r>
        <w:t xml:space="preserve">Providing </w:t>
      </w:r>
      <w:r w:rsidR="00C23873">
        <w:t>advice and information to the Health and Wellbeing Boards about community pharmacies in the area.</w:t>
      </w:r>
    </w:p>
    <w:p w14:paraId="0C5BF907" w14:textId="44B0C522" w:rsidR="00C23873" w:rsidRDefault="00C23873" w:rsidP="008D3B10">
      <w:pPr>
        <w:pStyle w:val="ListParagraph"/>
        <w:numPr>
          <w:ilvl w:val="0"/>
          <w:numId w:val="10"/>
        </w:numPr>
      </w:pPr>
      <w:r>
        <w:t xml:space="preserve">Providing advice and information to the Health and Wellbeing Boards about the potentials of community pharmacy to address health inequalities as addressed by the JSNA. </w:t>
      </w:r>
    </w:p>
    <w:p w14:paraId="07A68A9F" w14:textId="00069109" w:rsidR="00C23873" w:rsidRDefault="00C23873" w:rsidP="008D3B10">
      <w:pPr>
        <w:pStyle w:val="ListParagraph"/>
        <w:numPr>
          <w:ilvl w:val="0"/>
          <w:numId w:val="10"/>
        </w:numPr>
      </w:pPr>
      <w:r>
        <w:t>Providing leadership in developing a single robust PNA across Coventry and Warwickshire.</w:t>
      </w:r>
    </w:p>
    <w:p w14:paraId="120448C7" w14:textId="214FD285" w:rsidR="00C23873" w:rsidRDefault="00C23873" w:rsidP="008D3B10">
      <w:pPr>
        <w:pStyle w:val="ListParagraph"/>
        <w:numPr>
          <w:ilvl w:val="0"/>
          <w:numId w:val="10"/>
        </w:numPr>
      </w:pPr>
      <w:r>
        <w:t xml:space="preserve">Ensuring the engagement and involvement of relevant people/bodies in the development of the PNA. </w:t>
      </w:r>
    </w:p>
    <w:p w14:paraId="050940E0" w14:textId="4A802B48" w:rsidR="00BA215C" w:rsidRDefault="4F841A46" w:rsidP="00BA215C">
      <w:pPr>
        <w:pStyle w:val="Heading2"/>
      </w:pPr>
      <w:bookmarkStart w:id="25" w:name="_Toc113628582"/>
      <w:r>
        <w:t xml:space="preserve">How the </w:t>
      </w:r>
      <w:r w:rsidR="003B6633">
        <w:t>A</w:t>
      </w:r>
      <w:r>
        <w:t xml:space="preserve">ssessment </w:t>
      </w:r>
      <w:r w:rsidR="003B6633">
        <w:t>W</w:t>
      </w:r>
      <w:r>
        <w:t xml:space="preserve">as </w:t>
      </w:r>
      <w:r w:rsidR="003B6633">
        <w:t>D</w:t>
      </w:r>
      <w:r>
        <w:t>one</w:t>
      </w:r>
      <w:bookmarkEnd w:id="25"/>
    </w:p>
    <w:p w14:paraId="08C47E8E" w14:textId="1550D26C" w:rsidR="3160724D" w:rsidRDefault="01218FF9" w:rsidP="01218FF9">
      <w:pPr>
        <w:rPr>
          <w:rFonts w:eastAsia="MS Mincho" w:cs="Arial"/>
        </w:rPr>
      </w:pPr>
      <w:r w:rsidRPr="01218FF9">
        <w:rPr>
          <w:rFonts w:eastAsia="Arial" w:cs="Arial"/>
          <w:szCs w:val="24"/>
        </w:rPr>
        <w:t xml:space="preserve">Pharmaceutical Needs Assessments were due to be renewed and published by </w:t>
      </w:r>
      <w:r w:rsidR="50DF65AC" w:rsidRPr="4F53E199">
        <w:rPr>
          <w:rFonts w:eastAsia="Arial" w:cs="Arial"/>
        </w:rPr>
        <w:t>Local Authority</w:t>
      </w:r>
      <w:r w:rsidRPr="01218FF9">
        <w:rPr>
          <w:rFonts w:eastAsia="Arial" w:cs="Arial"/>
          <w:szCs w:val="24"/>
        </w:rPr>
        <w:t xml:space="preserve"> </w:t>
      </w:r>
      <w:r w:rsidR="50DF65AC" w:rsidRPr="35BE4965">
        <w:rPr>
          <w:rFonts w:eastAsia="Arial" w:cs="Arial"/>
        </w:rPr>
        <w:t>Health</w:t>
      </w:r>
      <w:r w:rsidRPr="01218FF9">
        <w:rPr>
          <w:rFonts w:eastAsia="Arial" w:cs="Arial"/>
          <w:szCs w:val="24"/>
        </w:rPr>
        <w:t xml:space="preserve"> and </w:t>
      </w:r>
      <w:r w:rsidR="50DF65AC" w:rsidRPr="35BE4965">
        <w:rPr>
          <w:rFonts w:eastAsia="Arial" w:cs="Arial"/>
        </w:rPr>
        <w:t>Wellbeing Boards</w:t>
      </w:r>
      <w:r w:rsidRPr="01218FF9">
        <w:rPr>
          <w:rFonts w:eastAsia="Arial" w:cs="Arial"/>
          <w:szCs w:val="24"/>
        </w:rPr>
        <w:t xml:space="preserve"> in April 2021. Due to the pressures in response to the COVID-19 pandemic, the Department of Health and Social Care announced that the requirement to publish renewed Pharmaceutical Need Assessments was suspended until October 2022. </w:t>
      </w:r>
    </w:p>
    <w:p w14:paraId="15F14425" w14:textId="2A3F31F3" w:rsidR="00860E04" w:rsidRDefault="00860E04" w:rsidP="00BA215C">
      <w:r>
        <w:t xml:space="preserve">The process of developing the PNA has taken into account the requirement to involve and consult with patients and professionals about changes to health services. All specific legislative requirements in relation to the development of PNAs were duly considered and adhered to. </w:t>
      </w:r>
    </w:p>
    <w:p w14:paraId="3F3909EB" w14:textId="2A3F31F3" w:rsidR="00860E04" w:rsidRPr="003E2A15" w:rsidRDefault="00860E04" w:rsidP="00BA215C">
      <w:pPr>
        <w:rPr>
          <w:b/>
          <w:bCs/>
        </w:rPr>
      </w:pPr>
      <w:r w:rsidRPr="003E2A15">
        <w:rPr>
          <w:b/>
          <w:bCs/>
        </w:rPr>
        <w:t xml:space="preserve">Stage 1 </w:t>
      </w:r>
    </w:p>
    <w:p w14:paraId="138132AC" w14:textId="4C3601A0" w:rsidR="00860E04" w:rsidRDefault="00860E04" w:rsidP="00BA215C">
      <w:r>
        <w:lastRenderedPageBreak/>
        <w:t xml:space="preserve">A project management approach was used to develop the PNA and so a steering group was established which met regularly during the development of the PNA. </w:t>
      </w:r>
      <w:r w:rsidR="001127A5">
        <w:t>The views of stakeholders</w:t>
      </w:r>
      <w:r>
        <w:t xml:space="preserve"> were gathered through feedback in meetings, via telephone or feedback online via email. </w:t>
      </w:r>
    </w:p>
    <w:p w14:paraId="310588D0" w14:textId="2A3F31F3" w:rsidR="00860E04" w:rsidRPr="003E2A15" w:rsidRDefault="00860E04" w:rsidP="00BA215C">
      <w:pPr>
        <w:rPr>
          <w:b/>
          <w:bCs/>
        </w:rPr>
      </w:pPr>
      <w:r w:rsidRPr="003E2A15">
        <w:rPr>
          <w:b/>
          <w:bCs/>
        </w:rPr>
        <w:t xml:space="preserve">Stage 2 </w:t>
      </w:r>
    </w:p>
    <w:p w14:paraId="0BEE6D3C" w14:textId="58ACE401" w:rsidR="00860E04" w:rsidRDefault="00860E04" w:rsidP="00BA215C">
      <w:r>
        <w:t xml:space="preserve">A pharmacy survey and a public survey were developed to capture the views of Coventry and Warwickshire residents on the current pharmaceutical services provision available in Coventry and Warwickshire. The content of the surveys </w:t>
      </w:r>
      <w:r w:rsidR="00505808">
        <w:t>was</w:t>
      </w:r>
      <w:r>
        <w:t xml:space="preserve"> then approved by the steering group. The surveys were undertaken in Feb/March 2022. Following the closure of the surveys the responses were analysed. </w:t>
      </w:r>
    </w:p>
    <w:p w14:paraId="6144789A" w14:textId="6D2EE52C" w:rsidR="00860E04" w:rsidRPr="003E2A15" w:rsidRDefault="00860E04" w:rsidP="00BA215C">
      <w:r w:rsidRPr="003E2A15">
        <w:rPr>
          <w:b/>
          <w:bCs/>
        </w:rPr>
        <w:t xml:space="preserve">Stage 3 </w:t>
      </w:r>
    </w:p>
    <w:p w14:paraId="389C5A24" w14:textId="2B606B2F" w:rsidR="00867587" w:rsidRDefault="00860E04" w:rsidP="00BA215C">
      <w:r>
        <w:t xml:space="preserve">Following the initial data collection period, results were collated and analysed in April/May 2022 and a summary of current provisions and the gaps in provision of pharmaceutical services was identified and fed back into the draft report. The content of the PNA including demographics, localities and background information was approved by the steering group. </w:t>
      </w:r>
    </w:p>
    <w:p w14:paraId="2D1F5A35" w14:textId="5098486A" w:rsidR="00867587" w:rsidRDefault="00860E04" w:rsidP="00BA215C">
      <w:r>
        <w:t xml:space="preserve">In addition to taking account of all views submitted from the stakeholders outlined above, this PNA considered </w:t>
      </w:r>
      <w:r w:rsidR="0042514D">
        <w:t>several</w:t>
      </w:r>
      <w:r>
        <w:t xml:space="preserve"> factors, including: </w:t>
      </w:r>
    </w:p>
    <w:p w14:paraId="2126F2F1" w14:textId="714C353A" w:rsidR="00867587" w:rsidRDefault="00860E04" w:rsidP="008D3B10">
      <w:pPr>
        <w:pStyle w:val="ListParagraph"/>
        <w:numPr>
          <w:ilvl w:val="0"/>
          <w:numId w:val="30"/>
        </w:numPr>
      </w:pPr>
      <w:r>
        <w:t xml:space="preserve">The size and demography of the population across Coventry and Warwickshire </w:t>
      </w:r>
    </w:p>
    <w:p w14:paraId="736CB014" w14:textId="7DECAA77" w:rsidR="00867587" w:rsidRDefault="00860E04" w:rsidP="008D3B10">
      <w:pPr>
        <w:pStyle w:val="ListParagraph"/>
        <w:numPr>
          <w:ilvl w:val="0"/>
          <w:numId w:val="30"/>
        </w:numPr>
        <w:rPr>
          <w:rFonts w:asciiTheme="minorHAnsi" w:eastAsiaTheme="minorEastAsia" w:hAnsiTheme="minorHAnsi"/>
          <w:szCs w:val="24"/>
        </w:rPr>
      </w:pPr>
      <w:r>
        <w:t xml:space="preserve">Adequacy of access to pharmaceutical services across Coventry and Warwickshire </w:t>
      </w:r>
    </w:p>
    <w:p w14:paraId="40F497DA" w14:textId="4E720D0A" w:rsidR="00867587" w:rsidRDefault="00860E04" w:rsidP="008D3B10">
      <w:pPr>
        <w:pStyle w:val="ListParagraph"/>
        <w:numPr>
          <w:ilvl w:val="0"/>
          <w:numId w:val="30"/>
        </w:numPr>
        <w:rPr>
          <w:rFonts w:asciiTheme="minorHAnsi" w:eastAsiaTheme="minorEastAsia" w:hAnsiTheme="minorHAnsi"/>
          <w:szCs w:val="24"/>
        </w:rPr>
      </w:pPr>
      <w:r>
        <w:t xml:space="preserve">Differing needs of individual localities within Coventry and Warwickshire </w:t>
      </w:r>
    </w:p>
    <w:p w14:paraId="714CAE1D" w14:textId="77777777" w:rsidR="003E2A15" w:rsidRDefault="00860E04" w:rsidP="008D3B10">
      <w:pPr>
        <w:pStyle w:val="ListParagraph"/>
        <w:numPr>
          <w:ilvl w:val="0"/>
          <w:numId w:val="30"/>
        </w:numPr>
        <w:rPr>
          <w:rFonts w:asciiTheme="minorHAnsi" w:eastAsiaTheme="minorEastAsia" w:hAnsiTheme="minorHAnsi"/>
          <w:szCs w:val="24"/>
        </w:rPr>
      </w:pPr>
      <w:r>
        <w:t xml:space="preserve">NHS services provided in or outside Coventry and Warwickshire’s area which affect the need for pharmaceutical services. </w:t>
      </w:r>
    </w:p>
    <w:p w14:paraId="68222F8B" w14:textId="77777777" w:rsidR="007A7058" w:rsidRPr="007A7058" w:rsidRDefault="00860E04" w:rsidP="008D3B10">
      <w:pPr>
        <w:pStyle w:val="ListParagraph"/>
        <w:numPr>
          <w:ilvl w:val="0"/>
          <w:numId w:val="30"/>
        </w:numPr>
        <w:rPr>
          <w:rFonts w:asciiTheme="minorHAnsi" w:eastAsiaTheme="minorEastAsia" w:hAnsiTheme="minorHAnsi"/>
          <w:szCs w:val="24"/>
        </w:rPr>
      </w:pPr>
      <w:r>
        <w:t xml:space="preserve">If further provision of pharmaceutical services would secure better access to pharmaceutical services. </w:t>
      </w:r>
    </w:p>
    <w:p w14:paraId="1D15158A" w14:textId="25C09509" w:rsidR="00867587" w:rsidRPr="007A7058" w:rsidRDefault="00860E04" w:rsidP="008D3B10">
      <w:pPr>
        <w:pStyle w:val="ListParagraph"/>
        <w:numPr>
          <w:ilvl w:val="0"/>
          <w:numId w:val="30"/>
        </w:numPr>
        <w:rPr>
          <w:rFonts w:asciiTheme="minorHAnsi" w:eastAsiaTheme="minorEastAsia" w:hAnsiTheme="minorHAnsi"/>
          <w:szCs w:val="24"/>
        </w:rPr>
      </w:pPr>
      <w:r>
        <w:t xml:space="preserve">The impact of predicted changes to the size of the population, the demography of the population and changing needs in the future which could lead to gaps in the provision of pharmaceutical services. </w:t>
      </w:r>
    </w:p>
    <w:p w14:paraId="7F596291" w14:textId="6D2EE52C" w:rsidR="00867587" w:rsidRPr="003E2A15" w:rsidRDefault="00860E04" w:rsidP="00BA215C">
      <w:pPr>
        <w:rPr>
          <w:b/>
          <w:bCs/>
        </w:rPr>
      </w:pPr>
      <w:r w:rsidRPr="003E2A15">
        <w:rPr>
          <w:b/>
          <w:bCs/>
        </w:rPr>
        <w:t xml:space="preserve">Stage 4 </w:t>
      </w:r>
    </w:p>
    <w:p w14:paraId="53D909EC" w14:textId="43F7292E" w:rsidR="00860E04" w:rsidRDefault="00860E04" w:rsidP="00BA215C">
      <w:r>
        <w:t xml:space="preserve">As required by legislation, a </w:t>
      </w:r>
      <w:r w:rsidR="005B4DA6">
        <w:t>60-day</w:t>
      </w:r>
      <w:r>
        <w:t xml:space="preserve"> consultation is necessary during the process of producing this document. </w:t>
      </w:r>
    </w:p>
    <w:p w14:paraId="20A36B38" w14:textId="2ECCF88E" w:rsidR="3160724D" w:rsidRDefault="3160724D" w:rsidP="3160724D">
      <w:pPr>
        <w:rPr>
          <w:rFonts w:eastAsia="MS Mincho" w:cs="Arial"/>
          <w:szCs w:val="24"/>
        </w:rPr>
      </w:pPr>
    </w:p>
    <w:p w14:paraId="14C0A850" w14:textId="77777777" w:rsidR="00BA215C" w:rsidRDefault="00BA215C" w:rsidP="00BA215C">
      <w:pPr>
        <w:pStyle w:val="Heading2"/>
      </w:pPr>
      <w:bookmarkStart w:id="26" w:name="_Toc113628583"/>
      <w:r>
        <w:lastRenderedPageBreak/>
        <w:t>Information Sources</w:t>
      </w:r>
      <w:bookmarkEnd w:id="26"/>
    </w:p>
    <w:p w14:paraId="664F46F8" w14:textId="509C7A9D" w:rsidR="00FC441A" w:rsidRDefault="00FC441A">
      <w:r>
        <w:t>Various sources of information have been used to identify the local need and the priorities for the PNA. These are:</w:t>
      </w:r>
    </w:p>
    <w:p w14:paraId="37396E87" w14:textId="478AD5F0" w:rsidR="00FC441A" w:rsidRDefault="00FC441A" w:rsidP="008D3B10">
      <w:pPr>
        <w:pStyle w:val="ListParagraph"/>
        <w:numPr>
          <w:ilvl w:val="0"/>
          <w:numId w:val="11"/>
        </w:numPr>
      </w:pPr>
      <w:r>
        <w:t>Joint Strategic Needs Assessments</w:t>
      </w:r>
    </w:p>
    <w:p w14:paraId="53598DF6" w14:textId="6C9FD42F" w:rsidR="00FC441A" w:rsidRDefault="00FC441A" w:rsidP="008D3B10">
      <w:pPr>
        <w:pStyle w:val="ListParagraph"/>
        <w:numPr>
          <w:ilvl w:val="0"/>
          <w:numId w:val="11"/>
        </w:numPr>
      </w:pPr>
      <w:r>
        <w:t>Coventry and Warwickshire Strategic Transformation Plan</w:t>
      </w:r>
    </w:p>
    <w:p w14:paraId="5E5C5B79" w14:textId="07FF263C" w:rsidR="00FC441A" w:rsidRDefault="00FC441A" w:rsidP="008D3B10">
      <w:pPr>
        <w:pStyle w:val="ListParagraph"/>
        <w:numPr>
          <w:ilvl w:val="0"/>
          <w:numId w:val="11"/>
        </w:numPr>
      </w:pPr>
      <w:r>
        <w:t>Patient Experience Survey</w:t>
      </w:r>
    </w:p>
    <w:p w14:paraId="0ECE67A0" w14:textId="6550F53D" w:rsidR="00FC441A" w:rsidRDefault="00FC441A" w:rsidP="008D3B10">
      <w:pPr>
        <w:pStyle w:val="ListParagraph"/>
        <w:numPr>
          <w:ilvl w:val="0"/>
          <w:numId w:val="11"/>
        </w:numPr>
      </w:pPr>
      <w:r>
        <w:t>Pharmacy Contractors Survey</w:t>
      </w:r>
    </w:p>
    <w:p w14:paraId="63030132" w14:textId="27FB4A75" w:rsidR="00FC441A" w:rsidRDefault="00FC441A" w:rsidP="008D3B10">
      <w:pPr>
        <w:pStyle w:val="ListParagraph"/>
        <w:numPr>
          <w:ilvl w:val="0"/>
          <w:numId w:val="11"/>
        </w:numPr>
      </w:pPr>
      <w:r>
        <w:t>Office of National Statistics (ONS), Census data 2011</w:t>
      </w:r>
    </w:p>
    <w:p w14:paraId="14D9ED01" w14:textId="656824C0" w:rsidR="00FC441A" w:rsidRDefault="00FC441A" w:rsidP="008D3B10">
      <w:pPr>
        <w:pStyle w:val="ListParagraph"/>
        <w:numPr>
          <w:ilvl w:val="0"/>
          <w:numId w:val="11"/>
        </w:numPr>
      </w:pPr>
      <w:r>
        <w:t>Public Health Sources (i.e. Coventry City Council and Warwickshire County Council)</w:t>
      </w:r>
    </w:p>
    <w:p w14:paraId="0753AC95" w14:textId="0DF0A731" w:rsidR="00FC441A" w:rsidRDefault="00FC441A" w:rsidP="008D3B10">
      <w:pPr>
        <w:pStyle w:val="ListParagraph"/>
        <w:numPr>
          <w:ilvl w:val="0"/>
          <w:numId w:val="11"/>
        </w:numPr>
      </w:pPr>
      <w:r>
        <w:t>Healthwatch Annual Report 2016/17</w:t>
      </w:r>
    </w:p>
    <w:p w14:paraId="14F8542A" w14:textId="514B4BC7" w:rsidR="00FC441A" w:rsidRDefault="0FEBE8C5" w:rsidP="00FC441A">
      <w:r>
        <w:t>This</w:t>
      </w:r>
      <w:r w:rsidR="00FC441A">
        <w:t xml:space="preserve"> data </w:t>
      </w:r>
      <w:r>
        <w:t>has</w:t>
      </w:r>
      <w:r w:rsidR="00FC441A">
        <w:t xml:space="preserve"> been combined to provide a picture of the </w:t>
      </w:r>
      <w:r w:rsidR="00860E04">
        <w:t xml:space="preserve">Coventry and </w:t>
      </w:r>
      <w:r w:rsidR="00FC441A">
        <w:t xml:space="preserve">Warwickshire population, their current and future health needs and how pharmaceutical services can be used to support the Coventry and Warwickshire Health and Wellbeing Boards to improve the health and wellbeing of the Coventry and Warwickshire population. </w:t>
      </w:r>
    </w:p>
    <w:p w14:paraId="445BC2CF" w14:textId="0A62B2B7" w:rsidR="00FC441A" w:rsidRDefault="00845C29" w:rsidP="00FC441A">
      <w:r>
        <w:t>The following should be noted about the data in this PNA:</w:t>
      </w:r>
    </w:p>
    <w:p w14:paraId="0D9A1499" w14:textId="188DA0D2" w:rsidR="00523A38" w:rsidRDefault="00523A38" w:rsidP="008D3B10">
      <w:pPr>
        <w:pStyle w:val="ListParagraph"/>
        <w:numPr>
          <w:ilvl w:val="0"/>
          <w:numId w:val="12"/>
        </w:numPr>
      </w:pPr>
      <w:r>
        <w:t xml:space="preserve">We will receive new census data in July 2022, however </w:t>
      </w:r>
      <w:r w:rsidR="006D54C4">
        <w:t>due to the consultation timeline for report release before October 1</w:t>
      </w:r>
      <w:r w:rsidR="006D54C4" w:rsidRPr="006D54C4">
        <w:rPr>
          <w:vertAlign w:val="superscript"/>
        </w:rPr>
        <w:t>st</w:t>
      </w:r>
      <w:r w:rsidR="00AA3D4E">
        <w:t xml:space="preserve"> we will not receive this data in time to include in this report. Once we have received the </w:t>
      </w:r>
      <w:r w:rsidR="003C3BFD">
        <w:t xml:space="preserve">2022 </w:t>
      </w:r>
      <w:r w:rsidR="00AA3D4E">
        <w:t xml:space="preserve">census data, should the current picture and </w:t>
      </w:r>
      <w:r w:rsidR="003C3BFD">
        <w:t>predications</w:t>
      </w:r>
      <w:r w:rsidR="00AA3D4E">
        <w:t xml:space="preserve"> need updating, we will </w:t>
      </w:r>
      <w:r w:rsidR="00281A40">
        <w:t xml:space="preserve">produce a supplementary statement noting </w:t>
      </w:r>
      <w:r w:rsidR="003C3BFD">
        <w:t>any</w:t>
      </w:r>
      <w:r w:rsidR="00281A40">
        <w:t xml:space="preserve"> up</w:t>
      </w:r>
      <w:r w:rsidR="003C3BFD">
        <w:t xml:space="preserve">dates. </w:t>
      </w:r>
    </w:p>
    <w:p w14:paraId="3EBC71F2" w14:textId="28153B22" w:rsidR="003C3BFD" w:rsidRDefault="00182AB2" w:rsidP="008D3B10">
      <w:pPr>
        <w:pStyle w:val="ListParagraph"/>
        <w:numPr>
          <w:ilvl w:val="0"/>
          <w:numId w:val="12"/>
        </w:numPr>
      </w:pPr>
      <w:r>
        <w:t xml:space="preserve">There is a slight discrepancy between the pharmacies presented in the SHAPE mapping tool and the formal pharmacy list received for this PNA. Whilst we acknowledge the discrepancy, it has been decided that the SHAPE tool still reflects an accurate picture of need within Coventry and Warwickshire, and therefore it is appropriate to use. </w:t>
      </w:r>
    </w:p>
    <w:p w14:paraId="4E7E4930" w14:textId="77777777" w:rsidR="0053365B" w:rsidRDefault="0053365B" w:rsidP="0053365B"/>
    <w:p w14:paraId="2C0056AB" w14:textId="34D583D2" w:rsidR="00BA215C" w:rsidRDefault="00BA215C" w:rsidP="00BA215C">
      <w:pPr>
        <w:pStyle w:val="Heading2"/>
      </w:pPr>
      <w:bookmarkStart w:id="27" w:name="_Toc113628584"/>
      <w:r>
        <w:t>Equality Assessment</w:t>
      </w:r>
      <w:bookmarkEnd w:id="27"/>
    </w:p>
    <w:p w14:paraId="2145682D" w14:textId="380690A2" w:rsidR="00BA215C" w:rsidRDefault="00F36B5F" w:rsidP="00BA215C">
      <w:r>
        <w:t>The Public Sector Equality Duty (PSED) was introduced vi</w:t>
      </w:r>
      <w:r w:rsidR="00D81532">
        <w:t>a</w:t>
      </w:r>
      <w:r>
        <w:t xml:space="preserve"> the Equality Act 2010. It ensures that Councils and other public bodies consider how different people will be affected by their activities and services.</w:t>
      </w:r>
    </w:p>
    <w:p w14:paraId="544C3FFB" w14:textId="73127634" w:rsidR="00F36B5F" w:rsidRDefault="00F36B5F" w:rsidP="00BA215C">
      <w:r>
        <w:t xml:space="preserve">The council </w:t>
      </w:r>
      <w:r w:rsidR="00DE0DC8">
        <w:t>must</w:t>
      </w:r>
      <w:r>
        <w:t xml:space="preserve"> have due regard to the need to:</w:t>
      </w:r>
    </w:p>
    <w:p w14:paraId="046A5A33" w14:textId="65D88AA1" w:rsidR="00F36B5F" w:rsidRDefault="00F36B5F" w:rsidP="008D3B10">
      <w:pPr>
        <w:pStyle w:val="ListParagraph"/>
        <w:numPr>
          <w:ilvl w:val="0"/>
          <w:numId w:val="8"/>
        </w:numPr>
      </w:pPr>
      <w:r>
        <w:lastRenderedPageBreak/>
        <w:t>Eliminate discrimination, harassment, and victimisation.</w:t>
      </w:r>
    </w:p>
    <w:p w14:paraId="71FD9580" w14:textId="14D56751" w:rsidR="00F36B5F" w:rsidRDefault="00F36B5F" w:rsidP="008D3B10">
      <w:pPr>
        <w:pStyle w:val="ListParagraph"/>
        <w:numPr>
          <w:ilvl w:val="0"/>
          <w:numId w:val="8"/>
        </w:numPr>
      </w:pPr>
      <w:r>
        <w:t xml:space="preserve">Advance equality of opportunity between people who share a protected characteristic and people who do not share it. </w:t>
      </w:r>
    </w:p>
    <w:p w14:paraId="43F7213C" w14:textId="41A721EE" w:rsidR="00F36B5F" w:rsidRDefault="00F36B5F" w:rsidP="008D3B10">
      <w:pPr>
        <w:pStyle w:val="ListParagraph"/>
        <w:numPr>
          <w:ilvl w:val="0"/>
          <w:numId w:val="8"/>
        </w:numPr>
      </w:pPr>
      <w:r>
        <w:t>Foster good relations between people who share a protected characteristic and people who do not share it.</w:t>
      </w:r>
    </w:p>
    <w:p w14:paraId="341BBFA4" w14:textId="77777777" w:rsidR="0053365B" w:rsidRDefault="0053365B" w:rsidP="0053365B"/>
    <w:p w14:paraId="6294DCFC" w14:textId="3614F64C" w:rsidR="00901ECF" w:rsidRDefault="00BA215C" w:rsidP="00BA215C">
      <w:pPr>
        <w:pStyle w:val="Heading2"/>
      </w:pPr>
      <w:bookmarkStart w:id="28" w:name="_Toc113628585"/>
      <w:r>
        <w:t>Process of Formal Consultation</w:t>
      </w:r>
      <w:bookmarkEnd w:id="28"/>
    </w:p>
    <w:p w14:paraId="7678DCC1" w14:textId="67C17A20" w:rsidR="5137F99D" w:rsidRDefault="00F36B5F" w:rsidP="5137F99D">
      <w:pPr>
        <w:rPr>
          <w:rFonts w:eastAsia="MS Mincho" w:cs="Arial"/>
        </w:rPr>
      </w:pPr>
      <w:r>
        <w:rPr>
          <w:rFonts w:eastAsia="MS Mincho" w:cs="Arial"/>
        </w:rPr>
        <w:t xml:space="preserve">Under the 2013 regulations, </w:t>
      </w:r>
      <w:r w:rsidR="007C4C56">
        <w:rPr>
          <w:rFonts w:eastAsia="MS Mincho" w:cs="Arial"/>
        </w:rPr>
        <w:t>there is a requirement</w:t>
      </w:r>
      <w:r>
        <w:rPr>
          <w:rFonts w:eastAsia="MS Mincho" w:cs="Arial"/>
        </w:rPr>
        <w:t xml:space="preserve"> to consult at least once on a draft of the PNA during the process and this consultation period must last for a minimum of 60 days.</w:t>
      </w:r>
    </w:p>
    <w:p w14:paraId="17CC86A0" w14:textId="4CDCB032" w:rsidR="00F36B5F" w:rsidRDefault="00F36B5F" w:rsidP="5137F99D">
      <w:pPr>
        <w:rPr>
          <w:rFonts w:eastAsia="MS Mincho" w:cs="Arial"/>
        </w:rPr>
      </w:pPr>
      <w:r>
        <w:rPr>
          <w:rFonts w:eastAsia="MS Mincho" w:cs="Arial"/>
        </w:rPr>
        <w:t>The regulations set out that Health and Wellbeing Boards must consult the following bodies at least once during the process of developing the PNA:</w:t>
      </w:r>
    </w:p>
    <w:p w14:paraId="0C4A1077" w14:textId="712B27E7" w:rsidR="00F36B5F" w:rsidRDefault="00F36B5F" w:rsidP="008D3B10">
      <w:pPr>
        <w:pStyle w:val="ListParagraph"/>
        <w:numPr>
          <w:ilvl w:val="0"/>
          <w:numId w:val="9"/>
        </w:numPr>
        <w:rPr>
          <w:rFonts w:eastAsia="MS Mincho" w:cs="Arial"/>
        </w:rPr>
      </w:pPr>
      <w:r>
        <w:rPr>
          <w:rFonts w:eastAsia="MS Mincho" w:cs="Arial"/>
        </w:rPr>
        <w:t xml:space="preserve">Any </w:t>
      </w:r>
      <w:r w:rsidR="00857AF2">
        <w:rPr>
          <w:rFonts w:eastAsia="MS Mincho" w:cs="Arial"/>
        </w:rPr>
        <w:t>Local Pharmaceutical Committee</w:t>
      </w:r>
      <w:r w:rsidR="005E49F7">
        <w:rPr>
          <w:rFonts w:eastAsia="MS Mincho" w:cs="Arial"/>
        </w:rPr>
        <w:t xml:space="preserve"> (</w:t>
      </w:r>
      <w:r>
        <w:rPr>
          <w:rFonts w:eastAsia="MS Mincho" w:cs="Arial"/>
        </w:rPr>
        <w:t>LPC</w:t>
      </w:r>
      <w:r w:rsidR="005E49F7">
        <w:rPr>
          <w:rFonts w:eastAsia="MS Mincho" w:cs="Arial"/>
        </w:rPr>
        <w:t>)</w:t>
      </w:r>
      <w:r>
        <w:rPr>
          <w:rFonts w:eastAsia="MS Mincho" w:cs="Arial"/>
        </w:rPr>
        <w:t xml:space="preserve"> for its area</w:t>
      </w:r>
    </w:p>
    <w:p w14:paraId="09AE268A" w14:textId="20A1A24D" w:rsidR="00F36B5F" w:rsidRDefault="00F36B5F" w:rsidP="008D3B10">
      <w:pPr>
        <w:pStyle w:val="ListParagraph"/>
        <w:numPr>
          <w:ilvl w:val="0"/>
          <w:numId w:val="9"/>
        </w:numPr>
        <w:rPr>
          <w:rFonts w:eastAsia="MS Mincho" w:cs="Arial"/>
        </w:rPr>
      </w:pPr>
      <w:r>
        <w:rPr>
          <w:rFonts w:eastAsia="MS Mincho" w:cs="Arial"/>
        </w:rPr>
        <w:t xml:space="preserve">Any </w:t>
      </w:r>
      <w:r w:rsidR="00E27614">
        <w:rPr>
          <w:rFonts w:eastAsia="MS Mincho" w:cs="Arial"/>
        </w:rPr>
        <w:t>Local Medical Committees</w:t>
      </w:r>
      <w:r w:rsidR="00893D5E">
        <w:rPr>
          <w:rFonts w:eastAsia="MS Mincho" w:cs="Arial"/>
        </w:rPr>
        <w:t xml:space="preserve"> (</w:t>
      </w:r>
      <w:r>
        <w:rPr>
          <w:rFonts w:eastAsia="MS Mincho" w:cs="Arial"/>
        </w:rPr>
        <w:t>LMC</w:t>
      </w:r>
      <w:r w:rsidR="00893D5E">
        <w:rPr>
          <w:rFonts w:eastAsia="MS Mincho" w:cs="Arial"/>
        </w:rPr>
        <w:t>)</w:t>
      </w:r>
      <w:r>
        <w:rPr>
          <w:rFonts w:eastAsia="MS Mincho" w:cs="Arial"/>
        </w:rPr>
        <w:t xml:space="preserve"> for its area</w:t>
      </w:r>
    </w:p>
    <w:p w14:paraId="25DE80BC" w14:textId="2821BEFF" w:rsidR="00F36B5F" w:rsidRDefault="00F36B5F" w:rsidP="008D3B10">
      <w:pPr>
        <w:pStyle w:val="ListParagraph"/>
        <w:numPr>
          <w:ilvl w:val="0"/>
          <w:numId w:val="9"/>
        </w:numPr>
        <w:rPr>
          <w:rFonts w:eastAsia="MS Mincho" w:cs="Arial"/>
        </w:rPr>
      </w:pPr>
      <w:r>
        <w:rPr>
          <w:rFonts w:eastAsia="MS Mincho" w:cs="Arial"/>
        </w:rPr>
        <w:t>Any persons on the pharmaceutical lists and any dispensing doctors list for its area</w:t>
      </w:r>
    </w:p>
    <w:p w14:paraId="3CD62EC1" w14:textId="75B51E50" w:rsidR="00F36B5F" w:rsidRDefault="00F36B5F" w:rsidP="008D3B10">
      <w:pPr>
        <w:pStyle w:val="ListParagraph"/>
        <w:numPr>
          <w:ilvl w:val="0"/>
          <w:numId w:val="9"/>
        </w:numPr>
        <w:rPr>
          <w:rFonts w:eastAsia="MS Mincho" w:cs="Arial"/>
        </w:rPr>
      </w:pPr>
      <w:r>
        <w:rPr>
          <w:rFonts w:eastAsia="MS Mincho" w:cs="Arial"/>
        </w:rPr>
        <w:t>Any LPS chemist in its area</w:t>
      </w:r>
    </w:p>
    <w:p w14:paraId="2AA69563" w14:textId="2B8D5D89" w:rsidR="00F36B5F" w:rsidRDefault="00F36B5F" w:rsidP="008D3B10">
      <w:pPr>
        <w:pStyle w:val="ListParagraph"/>
        <w:numPr>
          <w:ilvl w:val="0"/>
          <w:numId w:val="9"/>
        </w:numPr>
        <w:rPr>
          <w:rFonts w:eastAsia="MS Mincho" w:cs="Arial"/>
        </w:rPr>
      </w:pPr>
      <w:r>
        <w:rPr>
          <w:rFonts w:eastAsia="MS Mincho" w:cs="Arial"/>
        </w:rPr>
        <w:t>Any Local Healthwatch organisation for its area</w:t>
      </w:r>
    </w:p>
    <w:p w14:paraId="5BC4C630" w14:textId="71EE9961" w:rsidR="00F36B5F" w:rsidRDefault="00F36B5F" w:rsidP="008D3B10">
      <w:pPr>
        <w:pStyle w:val="ListParagraph"/>
        <w:numPr>
          <w:ilvl w:val="0"/>
          <w:numId w:val="9"/>
        </w:numPr>
        <w:rPr>
          <w:rFonts w:eastAsia="MS Mincho" w:cs="Arial"/>
        </w:rPr>
      </w:pPr>
      <w:r>
        <w:rPr>
          <w:rFonts w:eastAsia="MS Mincho" w:cs="Arial"/>
        </w:rPr>
        <w:t>Any NHS trust or NHS foundation trust in its area</w:t>
      </w:r>
    </w:p>
    <w:p w14:paraId="22F0C58B" w14:textId="6E19DD93" w:rsidR="5137F99D" w:rsidRDefault="00F36B5F" w:rsidP="008D3B10">
      <w:pPr>
        <w:pStyle w:val="ListParagraph"/>
        <w:numPr>
          <w:ilvl w:val="0"/>
          <w:numId w:val="9"/>
        </w:numPr>
        <w:rPr>
          <w:rFonts w:eastAsia="MS Mincho" w:cs="Arial"/>
          <w:szCs w:val="24"/>
        </w:rPr>
      </w:pPr>
      <w:r w:rsidRPr="00B04EA2">
        <w:rPr>
          <w:rFonts w:eastAsia="MS Mincho" w:cs="Arial"/>
        </w:rPr>
        <w:t xml:space="preserve">The </w:t>
      </w:r>
      <w:r w:rsidR="00B04EA2" w:rsidRPr="00B04EA2">
        <w:rPr>
          <w:rFonts w:eastAsia="MS Mincho" w:cs="Arial"/>
        </w:rPr>
        <w:t>National Health Service Commissioning Board (</w:t>
      </w:r>
      <w:r w:rsidRPr="00B04EA2">
        <w:rPr>
          <w:rFonts w:eastAsia="MS Mincho" w:cs="Arial"/>
        </w:rPr>
        <w:t>NHSCB</w:t>
      </w:r>
      <w:r w:rsidR="00B04EA2" w:rsidRPr="00B04EA2">
        <w:rPr>
          <w:rFonts w:eastAsia="MS Mincho" w:cs="Arial"/>
        </w:rPr>
        <w:t>)</w:t>
      </w:r>
      <w:r w:rsidRPr="00B04EA2">
        <w:rPr>
          <w:rFonts w:eastAsia="MS Mincho" w:cs="Arial"/>
        </w:rPr>
        <w:t xml:space="preserve"> and any neighbouring </w:t>
      </w:r>
      <w:r w:rsidR="00B04EA2" w:rsidRPr="00B04EA2">
        <w:rPr>
          <w:rFonts w:eastAsia="MS Mincho" w:cs="Arial"/>
        </w:rPr>
        <w:t>Health and Wellbeing Boards</w:t>
      </w:r>
      <w:r w:rsidR="00B04EA2">
        <w:rPr>
          <w:rFonts w:eastAsia="MS Mincho" w:cs="Arial"/>
        </w:rPr>
        <w:t>.</w:t>
      </w:r>
      <w:r w:rsidR="00B04EA2" w:rsidRPr="00B04EA2">
        <w:rPr>
          <w:rFonts w:eastAsia="MS Mincho" w:cs="Arial"/>
        </w:rPr>
        <w:t xml:space="preserve"> </w:t>
      </w:r>
    </w:p>
    <w:p w14:paraId="5C630284" w14:textId="71563AA6" w:rsidR="00B04EA2" w:rsidRDefault="00B04EA2">
      <w:pPr>
        <w:spacing w:before="200" w:after="200" w:line="276" w:lineRule="auto"/>
        <w:rPr>
          <w:rFonts w:eastAsia="MS Mincho" w:cs="Arial"/>
          <w:szCs w:val="24"/>
        </w:rPr>
      </w:pPr>
      <w:r>
        <w:rPr>
          <w:rFonts w:eastAsia="MS Mincho" w:cs="Arial"/>
          <w:szCs w:val="24"/>
        </w:rPr>
        <w:br w:type="page"/>
      </w:r>
    </w:p>
    <w:p w14:paraId="565BD463" w14:textId="0ADBE814" w:rsidR="007249A3" w:rsidRDefault="00C531BF" w:rsidP="00C531BF">
      <w:pPr>
        <w:pStyle w:val="Heading1"/>
      </w:pPr>
      <w:bookmarkStart w:id="29" w:name="_Toc113628586"/>
      <w:bookmarkEnd w:id="22"/>
      <w:bookmarkEnd w:id="23"/>
      <w:r>
        <w:lastRenderedPageBreak/>
        <w:t>Other relevant work</w:t>
      </w:r>
      <w:bookmarkEnd w:id="29"/>
    </w:p>
    <w:p w14:paraId="315C9B06" w14:textId="636BF897" w:rsidR="00E3308E" w:rsidRDefault="00E31552" w:rsidP="00E3308E">
      <w:pPr>
        <w:pStyle w:val="Heading2"/>
      </w:pPr>
      <w:bookmarkStart w:id="30" w:name="_Toc113628587"/>
      <w:r>
        <w:t>JSNA</w:t>
      </w:r>
      <w:bookmarkEnd w:id="30"/>
    </w:p>
    <w:p w14:paraId="7EC026F8" w14:textId="29A17CCB" w:rsidR="00E31552" w:rsidRPr="00E31552" w:rsidRDefault="005F42CD" w:rsidP="00E31552">
      <w:pPr>
        <w:rPr>
          <w:rFonts w:eastAsia="MS Mincho" w:cs="Arial"/>
          <w:szCs w:val="24"/>
        </w:rPr>
      </w:pPr>
      <w:r>
        <w:rPr>
          <w:rFonts w:eastAsia="MS Mincho" w:cs="Arial"/>
          <w:szCs w:val="24"/>
        </w:rPr>
        <w:t>The JSNA</w:t>
      </w:r>
      <w:r w:rsidR="00C12AFD">
        <w:rPr>
          <w:rStyle w:val="FootnoteReference"/>
          <w:rFonts w:eastAsia="MS Mincho" w:cs="Arial"/>
          <w:szCs w:val="24"/>
        </w:rPr>
        <w:footnoteReference w:id="2"/>
      </w:r>
      <w:r w:rsidR="008F0F1D">
        <w:rPr>
          <w:rFonts w:eastAsia="MS Mincho" w:cs="Arial"/>
          <w:szCs w:val="24"/>
        </w:rPr>
        <w:t>,</w:t>
      </w:r>
      <w:r w:rsidR="008F0F1D">
        <w:rPr>
          <w:rStyle w:val="FootnoteReference"/>
          <w:rFonts w:eastAsia="MS Mincho" w:cs="Arial"/>
          <w:szCs w:val="24"/>
        </w:rPr>
        <w:footnoteReference w:id="3"/>
      </w:r>
      <w:r w:rsidR="00C12AFD">
        <w:rPr>
          <w:rFonts w:eastAsia="MS Mincho" w:cs="Arial"/>
          <w:szCs w:val="24"/>
        </w:rPr>
        <w:t xml:space="preserve"> </w:t>
      </w:r>
      <w:r w:rsidR="00FA707D">
        <w:rPr>
          <w:rFonts w:eastAsia="MS Mincho" w:cs="Arial"/>
          <w:szCs w:val="24"/>
        </w:rPr>
        <w:t xml:space="preserve">provides the evidence base for understanding the needs of the local population. It is used to inform the Health and Wellbeing Strategy, along with specific commissioning decisions. </w:t>
      </w:r>
    </w:p>
    <w:p w14:paraId="4F3802D1" w14:textId="75C0C928" w:rsidR="00FA707D" w:rsidRPr="00E31552" w:rsidRDefault="00FA707D" w:rsidP="00E31552">
      <w:pPr>
        <w:rPr>
          <w:rFonts w:eastAsia="MS Mincho" w:cs="Arial"/>
        </w:rPr>
      </w:pPr>
      <w:r w:rsidRPr="34C768A9">
        <w:rPr>
          <w:rFonts w:eastAsia="MS Mincho" w:cs="Arial"/>
        </w:rPr>
        <w:t>The JSNA contains a more complete analysis of health in Coventry and Warwickshire</w:t>
      </w:r>
      <w:r w:rsidR="00F26736" w:rsidRPr="34C768A9">
        <w:rPr>
          <w:rFonts w:eastAsia="MS Mincho" w:cs="Arial"/>
        </w:rPr>
        <w:t xml:space="preserve">. In Warwickshire a </w:t>
      </w:r>
      <w:r w:rsidR="00D81532">
        <w:rPr>
          <w:rFonts w:eastAsia="MS Mincho" w:cs="Arial"/>
        </w:rPr>
        <w:t>p</w:t>
      </w:r>
      <w:r w:rsidR="00F26736" w:rsidRPr="34C768A9">
        <w:rPr>
          <w:rFonts w:eastAsia="MS Mincho" w:cs="Arial"/>
        </w:rPr>
        <w:t>lace b</w:t>
      </w:r>
      <w:r w:rsidR="009D6ACE" w:rsidRPr="34C768A9">
        <w:rPr>
          <w:rFonts w:eastAsia="MS Mincho" w:cs="Arial"/>
        </w:rPr>
        <w:t>ased approach to the JSNA was taken between</w:t>
      </w:r>
      <w:r w:rsidR="00F50AAB" w:rsidRPr="34C768A9">
        <w:rPr>
          <w:rFonts w:eastAsia="MS Mincho" w:cs="Arial"/>
        </w:rPr>
        <w:t xml:space="preserve"> 2017-2020</w:t>
      </w:r>
      <w:r w:rsidR="00AA33B1" w:rsidRPr="34C768A9">
        <w:rPr>
          <w:rFonts w:eastAsia="MS Mincho" w:cs="Arial"/>
        </w:rPr>
        <w:t>, which focused on each of the 22 Warwickshire JSNA Geographies</w:t>
      </w:r>
      <w:r w:rsidR="00F50AAB" w:rsidRPr="34C768A9">
        <w:rPr>
          <w:rFonts w:eastAsia="MS Mincho" w:cs="Arial"/>
        </w:rPr>
        <w:t xml:space="preserve">. Following that programme </w:t>
      </w:r>
      <w:r w:rsidR="00AA33B1" w:rsidRPr="34C768A9">
        <w:rPr>
          <w:rFonts w:eastAsia="MS Mincho" w:cs="Arial"/>
        </w:rPr>
        <w:t xml:space="preserve">a </w:t>
      </w:r>
      <w:r w:rsidR="00A81DB3">
        <w:rPr>
          <w:rFonts w:eastAsia="MS Mincho" w:cs="Arial"/>
        </w:rPr>
        <w:t>t</w:t>
      </w:r>
      <w:r w:rsidR="00AA33B1" w:rsidRPr="34C768A9">
        <w:rPr>
          <w:rFonts w:eastAsia="MS Mincho" w:cs="Arial"/>
        </w:rPr>
        <w:t xml:space="preserve">hematic approach has been adopted. </w:t>
      </w:r>
    </w:p>
    <w:p w14:paraId="5DD6676A" w14:textId="7FF1F3B2" w:rsidR="000E70E8" w:rsidRPr="00E31552" w:rsidRDefault="000E70E8" w:rsidP="00E31552">
      <w:pPr>
        <w:rPr>
          <w:rFonts w:eastAsia="MS Mincho" w:cs="Arial"/>
        </w:rPr>
      </w:pPr>
      <w:r>
        <w:rPr>
          <w:rFonts w:eastAsia="MS Mincho" w:cs="Arial"/>
        </w:rPr>
        <w:t xml:space="preserve">Coventry undertook a place-based approach between 2018-2020 producing a citywide JSNA analytical profile, as well as profiles for each of the city’s eight Family Hub reach areas. In addition to this, detailed statistical data and evidence is available in the Citywide Intelligence Hub which provides tools to compare and contract metrics and indicators. </w:t>
      </w:r>
    </w:p>
    <w:p w14:paraId="7ACD5008" w14:textId="77777777" w:rsidR="00E32057" w:rsidRPr="00E31552" w:rsidRDefault="00E32057" w:rsidP="00E31552">
      <w:pPr>
        <w:rPr>
          <w:rFonts w:eastAsia="MS Mincho" w:cs="Arial"/>
        </w:rPr>
      </w:pPr>
    </w:p>
    <w:p w14:paraId="18BA2886" w14:textId="1DCFACA3" w:rsidR="00BD6B28" w:rsidRDefault="006677C3" w:rsidP="00BD6B28">
      <w:pPr>
        <w:pStyle w:val="Heading2"/>
      </w:pPr>
      <w:bookmarkStart w:id="31" w:name="_Toc113628588"/>
      <w:r>
        <w:t>Health inequalities plan</w:t>
      </w:r>
      <w:bookmarkEnd w:id="31"/>
    </w:p>
    <w:p w14:paraId="1A2CE253" w14:textId="14E03D9E" w:rsidR="00723CBB" w:rsidRDefault="00723CBB" w:rsidP="00723CBB">
      <w:pPr>
        <w:rPr>
          <w:rFonts w:ascii="Calibri" w:hAnsi="Calibri"/>
          <w:sz w:val="22"/>
          <w:szCs w:val="22"/>
        </w:rPr>
      </w:pPr>
      <w:r w:rsidRPr="00723CBB">
        <w:rPr>
          <w:rFonts w:cs="Arial"/>
        </w:rPr>
        <w:t>Reducing health inequalities is core to the role of the Coventry and Warwickshire Integrated Care System (ICS). The ICS Health Inequalities Strategy sets out the system wide approach to tackling health inequalities based on the Kings Fund Model of Population Health. It recognises the importance of the wider determinants, healthy lifestyles, local communities and health and care services in reducing health inequalities. The ICS has adopted the Core20+5 framework</w:t>
      </w:r>
      <w:r w:rsidR="00C61D9B">
        <w:rPr>
          <w:rStyle w:val="FootnoteReference"/>
          <w:rFonts w:cs="Arial"/>
        </w:rPr>
        <w:footnoteReference w:id="4"/>
      </w:r>
      <w:r w:rsidR="00DE0CFF">
        <w:rPr>
          <w:rFonts w:cs="Arial"/>
        </w:rPr>
        <w:t xml:space="preserve"> </w:t>
      </w:r>
      <w:r w:rsidRPr="00723CBB">
        <w:rPr>
          <w:rFonts w:cs="Arial"/>
        </w:rPr>
        <w:t>for health inequalities; in addition to populations living in the more deprived areas the ICS will specifically consider newly arrived and transient communities as these groups experience significant health inequalities. The strategy will be delivered by embedding reducing health inequalities across all programmes of work and prioritising resources to communities</w:t>
      </w:r>
      <w:r w:rsidRPr="00723CBB">
        <w:t xml:space="preserve"> with the greatest needs. </w:t>
      </w:r>
    </w:p>
    <w:p w14:paraId="36D68DFA" w14:textId="77777777" w:rsidR="009331FD" w:rsidRPr="00C8088E" w:rsidRDefault="009331FD" w:rsidP="00DE0CFF"/>
    <w:p w14:paraId="276A3CE1" w14:textId="77777777" w:rsidR="00236B5F" w:rsidRDefault="00236B5F" w:rsidP="00236B5F">
      <w:pPr>
        <w:pStyle w:val="Heading2"/>
      </w:pPr>
      <w:bookmarkStart w:id="32" w:name="_Toc113628589"/>
      <w:r>
        <w:lastRenderedPageBreak/>
        <w:t>Integrated Care Board (ICB)</w:t>
      </w:r>
      <w:bookmarkEnd w:id="32"/>
    </w:p>
    <w:p w14:paraId="08969076" w14:textId="23206BE2" w:rsidR="00236B5F" w:rsidRDefault="00236B5F" w:rsidP="009A2FA9">
      <w:r>
        <w:t>As part of the Health and Care Act 2022, 42 Integrated Care Systems (ICSs) will be established in England on a statutory basis as of 1</w:t>
      </w:r>
      <w:r w:rsidRPr="00E36538">
        <w:rPr>
          <w:vertAlign w:val="superscript"/>
        </w:rPr>
        <w:t>st</w:t>
      </w:r>
      <w:r>
        <w:t xml:space="preserve"> July 2022. An ICS will include an Integrated Care Board (ICB) which is a statutory NHS organisation responsible for developing a plan for meeting the health needs of the population, managing the NHS budget, and arranging for the provision of health services in the ICS area. Once these are legally established the current Clinical Commissioning Groups (CCGs) will be abolished. </w:t>
      </w:r>
    </w:p>
    <w:p w14:paraId="4FF89E7C" w14:textId="77777777" w:rsidR="00D02DCA" w:rsidRDefault="00D02DCA" w:rsidP="009A2FA9"/>
    <w:p w14:paraId="2916E499" w14:textId="4FB844C6" w:rsidR="00E31552" w:rsidRDefault="00E31552" w:rsidP="00E31552">
      <w:pPr>
        <w:pStyle w:val="Heading2"/>
      </w:pPr>
      <w:bookmarkStart w:id="33" w:name="_Toc113628590"/>
      <w:r>
        <w:t>Healthwatch</w:t>
      </w:r>
      <w:bookmarkEnd w:id="33"/>
    </w:p>
    <w:p w14:paraId="18200FF8" w14:textId="6EFD52BC" w:rsidR="26D8FB5C" w:rsidRDefault="26D8FB5C" w:rsidP="26D8FB5C">
      <w:pPr>
        <w:rPr>
          <w:rFonts w:eastAsia="Arial" w:cs="Arial"/>
          <w:szCs w:val="24"/>
        </w:rPr>
      </w:pPr>
      <w:r w:rsidRPr="26D8FB5C">
        <w:rPr>
          <w:rFonts w:eastAsia="Arial" w:cs="Arial"/>
          <w:szCs w:val="24"/>
        </w:rPr>
        <w:t xml:space="preserve">Healthwatch is </w:t>
      </w:r>
      <w:r w:rsidR="2E34DC96" w:rsidRPr="2E34DC96">
        <w:rPr>
          <w:rFonts w:eastAsia="Arial" w:cs="Arial"/>
          <w:szCs w:val="24"/>
        </w:rPr>
        <w:t>there</w:t>
      </w:r>
      <w:r w:rsidRPr="26D8FB5C">
        <w:rPr>
          <w:rFonts w:eastAsia="Arial" w:cs="Arial"/>
          <w:szCs w:val="24"/>
        </w:rPr>
        <w:t xml:space="preserve"> to listen and understand the needs, experiences and concerns of its local people and communities and how they experience health and social care services (such as dentists, GPs, </w:t>
      </w:r>
      <w:r w:rsidR="00105007" w:rsidRPr="26D8FB5C">
        <w:rPr>
          <w:rFonts w:eastAsia="Arial" w:cs="Arial"/>
          <w:szCs w:val="24"/>
        </w:rPr>
        <w:t>hospitals,</w:t>
      </w:r>
      <w:r w:rsidRPr="26D8FB5C">
        <w:rPr>
          <w:rFonts w:eastAsia="Arial" w:cs="Arial"/>
          <w:szCs w:val="24"/>
        </w:rPr>
        <w:t xml:space="preserve"> and community pharmacies). </w:t>
      </w:r>
      <w:r w:rsidR="2E34DC96" w:rsidRPr="2E34DC96">
        <w:rPr>
          <w:rFonts w:eastAsia="Arial" w:cs="Arial"/>
          <w:szCs w:val="24"/>
        </w:rPr>
        <w:t>They</w:t>
      </w:r>
      <w:r w:rsidRPr="26D8FB5C">
        <w:rPr>
          <w:rFonts w:eastAsia="Arial" w:cs="Arial"/>
          <w:szCs w:val="24"/>
        </w:rPr>
        <w:t xml:space="preserve"> take this feedback to NHS and other key decision makers to ensure they use feedback to improve services and standards of care. </w:t>
      </w:r>
      <w:r w:rsidR="00A81DB3">
        <w:rPr>
          <w:rFonts w:eastAsia="Arial" w:cs="Arial"/>
          <w:szCs w:val="24"/>
        </w:rPr>
        <w:t>Healthwatch</w:t>
      </w:r>
      <w:r w:rsidRPr="26D8FB5C">
        <w:rPr>
          <w:rFonts w:eastAsia="Arial" w:cs="Arial"/>
          <w:szCs w:val="24"/>
        </w:rPr>
        <w:t xml:space="preserve"> support</w:t>
      </w:r>
      <w:r w:rsidR="00A81DB3">
        <w:rPr>
          <w:rFonts w:eastAsia="Arial" w:cs="Arial"/>
          <w:szCs w:val="24"/>
        </w:rPr>
        <w:t>s</w:t>
      </w:r>
      <w:r w:rsidRPr="26D8FB5C">
        <w:rPr>
          <w:rFonts w:eastAsia="Arial" w:cs="Arial"/>
          <w:szCs w:val="24"/>
        </w:rPr>
        <w:t xml:space="preserve"> individuals through our information and signposting service to find reliable and trustworthy information about local services such as community pharmacy.</w:t>
      </w:r>
    </w:p>
    <w:p w14:paraId="4770DCA7" w14:textId="6FE489B8" w:rsidR="000044BF" w:rsidRDefault="000044BF" w:rsidP="26D8FB5C">
      <w:pPr>
        <w:rPr>
          <w:rFonts w:eastAsia="Arial" w:cs="Arial"/>
          <w:szCs w:val="24"/>
        </w:rPr>
      </w:pPr>
      <w:r>
        <w:rPr>
          <w:rFonts w:eastAsia="Arial" w:cs="Arial"/>
          <w:szCs w:val="24"/>
        </w:rPr>
        <w:t xml:space="preserve">Healthwatch Coventry </w:t>
      </w:r>
      <w:r w:rsidR="00D742BE">
        <w:rPr>
          <w:rFonts w:eastAsia="Arial" w:cs="Arial"/>
          <w:szCs w:val="24"/>
        </w:rPr>
        <w:t>is provide</w:t>
      </w:r>
      <w:r w:rsidR="004D2EE6">
        <w:rPr>
          <w:rFonts w:eastAsia="Arial" w:cs="Arial"/>
          <w:szCs w:val="24"/>
        </w:rPr>
        <w:t>d</w:t>
      </w:r>
      <w:r w:rsidR="00D742BE">
        <w:rPr>
          <w:rFonts w:eastAsia="Arial" w:cs="Arial"/>
          <w:szCs w:val="24"/>
        </w:rPr>
        <w:t xml:space="preserve"> by Voluntary Action Coventry, </w:t>
      </w:r>
      <w:r w:rsidR="00AD4DD1">
        <w:rPr>
          <w:rFonts w:eastAsia="Arial" w:cs="Arial"/>
          <w:szCs w:val="24"/>
        </w:rPr>
        <w:t>and the steering group is made up of individual local people</w:t>
      </w:r>
      <w:r w:rsidR="00DD33FA">
        <w:rPr>
          <w:rFonts w:eastAsia="Arial" w:cs="Arial"/>
          <w:szCs w:val="24"/>
        </w:rPr>
        <w:t xml:space="preserve"> and local voluntary organisations </w:t>
      </w:r>
      <w:r w:rsidR="00593C79">
        <w:rPr>
          <w:rFonts w:eastAsia="Arial" w:cs="Arial"/>
          <w:szCs w:val="24"/>
        </w:rPr>
        <w:t xml:space="preserve">who set the </w:t>
      </w:r>
      <w:r w:rsidR="00146752">
        <w:rPr>
          <w:rFonts w:eastAsia="Arial" w:cs="Arial"/>
          <w:szCs w:val="24"/>
        </w:rPr>
        <w:t>topics and the direction of the Healthwatch work.</w:t>
      </w:r>
    </w:p>
    <w:p w14:paraId="2E95AF55" w14:textId="4062D546" w:rsidR="00146752" w:rsidRDefault="00146752" w:rsidP="26D8FB5C">
      <w:pPr>
        <w:rPr>
          <w:rFonts w:eastAsia="Arial" w:cs="Arial"/>
          <w:szCs w:val="24"/>
        </w:rPr>
      </w:pPr>
      <w:r>
        <w:rPr>
          <w:rFonts w:eastAsia="Arial" w:cs="Arial"/>
          <w:szCs w:val="24"/>
        </w:rPr>
        <w:t>Healthwatch Warwickshire</w:t>
      </w:r>
      <w:r w:rsidR="00B74365">
        <w:rPr>
          <w:rFonts w:eastAsia="Arial" w:cs="Arial"/>
          <w:szCs w:val="24"/>
        </w:rPr>
        <w:t xml:space="preserve"> is an indepen</w:t>
      </w:r>
      <w:r w:rsidR="002D530E">
        <w:rPr>
          <w:rFonts w:eastAsia="Arial" w:cs="Arial"/>
          <w:szCs w:val="24"/>
        </w:rPr>
        <w:t>dent service for everyone who uses health and social care services in Warwickshire</w:t>
      </w:r>
      <w:r w:rsidR="00C758A3">
        <w:rPr>
          <w:rFonts w:eastAsia="Arial" w:cs="Arial"/>
          <w:szCs w:val="24"/>
        </w:rPr>
        <w:t xml:space="preserve"> and is governed by a strategic board</w:t>
      </w:r>
      <w:r w:rsidR="00185581">
        <w:rPr>
          <w:rFonts w:eastAsia="Arial" w:cs="Arial"/>
          <w:szCs w:val="24"/>
        </w:rPr>
        <w:t xml:space="preserve"> to ensure </w:t>
      </w:r>
      <w:r w:rsidR="00BF73A3">
        <w:rPr>
          <w:rFonts w:eastAsia="Arial" w:cs="Arial"/>
          <w:szCs w:val="24"/>
        </w:rPr>
        <w:t xml:space="preserve">the legal and statutory obligations are met. </w:t>
      </w:r>
    </w:p>
    <w:p w14:paraId="733C08D7" w14:textId="77777777" w:rsidR="006B569E" w:rsidRDefault="006B569E" w:rsidP="26D8FB5C">
      <w:pPr>
        <w:rPr>
          <w:rFonts w:eastAsia="Arial" w:cs="Arial"/>
          <w:szCs w:val="24"/>
        </w:rPr>
      </w:pPr>
    </w:p>
    <w:p w14:paraId="70EAA424" w14:textId="77777777" w:rsidR="006B569E" w:rsidRDefault="006603B0" w:rsidP="006B569E">
      <w:pPr>
        <w:pStyle w:val="Heading2"/>
      </w:pPr>
      <w:bookmarkStart w:id="34" w:name="_Toc113628591"/>
      <w:r w:rsidRPr="006B569E">
        <w:t xml:space="preserve">Integrated Pharmacy </w:t>
      </w:r>
      <w:r w:rsidR="00365B36" w:rsidRPr="006B569E">
        <w:t>Medicines Optimisation (IPMO)</w:t>
      </w:r>
      <w:bookmarkEnd w:id="34"/>
    </w:p>
    <w:p w14:paraId="5D4C78F0" w14:textId="275A8E66" w:rsidR="09A5FFA1" w:rsidRDefault="3457F1F6" w:rsidP="09A5FFA1">
      <w:pPr>
        <w:spacing w:before="200" w:after="200" w:line="276" w:lineRule="auto"/>
        <w:rPr>
          <w:rFonts w:eastAsia="MS Mincho" w:cs="Arial"/>
        </w:rPr>
      </w:pPr>
      <w:r>
        <w:t>The NHS Five Year Forward View highlighted the need to communicate between organisations</w:t>
      </w:r>
      <w:r w:rsidR="00273958">
        <w:rPr>
          <w:rStyle w:val="FootnoteReference"/>
        </w:rPr>
        <w:footnoteReference w:id="5"/>
      </w:r>
      <w:r>
        <w:t>. In order to address this need, the formation of Sustainability and Transformation Partnerships (STP) and the shift to Integrated Care Systems (ICS) occurred.</w:t>
      </w:r>
    </w:p>
    <w:p w14:paraId="079DA381" w14:textId="01B00D2F" w:rsidR="775A10B5" w:rsidRDefault="00C23D04" w:rsidP="775A10B5">
      <w:pPr>
        <w:spacing w:before="200" w:after="200" w:line="276" w:lineRule="auto"/>
        <w:rPr>
          <w:rFonts w:eastAsia="MS Mincho" w:cs="Arial"/>
        </w:rPr>
      </w:pPr>
      <w:r>
        <w:t>M</w:t>
      </w:r>
      <w:r w:rsidR="5021C0B9">
        <w:t xml:space="preserve">ore work </w:t>
      </w:r>
      <w:r w:rsidR="09A5FFA1">
        <w:t>is</w:t>
      </w:r>
      <w:r w:rsidR="775A10B5">
        <w:t xml:space="preserve"> needed to </w:t>
      </w:r>
      <w:r w:rsidR="775A10B5" w:rsidRPr="6E2D37A4">
        <w:rPr>
          <w:rFonts w:eastAsia="Arial" w:cs="Arial"/>
        </w:rPr>
        <w:t xml:space="preserve">deliver the best patient outcomes from medicines and value to the taxpayer. </w:t>
      </w:r>
      <w:r w:rsidR="2ED08ACB" w:rsidRPr="6E2D37A4">
        <w:rPr>
          <w:rFonts w:eastAsia="Arial" w:cs="Arial"/>
        </w:rPr>
        <w:t xml:space="preserve">This is a key priority for the Integrating NHS Pharmacy and Medicines Optimisation </w:t>
      </w:r>
      <w:r w:rsidR="2ED08ACB" w:rsidRPr="6E2D37A4">
        <w:rPr>
          <w:rFonts w:eastAsia="Arial" w:cs="Arial"/>
        </w:rPr>
        <w:lastRenderedPageBreak/>
        <w:t xml:space="preserve">programme. </w:t>
      </w:r>
      <w:r w:rsidR="15F9FD53" w:rsidRPr="6E2D37A4">
        <w:rPr>
          <w:rFonts w:eastAsia="Arial" w:cs="Arial"/>
        </w:rPr>
        <w:t xml:space="preserve">This programme relies on the expertise of pharmacy professionals to systemically tackle the medicines optimisation priorities for the local population in an STP/ICS </w:t>
      </w:r>
      <w:r w:rsidR="15F9FD53" w:rsidRPr="17A9CB12">
        <w:rPr>
          <w:rFonts w:eastAsia="Arial" w:cs="Arial"/>
        </w:rPr>
        <w:t>footprint</w:t>
      </w:r>
      <w:r w:rsidR="00847F7A">
        <w:rPr>
          <w:rStyle w:val="FootnoteReference"/>
          <w:rFonts w:eastAsia="Arial" w:cs="Arial"/>
        </w:rPr>
        <w:footnoteReference w:id="6"/>
      </w:r>
      <w:r w:rsidR="15F9FD53" w:rsidRPr="17A9CB12">
        <w:rPr>
          <w:rFonts w:eastAsia="Arial" w:cs="Arial"/>
        </w:rPr>
        <w:t xml:space="preserve">. </w:t>
      </w:r>
    </w:p>
    <w:p w14:paraId="21B0C355" w14:textId="09B23819" w:rsidR="0334F7B5" w:rsidRDefault="07EB773D" w:rsidP="0334F7B5">
      <w:pPr>
        <w:spacing w:before="200" w:after="200" w:line="276" w:lineRule="auto"/>
        <w:rPr>
          <w:rFonts w:eastAsia="MS Mincho" w:cs="Arial"/>
        </w:rPr>
      </w:pPr>
      <w:r w:rsidRPr="6456F9FC">
        <w:rPr>
          <w:rFonts w:eastAsia="MS Mincho" w:cs="Arial"/>
        </w:rPr>
        <w:t xml:space="preserve">Seven pilot sites were selected, one from each of the NHS regions. The main finding of these sites has been that for a successful local medicine optimisations programme a named system-wide lead supported by a collaborative senior leadership group </w:t>
      </w:r>
      <w:r w:rsidR="6456F9FC" w:rsidRPr="6456F9FC">
        <w:rPr>
          <w:rFonts w:eastAsia="MS Mincho" w:cs="Arial"/>
        </w:rPr>
        <w:t xml:space="preserve">with a pharmacy professional lead role sitting in the STP/ICS structure is </w:t>
      </w:r>
      <w:r w:rsidR="6456F9FC" w:rsidRPr="17A9CB12">
        <w:rPr>
          <w:rFonts w:eastAsia="MS Mincho" w:cs="Arial"/>
        </w:rPr>
        <w:t>essential</w:t>
      </w:r>
      <w:r w:rsidR="00847F7A">
        <w:rPr>
          <w:rStyle w:val="FootnoteReference"/>
          <w:rFonts w:eastAsia="MS Mincho" w:cs="Arial"/>
        </w:rPr>
        <w:footnoteReference w:id="7"/>
      </w:r>
      <w:r w:rsidR="6456F9FC" w:rsidRPr="6456F9FC">
        <w:rPr>
          <w:rFonts w:eastAsia="MS Mincho" w:cs="Arial"/>
        </w:rPr>
        <w:t xml:space="preserve">. </w:t>
      </w:r>
    </w:p>
    <w:p w14:paraId="3999B582" w14:textId="7DA65EA2" w:rsidR="00DC7CB4" w:rsidRDefault="005C0779" w:rsidP="00847F7A">
      <w:pPr>
        <w:spacing w:before="200" w:after="200" w:line="276" w:lineRule="auto"/>
        <w:rPr>
          <w:rFonts w:eastAsia="MS Mincho" w:cs="Arial"/>
        </w:rPr>
      </w:pPr>
      <w:r>
        <w:rPr>
          <w:rFonts w:eastAsia="MS Mincho" w:cs="Arial"/>
        </w:rPr>
        <w:t>The</w:t>
      </w:r>
      <w:r w:rsidR="00E75244">
        <w:rPr>
          <w:rFonts w:eastAsia="MS Mincho" w:cs="Arial"/>
        </w:rPr>
        <w:t xml:space="preserve"> board meets regularly following </w:t>
      </w:r>
      <w:r w:rsidR="00FA3212">
        <w:rPr>
          <w:rFonts w:eastAsia="MS Mincho" w:cs="Arial"/>
        </w:rPr>
        <w:t>several</w:t>
      </w:r>
      <w:r w:rsidR="00E75244">
        <w:rPr>
          <w:rFonts w:eastAsia="MS Mincho" w:cs="Arial"/>
        </w:rPr>
        <w:t xml:space="preserve"> workstreams</w:t>
      </w:r>
      <w:r w:rsidR="00FA3212">
        <w:rPr>
          <w:rFonts w:eastAsia="MS Mincho" w:cs="Arial"/>
        </w:rPr>
        <w:t>. Representation on the IPMO includes</w:t>
      </w:r>
      <w:r w:rsidR="00DC7CB4">
        <w:rPr>
          <w:rFonts w:eastAsia="MS Mincho" w:cs="Arial"/>
        </w:rPr>
        <w:t xml:space="preserve"> all the Chief Pharmacists from the Trusts, Head of Medicines Management of the </w:t>
      </w:r>
      <w:r w:rsidR="00576F68">
        <w:rPr>
          <w:rFonts w:eastAsia="MS Mincho" w:cs="Arial"/>
        </w:rPr>
        <w:t>ICB</w:t>
      </w:r>
      <w:r w:rsidR="00DC7CB4">
        <w:rPr>
          <w:rFonts w:eastAsia="MS Mincho" w:cs="Arial"/>
        </w:rPr>
        <w:t xml:space="preserve">, Chief Executive Officer LPC, and Chair of LPN for Pharmacy. </w:t>
      </w:r>
    </w:p>
    <w:p w14:paraId="574B567B" w14:textId="4FE41716" w:rsidR="00B13C92" w:rsidRDefault="00A257A4" w:rsidP="00847F7A">
      <w:pPr>
        <w:spacing w:before="200" w:after="200" w:line="276" w:lineRule="auto"/>
        <w:rPr>
          <w:rFonts w:eastAsia="MS Mincho" w:cs="Arial"/>
        </w:rPr>
      </w:pPr>
      <w:r>
        <w:rPr>
          <w:rFonts w:eastAsia="MS Mincho" w:cs="Arial"/>
        </w:rPr>
        <w:t>From an IPMO perspective, the group have prioritised the following for the Coventry and Warwickshire system:</w:t>
      </w:r>
    </w:p>
    <w:p w14:paraId="210E9538" w14:textId="328B4AFF" w:rsidR="00A257A4" w:rsidRDefault="00A257A4" w:rsidP="00517E70">
      <w:pPr>
        <w:pStyle w:val="ListParagraph"/>
        <w:numPr>
          <w:ilvl w:val="0"/>
          <w:numId w:val="55"/>
        </w:numPr>
        <w:spacing w:before="200" w:line="276" w:lineRule="auto"/>
        <w:rPr>
          <w:rFonts w:eastAsia="MS Mincho" w:cs="Arial"/>
        </w:rPr>
      </w:pPr>
      <w:r>
        <w:rPr>
          <w:rFonts w:eastAsia="MS Mincho" w:cs="Arial"/>
        </w:rPr>
        <w:t>Workforce/Training &amp; Education</w:t>
      </w:r>
    </w:p>
    <w:p w14:paraId="4B58CC03" w14:textId="5F5AF165" w:rsidR="00A257A4" w:rsidRDefault="00A257A4" w:rsidP="00517E70">
      <w:pPr>
        <w:pStyle w:val="ListParagraph"/>
        <w:numPr>
          <w:ilvl w:val="0"/>
          <w:numId w:val="55"/>
        </w:numPr>
        <w:spacing w:before="200" w:line="276" w:lineRule="auto"/>
        <w:rPr>
          <w:rFonts w:eastAsia="MS Mincho" w:cs="Arial"/>
        </w:rPr>
      </w:pPr>
      <w:r>
        <w:rPr>
          <w:rFonts w:eastAsia="MS Mincho" w:cs="Arial"/>
        </w:rPr>
        <w:t>Digital Medicines</w:t>
      </w:r>
    </w:p>
    <w:p w14:paraId="70779080" w14:textId="14895846" w:rsidR="00A257A4" w:rsidRDefault="00A257A4" w:rsidP="00517E70">
      <w:pPr>
        <w:pStyle w:val="ListParagraph"/>
        <w:numPr>
          <w:ilvl w:val="0"/>
          <w:numId w:val="55"/>
        </w:numPr>
        <w:spacing w:before="200" w:line="276" w:lineRule="auto"/>
        <w:rPr>
          <w:rFonts w:eastAsia="MS Mincho" w:cs="Arial"/>
        </w:rPr>
      </w:pPr>
      <w:r>
        <w:rPr>
          <w:rFonts w:eastAsia="MS Mincho" w:cs="Arial"/>
        </w:rPr>
        <w:t>Clinical Pharmacy</w:t>
      </w:r>
    </w:p>
    <w:p w14:paraId="12A99106" w14:textId="6E71AEAF" w:rsidR="00A257A4" w:rsidRDefault="00A257A4" w:rsidP="00517E70">
      <w:pPr>
        <w:pStyle w:val="ListParagraph"/>
        <w:numPr>
          <w:ilvl w:val="0"/>
          <w:numId w:val="55"/>
        </w:numPr>
        <w:spacing w:before="200" w:line="276" w:lineRule="auto"/>
        <w:rPr>
          <w:rFonts w:eastAsia="MS Mincho" w:cs="Arial"/>
        </w:rPr>
      </w:pPr>
      <w:r>
        <w:rPr>
          <w:rFonts w:eastAsia="MS Mincho" w:cs="Arial"/>
        </w:rPr>
        <w:t>Aseptic Production</w:t>
      </w:r>
    </w:p>
    <w:p w14:paraId="3F141402" w14:textId="778FD58E" w:rsidR="00A257A4" w:rsidRDefault="00A257A4" w:rsidP="00517E70">
      <w:pPr>
        <w:pStyle w:val="ListParagraph"/>
        <w:numPr>
          <w:ilvl w:val="0"/>
          <w:numId w:val="55"/>
        </w:numPr>
        <w:spacing w:before="200" w:line="276" w:lineRule="auto"/>
        <w:rPr>
          <w:rFonts w:eastAsia="MS Mincho" w:cs="Arial"/>
        </w:rPr>
      </w:pPr>
      <w:r>
        <w:rPr>
          <w:rFonts w:eastAsia="MS Mincho" w:cs="Arial"/>
        </w:rPr>
        <w:t>Medicines Supply/Medicines Value</w:t>
      </w:r>
    </w:p>
    <w:p w14:paraId="07EDC3FE" w14:textId="14AF970B" w:rsidR="00A257A4" w:rsidRDefault="00A257A4" w:rsidP="00517E70">
      <w:pPr>
        <w:pStyle w:val="ListParagraph"/>
        <w:numPr>
          <w:ilvl w:val="0"/>
          <w:numId w:val="55"/>
        </w:numPr>
        <w:spacing w:before="200" w:line="276" w:lineRule="auto"/>
        <w:rPr>
          <w:rFonts w:eastAsia="MS Mincho" w:cs="Arial"/>
        </w:rPr>
      </w:pPr>
      <w:r>
        <w:rPr>
          <w:rFonts w:eastAsia="MS Mincho" w:cs="Arial"/>
        </w:rPr>
        <w:t>Quality Improvement &amp; Surveillance</w:t>
      </w:r>
    </w:p>
    <w:p w14:paraId="1C4DDBD4" w14:textId="089B27F8" w:rsidR="00A257A4" w:rsidRDefault="00A257A4" w:rsidP="00517E70">
      <w:pPr>
        <w:pStyle w:val="ListParagraph"/>
        <w:numPr>
          <w:ilvl w:val="0"/>
          <w:numId w:val="55"/>
        </w:numPr>
        <w:spacing w:before="200" w:line="276" w:lineRule="auto"/>
        <w:rPr>
          <w:rFonts w:eastAsia="MS Mincho" w:cs="Arial"/>
        </w:rPr>
      </w:pPr>
      <w:r>
        <w:rPr>
          <w:rFonts w:eastAsia="MS Mincho" w:cs="Arial"/>
        </w:rPr>
        <w:t>Medicines Safety &amp; Governance</w:t>
      </w:r>
    </w:p>
    <w:p w14:paraId="73AE0560" w14:textId="70D46FEC" w:rsidR="00A257A4" w:rsidRDefault="00A257A4" w:rsidP="00517E70">
      <w:pPr>
        <w:pStyle w:val="ListParagraph"/>
        <w:numPr>
          <w:ilvl w:val="0"/>
          <w:numId w:val="55"/>
        </w:numPr>
        <w:spacing w:before="200" w:line="276" w:lineRule="auto"/>
        <w:rPr>
          <w:rFonts w:eastAsia="MS Mincho" w:cs="Arial"/>
        </w:rPr>
      </w:pPr>
      <w:r>
        <w:rPr>
          <w:rFonts w:eastAsia="MS Mincho" w:cs="Arial"/>
        </w:rPr>
        <w:t>Emergency Department – Reducing unnecessary attendance through Community Pharmacy (ED CPCS)</w:t>
      </w:r>
    </w:p>
    <w:p w14:paraId="62F36B1C" w14:textId="3C637E1B" w:rsidR="00A257A4" w:rsidRDefault="00A257A4" w:rsidP="00517E70">
      <w:pPr>
        <w:pStyle w:val="ListParagraph"/>
        <w:numPr>
          <w:ilvl w:val="0"/>
          <w:numId w:val="55"/>
        </w:numPr>
        <w:spacing w:before="200" w:line="276" w:lineRule="auto"/>
        <w:rPr>
          <w:rFonts w:eastAsia="MS Mincho" w:cs="Arial"/>
        </w:rPr>
      </w:pPr>
      <w:r>
        <w:rPr>
          <w:rFonts w:eastAsia="MS Mincho" w:cs="Arial"/>
        </w:rPr>
        <w:t>Discharge Medicines Service (DMS)</w:t>
      </w:r>
    </w:p>
    <w:p w14:paraId="5156DD64" w14:textId="1EA99DFF" w:rsidR="00A257A4" w:rsidRPr="00A257A4" w:rsidRDefault="00A257A4" w:rsidP="00517E70">
      <w:pPr>
        <w:pStyle w:val="ListParagraph"/>
        <w:numPr>
          <w:ilvl w:val="0"/>
          <w:numId w:val="55"/>
        </w:numPr>
        <w:spacing w:before="200" w:line="276" w:lineRule="auto"/>
        <w:rPr>
          <w:rFonts w:eastAsia="MS Mincho" w:cs="Arial"/>
        </w:rPr>
      </w:pPr>
      <w:r>
        <w:rPr>
          <w:rFonts w:eastAsia="MS Mincho" w:cs="Arial"/>
        </w:rPr>
        <w:t>Single ICS Formulary</w:t>
      </w:r>
    </w:p>
    <w:p w14:paraId="1CA3C60F" w14:textId="77777777" w:rsidR="00DC7CB4" w:rsidRDefault="00DC7CB4">
      <w:pPr>
        <w:spacing w:before="200" w:after="200" w:line="276" w:lineRule="auto"/>
        <w:rPr>
          <w:rFonts w:eastAsia="MS Mincho" w:cs="Arial"/>
        </w:rPr>
      </w:pPr>
      <w:r>
        <w:rPr>
          <w:rFonts w:eastAsia="MS Mincho" w:cs="Arial"/>
        </w:rPr>
        <w:br w:type="page"/>
      </w:r>
    </w:p>
    <w:p w14:paraId="7CF69B46" w14:textId="4ED585B5" w:rsidR="002408D2" w:rsidRDefault="00E31552" w:rsidP="002408D2">
      <w:pPr>
        <w:pStyle w:val="Heading1"/>
      </w:pPr>
      <w:bookmarkStart w:id="35" w:name="_Toc113628592"/>
      <w:r>
        <w:lastRenderedPageBreak/>
        <w:t>Local Picture</w:t>
      </w:r>
      <w:bookmarkEnd w:id="35"/>
    </w:p>
    <w:p w14:paraId="75E06B09" w14:textId="552F7B3C" w:rsidR="003569E2" w:rsidRDefault="00F81F68" w:rsidP="003569E2">
      <w:r>
        <w:t xml:space="preserve">In this section we will be discussing the local demographics </w:t>
      </w:r>
      <w:r w:rsidR="00B97C7C">
        <w:t>within</w:t>
      </w:r>
      <w:r>
        <w:t xml:space="preserve"> Coventry and Warwickshire. </w:t>
      </w:r>
      <w:r w:rsidR="00E36ADA">
        <w:t xml:space="preserve">We have identified key demographics that </w:t>
      </w:r>
      <w:r w:rsidR="00B1309D">
        <w:t>have an impact on community pharmacy usage</w:t>
      </w:r>
      <w:r w:rsidR="00B97C7C">
        <w:t xml:space="preserve"> </w:t>
      </w:r>
      <w:r w:rsidR="005101A9">
        <w:t>such as</w:t>
      </w:r>
      <w:r w:rsidR="00057A77">
        <w:t>:</w:t>
      </w:r>
    </w:p>
    <w:p w14:paraId="692B3DCF" w14:textId="742872DF" w:rsidR="00057A77" w:rsidRDefault="00081CEF" w:rsidP="008D3B10">
      <w:pPr>
        <w:pStyle w:val="ListParagraph"/>
        <w:numPr>
          <w:ilvl w:val="0"/>
          <w:numId w:val="9"/>
        </w:numPr>
      </w:pPr>
      <w:r>
        <w:t>People aged 55+ are more likely to use community pharmacy on a regular basis</w:t>
      </w:r>
    </w:p>
    <w:p w14:paraId="74BDC259" w14:textId="09B5C066" w:rsidR="008B2914" w:rsidRDefault="002651EF" w:rsidP="008D3B10">
      <w:pPr>
        <w:pStyle w:val="ListParagraph"/>
        <w:numPr>
          <w:ilvl w:val="0"/>
          <w:numId w:val="9"/>
        </w:numPr>
      </w:pPr>
      <w:r>
        <w:t xml:space="preserve">People from ethnically diverse communities </w:t>
      </w:r>
      <w:r w:rsidR="00212D71">
        <w:t xml:space="preserve">may </w:t>
      </w:r>
      <w:r w:rsidR="00433C59">
        <w:t xml:space="preserve">require </w:t>
      </w:r>
      <w:r w:rsidR="008628DB">
        <w:t>consideration when accessing pharmacy services</w:t>
      </w:r>
      <w:r w:rsidR="0092430F">
        <w:t xml:space="preserve">, </w:t>
      </w:r>
      <w:r w:rsidR="000D0066">
        <w:t xml:space="preserve">especially </w:t>
      </w:r>
      <w:r w:rsidR="00D57174">
        <w:t>regarding</w:t>
      </w:r>
      <w:r w:rsidR="002D08AE">
        <w:t xml:space="preserve"> </w:t>
      </w:r>
      <w:r w:rsidR="00877890">
        <w:t xml:space="preserve">the </w:t>
      </w:r>
      <w:r w:rsidR="002D08AE">
        <w:t>diversity of language</w:t>
      </w:r>
      <w:r w:rsidR="00877890">
        <w:t xml:space="preserve">s spoken </w:t>
      </w:r>
      <w:r w:rsidR="00661981">
        <w:t>across</w:t>
      </w:r>
      <w:r w:rsidR="00877890">
        <w:t xml:space="preserve"> Coventry and Warwickshire</w:t>
      </w:r>
    </w:p>
    <w:p w14:paraId="46C3F756" w14:textId="36D42625" w:rsidR="008D5A73" w:rsidRDefault="008D5A73" w:rsidP="008D3B10">
      <w:pPr>
        <w:pStyle w:val="ListParagraph"/>
        <w:numPr>
          <w:ilvl w:val="0"/>
          <w:numId w:val="9"/>
        </w:numPr>
      </w:pPr>
      <w:r>
        <w:t xml:space="preserve">People who live in areas of deprivation are more likely to have a shorter healthy life expectancy and are therefore more likely to need access to healthcare services earlier, </w:t>
      </w:r>
      <w:r w:rsidR="00C71131">
        <w:t>including community pharmacy</w:t>
      </w:r>
    </w:p>
    <w:p w14:paraId="249EC65B" w14:textId="10850024" w:rsidR="001427D8" w:rsidRDefault="001427D8" w:rsidP="008D3B10">
      <w:pPr>
        <w:pStyle w:val="ListParagraph"/>
        <w:numPr>
          <w:ilvl w:val="0"/>
          <w:numId w:val="9"/>
        </w:numPr>
      </w:pPr>
      <w:r>
        <w:t>Areas</w:t>
      </w:r>
      <w:r w:rsidR="00960930">
        <w:t xml:space="preserve"> of high population density will have higher demand fo</w:t>
      </w:r>
      <w:r w:rsidR="00F76D84">
        <w:t>r</w:t>
      </w:r>
      <w:r w:rsidR="00960930">
        <w:t xml:space="preserve"> community </w:t>
      </w:r>
      <w:r w:rsidR="00A05636">
        <w:t>pharmacy, so it is important to consider</w:t>
      </w:r>
      <w:r w:rsidR="003440CE">
        <w:t xml:space="preserve"> new</w:t>
      </w:r>
      <w:r w:rsidR="00A05636">
        <w:t xml:space="preserve"> housing developments</w:t>
      </w:r>
      <w:r w:rsidR="003440CE">
        <w:t xml:space="preserve"> as an indicator of </w:t>
      </w:r>
      <w:r w:rsidR="00A11CC3">
        <w:t>population and population d</w:t>
      </w:r>
      <w:r w:rsidR="00202A11">
        <w:t>e</w:t>
      </w:r>
      <w:r w:rsidR="00A11CC3">
        <w:t>nsity</w:t>
      </w:r>
    </w:p>
    <w:p w14:paraId="3DFA8DD2" w14:textId="6A19B610" w:rsidR="00E51985" w:rsidRDefault="00C34083" w:rsidP="008D3B10">
      <w:pPr>
        <w:pStyle w:val="ListParagraph"/>
        <w:numPr>
          <w:ilvl w:val="0"/>
          <w:numId w:val="9"/>
        </w:numPr>
      </w:pPr>
      <w:r>
        <w:t xml:space="preserve">In the lifetime of this PNA there is a </w:t>
      </w:r>
      <w:r w:rsidR="00C93CAB">
        <w:t>cost of living crisis which may affect people being able to afford over the counter medications</w:t>
      </w:r>
    </w:p>
    <w:p w14:paraId="20B2A3D2" w14:textId="6571BF9A" w:rsidR="00D1186C" w:rsidRDefault="00C042EE" w:rsidP="008D3B10">
      <w:pPr>
        <w:pStyle w:val="ListParagraph"/>
        <w:numPr>
          <w:ilvl w:val="0"/>
          <w:numId w:val="9"/>
        </w:numPr>
      </w:pPr>
      <w:r>
        <w:t>It was acknowledged in the public survey that car travel was the most popular way to access community pharmacies</w:t>
      </w:r>
      <w:r w:rsidR="00EF080C">
        <w:t>, therefore</w:t>
      </w:r>
      <w:r>
        <w:t xml:space="preserve"> it is important to consider car ownership</w:t>
      </w:r>
      <w:r w:rsidR="00EF080C">
        <w:t xml:space="preserve"> </w:t>
      </w:r>
      <w:r w:rsidR="00EF1E12">
        <w:t>and potential change in travel choice due to the cost of living crisis</w:t>
      </w:r>
    </w:p>
    <w:p w14:paraId="2F6EEF0A" w14:textId="77777777" w:rsidR="00D02DCA" w:rsidRPr="003569E2" w:rsidRDefault="00D02DCA" w:rsidP="00D02DCA"/>
    <w:p w14:paraId="0C292B01" w14:textId="517A5C07" w:rsidR="181A1297" w:rsidRDefault="181A1297" w:rsidP="181A1297">
      <w:pPr>
        <w:pStyle w:val="Heading2"/>
      </w:pPr>
      <w:bookmarkStart w:id="36" w:name="_Toc113628593"/>
      <w:r w:rsidRPr="78166A2C">
        <w:rPr>
          <w:rFonts w:eastAsia="Arial" w:cs="Arial"/>
          <w:color w:val="000000" w:themeColor="text1"/>
        </w:rPr>
        <w:t>Population</w:t>
      </w:r>
      <w:bookmarkEnd w:id="36"/>
    </w:p>
    <w:p w14:paraId="489EC05B" w14:textId="77777777" w:rsidR="00BB515F" w:rsidRDefault="007A04B0" w:rsidP="181A1297">
      <w:r>
        <w:rPr>
          <w:noProof/>
          <w:color w:val="2B579A"/>
          <w:shd w:val="clear" w:color="auto" w:fill="E6E6E6"/>
        </w:rPr>
        <mc:AlternateContent>
          <mc:Choice Requires="wps">
            <w:drawing>
              <wp:anchor distT="0" distB="0" distL="114300" distR="114300" simplePos="0" relativeHeight="251658248" behindDoc="0" locked="0" layoutInCell="1" allowOverlap="1" wp14:anchorId="14122378" wp14:editId="334C1473">
                <wp:simplePos x="0" y="0"/>
                <wp:positionH relativeFrom="column">
                  <wp:posOffset>3085676</wp:posOffset>
                </wp:positionH>
                <wp:positionV relativeFrom="paragraph">
                  <wp:posOffset>5039149</wp:posOffset>
                </wp:positionV>
                <wp:extent cx="768350" cy="304800"/>
                <wp:effectExtent l="0" t="0" r="0" b="0"/>
                <wp:wrapTopAndBottom/>
                <wp:docPr id="292678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304800"/>
                        </a:xfrm>
                        <a:prstGeom prst="rect">
                          <a:avLst/>
                        </a:prstGeom>
                        <a:noFill/>
                        <a:ln w="9525">
                          <a:noFill/>
                          <a:miter lim="800000"/>
                          <a:headEnd/>
                          <a:tailEnd/>
                        </a:ln>
                      </wps:spPr>
                      <wps:txbx>
                        <w:txbxContent>
                          <w:p w14:paraId="0B10C260" w14:textId="6BAC56E7" w:rsidR="00A66F1B" w:rsidRPr="00455870" w:rsidRDefault="00455870" w:rsidP="00455870">
                            <w:pPr>
                              <w:spacing w:line="240" w:lineRule="auto"/>
                              <w:jc w:val="center"/>
                              <w:rPr>
                                <w:rFonts w:asciiTheme="minorHAnsi" w:hAnsiTheme="minorHAnsi"/>
                                <w:b/>
                                <w:bCs/>
                                <w:color w:val="4B4B4B" w:themeColor="accent6"/>
                                <w:sz w:val="16"/>
                                <w:szCs w:val="16"/>
                              </w:rPr>
                            </w:pPr>
                            <w:r w:rsidRPr="00455870">
                              <w:rPr>
                                <w:rFonts w:asciiTheme="minorHAnsi" w:hAnsiTheme="minorHAnsi"/>
                                <w:b/>
                                <w:bCs/>
                                <w:color w:val="4B4B4B" w:themeColor="accent6"/>
                                <w:sz w:val="16"/>
                                <w:szCs w:val="16"/>
                              </w:rPr>
                              <w:t>%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22378" id="_x0000_t202" coordsize="21600,21600" o:spt="202" path="m,l,21600r21600,l21600,xe">
                <v:stroke joinstyle="miter"/>
                <v:path gradientshapeok="t" o:connecttype="rect"/>
              </v:shapetype>
              <v:shape id="Text Box 2" o:spid="_x0000_s1026" type="#_x0000_t202" style="position:absolute;margin-left:242.95pt;margin-top:396.8pt;width:60.5pt;height:2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9a9wEAAMwDAAAOAAAAZHJzL2Uyb0RvYy54bWysU8tu2zAQvBfoPxC815IdO3EEy0GaNEWB&#10;9AGk/YA1RVlESS5L0pbcr8+SchyjvRXVgeBqydmd2eHqZjCa7aUPCm3Np5OSM2kFNspua/7j+8O7&#10;JWchgm1Ao5U1P8jAb9Zv36x6V8kZdqgb6RmB2FD1ruZdjK4qiiA6aSBM0ElLyRa9gUih3xaNh57Q&#10;jS5mZXlZ9Ogb51HIEOjv/Zjk64zftlLEr20bZGS65tRbzKvP6yatxXoF1daD65Q4tgH/0IUBZano&#10;CeoeIrCdV39BGSU8BmzjRKApsG2VkJkDsZmWf7B56sDJzIXECe4kU/h/sOLL/sl98ywO73GgAWYS&#10;wT2i+BmYxbsO7Fbeeo99J6GhwtMkWdG7UB2vJqlDFRLIpv+MDQ0ZdhEz0NB6k1QhnozQaQCHk+hy&#10;iEzQz6vL5cWCMoJSF+V8WeahFFC9XHY+xI8SDUubmnuaaQaH/WOIqRmoXo6kWhYflNZ5rtqyvubX&#10;i9kiXzjLGBXJdlqZmlNB+kYjJI4fbJMvR1B63FMBbY+kE8+RcRw2Ax1M5DfYHIi+x9Fe9Bxo06H/&#10;zVlP1qp5+LUDLznTnyxJeD2dz5MXczBfXM0o8OeZzXkGrCComkfOxu1dzP4dud6S1K3KMrx2cuyV&#10;LJPVOdo7efI8zqdeH+H6GQAA//8DAFBLAwQUAAYACAAAACEA49a4B98AAAALAQAADwAAAGRycy9k&#10;b3ducmV2LnhtbEyPwU7DMAyG70i8Q2QkbiwZdKUtdScE4graYJO4ZY3XVjRO1WRreXvCCY62P/3+&#10;/nI9216cafSdY4TlQoEgrp3puEH4eH+5yUD4oNno3jEhfJOHdXV5UerCuIk3dN6GRsQQ9oVGaEMY&#10;Cil93ZLVfuEG4ng7utHqEMexkWbUUwy3vbxVKpVWdxw/tHqgp5bqr+3JIuxej5/7RL01z3Y1TG5W&#10;km0uEa+v5scHEIHm8AfDr35Uhyo6HdyJjRc9QpKt8ogi3Od3KYhIpCqNmwNClixTkFUp/3eofgAA&#10;AP//AwBQSwECLQAUAAYACAAAACEAtoM4kv4AAADhAQAAEwAAAAAAAAAAAAAAAAAAAAAAW0NvbnRl&#10;bnRfVHlwZXNdLnhtbFBLAQItABQABgAIAAAAIQA4/SH/1gAAAJQBAAALAAAAAAAAAAAAAAAAAC8B&#10;AABfcmVscy8ucmVsc1BLAQItABQABgAIAAAAIQAFXu9a9wEAAMwDAAAOAAAAAAAAAAAAAAAAAC4C&#10;AABkcnMvZTJvRG9jLnhtbFBLAQItABQABgAIAAAAIQDj1rgH3wAAAAsBAAAPAAAAAAAAAAAAAAAA&#10;AFEEAABkcnMvZG93bnJldi54bWxQSwUGAAAAAAQABADzAAAAXQUAAAAA&#10;" filled="f" stroked="f">
                <v:textbox>
                  <w:txbxContent>
                    <w:p w14:paraId="0B10C260" w14:textId="6BAC56E7" w:rsidR="00A66F1B" w:rsidRPr="00455870" w:rsidRDefault="00455870" w:rsidP="00455870">
                      <w:pPr>
                        <w:spacing w:line="240" w:lineRule="auto"/>
                        <w:jc w:val="center"/>
                        <w:rPr>
                          <w:rFonts w:asciiTheme="minorHAnsi" w:hAnsiTheme="minorHAnsi"/>
                          <w:b/>
                          <w:bCs/>
                          <w:color w:val="4B4B4B" w:themeColor="accent6"/>
                          <w:sz w:val="16"/>
                          <w:szCs w:val="16"/>
                        </w:rPr>
                      </w:pPr>
                      <w:r w:rsidRPr="00455870">
                        <w:rPr>
                          <w:rFonts w:asciiTheme="minorHAnsi" w:hAnsiTheme="minorHAnsi"/>
                          <w:b/>
                          <w:bCs/>
                          <w:color w:val="4B4B4B" w:themeColor="accent6"/>
                          <w:sz w:val="16"/>
                          <w:szCs w:val="16"/>
                        </w:rPr>
                        <w:t>% Population</w:t>
                      </w:r>
                    </w:p>
                  </w:txbxContent>
                </v:textbox>
                <w10:wrap type="topAndBottom"/>
              </v:shape>
            </w:pict>
          </mc:Fallback>
        </mc:AlternateContent>
      </w:r>
      <w:r w:rsidR="009E2015">
        <w:t xml:space="preserve">In 2020, the ONS estimated the </w:t>
      </w:r>
      <w:r w:rsidR="003643B7">
        <w:t xml:space="preserve">usual </w:t>
      </w:r>
      <w:r w:rsidR="00D1084F">
        <w:t>resident population of Warwickshire to be 583,786</w:t>
      </w:r>
      <w:r w:rsidR="00EA405D">
        <w:t xml:space="preserve"> split </w:t>
      </w:r>
      <w:r w:rsidR="00B7754D">
        <w:t xml:space="preserve">between </w:t>
      </w:r>
      <w:r w:rsidR="00C77218">
        <w:t>288,334</w:t>
      </w:r>
      <w:r w:rsidR="00B6318A">
        <w:t xml:space="preserve"> </w:t>
      </w:r>
      <w:r w:rsidR="00B6318A" w:rsidRPr="007C5495">
        <w:rPr>
          <w:b/>
          <w:bCs/>
        </w:rPr>
        <w:t>(49%)</w:t>
      </w:r>
      <w:r w:rsidR="00C77218">
        <w:t xml:space="preserve"> males and 295,452</w:t>
      </w:r>
      <w:r w:rsidR="00B6318A">
        <w:t xml:space="preserve"> </w:t>
      </w:r>
      <w:r w:rsidR="00B6318A" w:rsidRPr="007C5495">
        <w:rPr>
          <w:b/>
          <w:bCs/>
        </w:rPr>
        <w:t>(51%)</w:t>
      </w:r>
      <w:r w:rsidR="00C77218">
        <w:t xml:space="preserve"> females. </w:t>
      </w:r>
      <w:r w:rsidR="00113651">
        <w:t xml:space="preserve">Within Coventry, the ONS estimated the population to be </w:t>
      </w:r>
      <w:r w:rsidR="00860191">
        <w:t>379,</w:t>
      </w:r>
      <w:r w:rsidR="00170D93">
        <w:t>387</w:t>
      </w:r>
      <w:r w:rsidR="004D44DF">
        <w:t xml:space="preserve"> persons, of whom </w:t>
      </w:r>
      <w:r w:rsidR="00DC0594">
        <w:t>193</w:t>
      </w:r>
      <w:r w:rsidR="00087D82">
        <w:t xml:space="preserve">,290 </w:t>
      </w:r>
      <w:r w:rsidR="00D26C47" w:rsidRPr="00D26C47">
        <w:rPr>
          <w:b/>
          <w:bCs/>
        </w:rPr>
        <w:t xml:space="preserve">(51%) </w:t>
      </w:r>
      <w:r w:rsidR="000953CC">
        <w:t xml:space="preserve">were males and </w:t>
      </w:r>
      <w:r w:rsidR="00EB05C6">
        <w:t>186,097</w:t>
      </w:r>
      <w:r w:rsidR="00D26C47">
        <w:t xml:space="preserve"> </w:t>
      </w:r>
      <w:r w:rsidR="00D26C47" w:rsidRPr="00D26C47">
        <w:rPr>
          <w:b/>
          <w:bCs/>
        </w:rPr>
        <w:t>(49%)</w:t>
      </w:r>
      <w:r w:rsidR="00EB05C6">
        <w:t xml:space="preserve"> were females. </w:t>
      </w:r>
      <w:r w:rsidR="00800BE5">
        <w:t xml:space="preserve">When compared to England, Warwickshire has an older </w:t>
      </w:r>
      <w:r w:rsidR="00820D5F">
        <w:t>population</w:t>
      </w:r>
      <w:r w:rsidR="00BB0CEB">
        <w:t xml:space="preserve">, with </w:t>
      </w:r>
      <w:r w:rsidR="00BB0CEB" w:rsidRPr="0080634A">
        <w:rPr>
          <w:b/>
          <w:bCs/>
        </w:rPr>
        <w:t>2</w:t>
      </w:r>
      <w:r w:rsidR="00EA7FBD">
        <w:rPr>
          <w:b/>
          <w:bCs/>
        </w:rPr>
        <w:t>7</w:t>
      </w:r>
      <w:r w:rsidR="00BB0CEB" w:rsidRPr="0080634A">
        <w:rPr>
          <w:b/>
          <w:bCs/>
        </w:rPr>
        <w:t>%</w:t>
      </w:r>
      <w:r w:rsidR="00BB0CEB">
        <w:t xml:space="preserve"> of the population being aged 6</w:t>
      </w:r>
      <w:r w:rsidR="00EA7FBD">
        <w:t>0</w:t>
      </w:r>
      <w:r w:rsidR="00BB0CEB">
        <w:t xml:space="preserve"> o</w:t>
      </w:r>
      <w:r w:rsidR="0003150B">
        <w:t xml:space="preserve">r over compared to </w:t>
      </w:r>
      <w:r w:rsidR="00EA7FBD" w:rsidRPr="00EA7FBD">
        <w:rPr>
          <w:b/>
          <w:bCs/>
        </w:rPr>
        <w:t>24</w:t>
      </w:r>
      <w:r w:rsidR="0003150B" w:rsidRPr="00EA7FBD">
        <w:rPr>
          <w:b/>
          <w:bCs/>
        </w:rPr>
        <w:t>%</w:t>
      </w:r>
      <w:r w:rsidR="0003150B">
        <w:t xml:space="preserve"> in England</w:t>
      </w:r>
      <w:r w:rsidR="00FB2302">
        <w:t xml:space="preserve">. </w:t>
      </w:r>
      <w:r w:rsidR="0005031A">
        <w:t xml:space="preserve">In comparison, </w:t>
      </w:r>
      <w:r w:rsidR="00FB2302">
        <w:t xml:space="preserve">Coventry </w:t>
      </w:r>
      <w:r w:rsidR="00FD5E24">
        <w:t xml:space="preserve">has a younger </w:t>
      </w:r>
      <w:r w:rsidR="006B1A57">
        <w:t>population profile</w:t>
      </w:r>
      <w:r w:rsidR="001446C1">
        <w:t xml:space="preserve"> with </w:t>
      </w:r>
      <w:r w:rsidR="001446C1" w:rsidRPr="0080634A">
        <w:rPr>
          <w:b/>
          <w:bCs/>
        </w:rPr>
        <w:t>1</w:t>
      </w:r>
      <w:r w:rsidR="0005031A" w:rsidRPr="0080634A">
        <w:rPr>
          <w:b/>
          <w:bCs/>
        </w:rPr>
        <w:t>7</w:t>
      </w:r>
      <w:r w:rsidR="001446C1" w:rsidRPr="0080634A">
        <w:rPr>
          <w:b/>
          <w:bCs/>
        </w:rPr>
        <w:t>%</w:t>
      </w:r>
      <w:r w:rsidR="001446C1">
        <w:t xml:space="preserve"> of the population</w:t>
      </w:r>
      <w:r w:rsidR="00A30FD3">
        <w:t xml:space="preserve"> aged 6</w:t>
      </w:r>
      <w:r w:rsidR="0005031A">
        <w:t>0</w:t>
      </w:r>
      <w:r w:rsidR="00A30FD3">
        <w:t xml:space="preserve"> or over</w:t>
      </w:r>
      <w:r w:rsidR="00B902DD">
        <w:t xml:space="preserve"> and </w:t>
      </w:r>
      <w:r w:rsidR="00B902DD" w:rsidRPr="0080634A">
        <w:rPr>
          <w:b/>
          <w:bCs/>
        </w:rPr>
        <w:t>37%</w:t>
      </w:r>
      <w:r w:rsidR="00B902DD">
        <w:t xml:space="preserve"> </w:t>
      </w:r>
      <w:r w:rsidR="003F3AEC">
        <w:t xml:space="preserve">aged between 20-39. </w:t>
      </w:r>
      <w:r w:rsidR="002C6581">
        <w:t xml:space="preserve"> The </w:t>
      </w:r>
      <w:r w:rsidR="00E91FC0">
        <w:t>age distribution varies across Warwickshire with</w:t>
      </w:r>
      <w:r w:rsidR="0029251D">
        <w:t xml:space="preserve"> more rural areas </w:t>
      </w:r>
      <w:r w:rsidR="00A52B3F">
        <w:t>such as North Warwickshire and Stratford-on-Avon</w:t>
      </w:r>
      <w:r w:rsidR="0029251D">
        <w:t xml:space="preserve"> having older populations and Warwick District having a large </w:t>
      </w:r>
      <w:r w:rsidR="009B4AD4">
        <w:t xml:space="preserve">population of those aged between </w:t>
      </w:r>
      <w:r w:rsidR="008B656E">
        <w:t>20</w:t>
      </w:r>
      <w:r w:rsidR="001B5CEA">
        <w:t>-29</w:t>
      </w:r>
      <w:r w:rsidR="00630DA0">
        <w:t xml:space="preserve"> (24,331</w:t>
      </w:r>
      <w:r w:rsidR="0078259D">
        <w:t>, 17%)</w:t>
      </w:r>
      <w:r w:rsidR="001B5CEA">
        <w:t xml:space="preserve">. </w:t>
      </w:r>
    </w:p>
    <w:p w14:paraId="621F69D4" w14:textId="08B95280" w:rsidR="00252EDC" w:rsidRDefault="00BB515F" w:rsidP="181A1297">
      <w:r>
        <w:rPr>
          <w:noProof/>
          <w:color w:val="2B579A"/>
          <w:shd w:val="clear" w:color="auto" w:fill="E6E6E6"/>
        </w:rPr>
        <w:lastRenderedPageBreak/>
        <w:drawing>
          <wp:inline distT="0" distB="0" distL="0" distR="0" wp14:anchorId="7F2E8B2A" wp14:editId="3A0FB4BF">
            <wp:extent cx="6332220" cy="3571572"/>
            <wp:effectExtent l="0" t="0" r="0" b="0"/>
            <wp:docPr id="292678409" name="Picture 292678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32220" cy="3571572"/>
                    </a:xfrm>
                    <a:prstGeom prst="rect">
                      <a:avLst/>
                    </a:prstGeom>
                    <a:noFill/>
                  </pic:spPr>
                </pic:pic>
              </a:graphicData>
            </a:graphic>
          </wp:inline>
        </w:drawing>
      </w:r>
    </w:p>
    <w:p w14:paraId="742F1B25" w14:textId="243C7E59" w:rsidR="00365AC0" w:rsidRDefault="00BB515F" w:rsidP="00D02DCA">
      <w:pPr>
        <w:pStyle w:val="Caption"/>
      </w:pPr>
      <w:r>
        <w:t xml:space="preserve">Figure </w:t>
      </w:r>
      <w:r>
        <w:fldChar w:fldCharType="begin"/>
      </w:r>
      <w:r>
        <w:instrText>SEQ Figure \* ARABIC</w:instrText>
      </w:r>
      <w:r>
        <w:fldChar w:fldCharType="separate"/>
      </w:r>
      <w:r w:rsidR="006553F7">
        <w:rPr>
          <w:noProof/>
        </w:rPr>
        <w:t>4</w:t>
      </w:r>
      <w:r>
        <w:fldChar w:fldCharType="end"/>
      </w:r>
      <w:r w:rsidR="004D69D3">
        <w:t>:</w:t>
      </w:r>
      <w:r>
        <w:t xml:space="preserve"> Mid 2020 Population estimates for males and females in Coventry and Warwickshire</w:t>
      </w:r>
      <w:r>
        <w:br/>
        <w:t>Source</w:t>
      </w:r>
      <w:r w:rsidR="004D69D3">
        <w:t>:</w:t>
      </w:r>
      <w:r>
        <w:t xml:space="preserve"> ONS Mid-year population estimates 2020</w:t>
      </w:r>
    </w:p>
    <w:p w14:paraId="1DC51D36" w14:textId="6B1C9B9E" w:rsidR="00AC2112" w:rsidRPr="00E26FF5" w:rsidRDefault="00503DD1" w:rsidP="00626458">
      <w:pPr>
        <w:rPr>
          <w:rFonts w:eastAsia="MS Mincho" w:cs="Arial"/>
          <w:color w:val="2B579A"/>
          <w:shd w:val="clear" w:color="auto" w:fill="E6E6E6"/>
        </w:rPr>
      </w:pPr>
      <w:r>
        <w:rPr>
          <w:shd w:val="clear" w:color="auto" w:fill="E6E6E6"/>
        </w:rPr>
        <w:t xml:space="preserve"> </w:t>
      </w:r>
    </w:p>
    <w:tbl>
      <w:tblPr>
        <w:tblStyle w:val="GridTable5Dark-Accent1"/>
        <w:tblW w:w="0" w:type="auto"/>
        <w:tblLayout w:type="fixed"/>
        <w:tblLook w:val="04A0" w:firstRow="1" w:lastRow="0" w:firstColumn="1" w:lastColumn="0" w:noHBand="0" w:noVBand="1"/>
      </w:tblPr>
      <w:tblGrid>
        <w:gridCol w:w="909"/>
        <w:gridCol w:w="1219"/>
        <w:gridCol w:w="1708"/>
        <w:gridCol w:w="1708"/>
        <w:gridCol w:w="1283"/>
        <w:gridCol w:w="936"/>
        <w:gridCol w:w="1270"/>
        <w:gridCol w:w="1155"/>
      </w:tblGrid>
      <w:tr w:rsidR="00E7747D" w:rsidRPr="00B8459A" w14:paraId="2EC5C60E" w14:textId="3DCB90D0" w:rsidTr="002A4A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46140F21" w14:textId="1C293734" w:rsidR="00E7747D" w:rsidRPr="00B8459A" w:rsidRDefault="00E7747D" w:rsidP="181A1297">
            <w:pPr>
              <w:rPr>
                <w:rFonts w:eastAsia="MS Mincho" w:cs="Arial"/>
                <w:sz w:val="22"/>
                <w:szCs w:val="22"/>
              </w:rPr>
            </w:pPr>
            <w:r w:rsidRPr="00B8459A">
              <w:rPr>
                <w:rFonts w:eastAsia="MS Mincho" w:cs="Arial"/>
                <w:sz w:val="22"/>
                <w:szCs w:val="22"/>
              </w:rPr>
              <w:t>Age Group</w:t>
            </w:r>
          </w:p>
        </w:tc>
        <w:tc>
          <w:tcPr>
            <w:tcW w:w="1219" w:type="dxa"/>
          </w:tcPr>
          <w:p w14:paraId="0A954BF1" w14:textId="001F4B1D"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Coventry</w:t>
            </w:r>
          </w:p>
        </w:tc>
        <w:tc>
          <w:tcPr>
            <w:tcW w:w="1708" w:type="dxa"/>
          </w:tcPr>
          <w:p w14:paraId="1C8F260F" w14:textId="54DCCCAE"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Warwickshire</w:t>
            </w:r>
          </w:p>
        </w:tc>
        <w:tc>
          <w:tcPr>
            <w:tcW w:w="1708" w:type="dxa"/>
          </w:tcPr>
          <w:p w14:paraId="3AB3C832" w14:textId="08FEA105"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North Warwickshire</w:t>
            </w:r>
          </w:p>
        </w:tc>
        <w:tc>
          <w:tcPr>
            <w:tcW w:w="1283" w:type="dxa"/>
          </w:tcPr>
          <w:p w14:paraId="1E13E93A" w14:textId="1B3420EE"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Nuneaton &amp; Bedworth</w:t>
            </w:r>
          </w:p>
        </w:tc>
        <w:tc>
          <w:tcPr>
            <w:tcW w:w="936" w:type="dxa"/>
          </w:tcPr>
          <w:p w14:paraId="7CE71F59" w14:textId="54E32BE4"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Rugby</w:t>
            </w:r>
          </w:p>
        </w:tc>
        <w:tc>
          <w:tcPr>
            <w:tcW w:w="1270" w:type="dxa"/>
          </w:tcPr>
          <w:p w14:paraId="49AA8BE6" w14:textId="62B87161"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Stratford-on-Avon</w:t>
            </w:r>
          </w:p>
        </w:tc>
        <w:tc>
          <w:tcPr>
            <w:tcW w:w="1155" w:type="dxa"/>
          </w:tcPr>
          <w:p w14:paraId="457F4285" w14:textId="4D7E70C1" w:rsidR="00E7747D" w:rsidRPr="00B8459A" w:rsidRDefault="00E7747D" w:rsidP="181A1297">
            <w:pPr>
              <w:cnfStyle w:val="100000000000" w:firstRow="1" w:lastRow="0" w:firstColumn="0" w:lastColumn="0" w:oddVBand="0" w:evenVBand="0" w:oddHBand="0" w:evenHBand="0" w:firstRowFirstColumn="0" w:firstRowLastColumn="0" w:lastRowFirstColumn="0" w:lastRowLastColumn="0"/>
              <w:rPr>
                <w:rFonts w:eastAsia="MS Mincho" w:cs="Arial"/>
                <w:sz w:val="22"/>
                <w:szCs w:val="22"/>
              </w:rPr>
            </w:pPr>
            <w:r w:rsidRPr="00B8459A">
              <w:rPr>
                <w:rFonts w:eastAsia="MS Mincho" w:cs="Arial"/>
                <w:sz w:val="22"/>
                <w:szCs w:val="22"/>
              </w:rPr>
              <w:t>Warwick</w:t>
            </w:r>
          </w:p>
        </w:tc>
      </w:tr>
      <w:tr w:rsidR="00E7747D" w14:paraId="455FF9F8" w14:textId="1AB177CE" w:rsidTr="002A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744BD635" w14:textId="49DBA216" w:rsidR="00E7747D" w:rsidRDefault="00E7747D" w:rsidP="181A1297">
            <w:pPr>
              <w:rPr>
                <w:rFonts w:eastAsia="MS Mincho" w:cs="Arial"/>
                <w:szCs w:val="24"/>
              </w:rPr>
            </w:pPr>
            <w:r>
              <w:rPr>
                <w:rFonts w:eastAsia="MS Mincho" w:cs="Arial"/>
                <w:szCs w:val="24"/>
              </w:rPr>
              <w:t>0-19</w:t>
            </w:r>
          </w:p>
        </w:tc>
        <w:tc>
          <w:tcPr>
            <w:tcW w:w="1219" w:type="dxa"/>
          </w:tcPr>
          <w:p w14:paraId="1C65A844" w14:textId="17ED13B8"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25%</w:t>
            </w:r>
          </w:p>
        </w:tc>
        <w:tc>
          <w:tcPr>
            <w:tcW w:w="1708" w:type="dxa"/>
          </w:tcPr>
          <w:p w14:paraId="02F4F9AC" w14:textId="5EA02568"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22%</w:t>
            </w:r>
          </w:p>
        </w:tc>
        <w:tc>
          <w:tcPr>
            <w:tcW w:w="1708" w:type="dxa"/>
          </w:tcPr>
          <w:p w14:paraId="0B1ADB1C" w14:textId="160BE63B"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21%</w:t>
            </w:r>
          </w:p>
        </w:tc>
        <w:tc>
          <w:tcPr>
            <w:tcW w:w="1283" w:type="dxa"/>
          </w:tcPr>
          <w:p w14:paraId="20546751" w14:textId="3709AB46"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24%</w:t>
            </w:r>
          </w:p>
        </w:tc>
        <w:tc>
          <w:tcPr>
            <w:tcW w:w="936" w:type="dxa"/>
          </w:tcPr>
          <w:p w14:paraId="610C43FD" w14:textId="29482942"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25%</w:t>
            </w:r>
          </w:p>
        </w:tc>
        <w:tc>
          <w:tcPr>
            <w:tcW w:w="1270" w:type="dxa"/>
          </w:tcPr>
          <w:p w14:paraId="2E992CFF" w14:textId="6D35F702"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21%</w:t>
            </w:r>
          </w:p>
        </w:tc>
        <w:tc>
          <w:tcPr>
            <w:tcW w:w="1155" w:type="dxa"/>
          </w:tcPr>
          <w:p w14:paraId="254DCCF0" w14:textId="6CC232C9" w:rsidR="00E7747D" w:rsidRDefault="00E7747D"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22%</w:t>
            </w:r>
          </w:p>
        </w:tc>
      </w:tr>
      <w:tr w:rsidR="00E7747D" w14:paraId="2F82119A" w14:textId="134FE82B" w:rsidTr="002A4AAC">
        <w:tc>
          <w:tcPr>
            <w:cnfStyle w:val="001000000000" w:firstRow="0" w:lastRow="0" w:firstColumn="1" w:lastColumn="0" w:oddVBand="0" w:evenVBand="0" w:oddHBand="0" w:evenHBand="0" w:firstRowFirstColumn="0" w:firstRowLastColumn="0" w:lastRowFirstColumn="0" w:lastRowLastColumn="0"/>
            <w:tcW w:w="909" w:type="dxa"/>
          </w:tcPr>
          <w:p w14:paraId="0E0575F0" w14:textId="57E13145" w:rsidR="00E7747D" w:rsidRDefault="00E7747D" w:rsidP="181A1297">
            <w:pPr>
              <w:rPr>
                <w:rFonts w:eastAsia="MS Mincho" w:cs="Arial"/>
                <w:szCs w:val="24"/>
              </w:rPr>
            </w:pPr>
            <w:r>
              <w:rPr>
                <w:rFonts w:eastAsia="MS Mincho" w:cs="Arial"/>
                <w:szCs w:val="24"/>
              </w:rPr>
              <w:t>20-39</w:t>
            </w:r>
          </w:p>
        </w:tc>
        <w:tc>
          <w:tcPr>
            <w:tcW w:w="1219" w:type="dxa"/>
          </w:tcPr>
          <w:p w14:paraId="028A3FAC" w14:textId="37BB26D1" w:rsidR="00E7747D" w:rsidRDefault="00E7747D"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37%</w:t>
            </w:r>
          </w:p>
        </w:tc>
        <w:tc>
          <w:tcPr>
            <w:tcW w:w="1708" w:type="dxa"/>
          </w:tcPr>
          <w:p w14:paraId="0CB967E7" w14:textId="4481A77C" w:rsidR="00E7747D" w:rsidRDefault="00E7747D"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24%</w:t>
            </w:r>
          </w:p>
        </w:tc>
        <w:tc>
          <w:tcPr>
            <w:tcW w:w="1708" w:type="dxa"/>
          </w:tcPr>
          <w:p w14:paraId="3FD3C829" w14:textId="24F2F4BD" w:rsidR="00E7747D" w:rsidRDefault="00E7747D"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22%</w:t>
            </w:r>
          </w:p>
        </w:tc>
        <w:tc>
          <w:tcPr>
            <w:tcW w:w="1283" w:type="dxa"/>
          </w:tcPr>
          <w:p w14:paraId="3AB2A30E" w14:textId="798F9BD8" w:rsidR="00E7747D" w:rsidRDefault="0044675A"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25%</w:t>
            </w:r>
          </w:p>
        </w:tc>
        <w:tc>
          <w:tcPr>
            <w:tcW w:w="936" w:type="dxa"/>
          </w:tcPr>
          <w:p w14:paraId="7226164A" w14:textId="0F1721DC" w:rsidR="00E7747D" w:rsidRDefault="0044675A"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24%</w:t>
            </w:r>
          </w:p>
        </w:tc>
        <w:tc>
          <w:tcPr>
            <w:tcW w:w="1270" w:type="dxa"/>
          </w:tcPr>
          <w:p w14:paraId="3A321CA7" w14:textId="3F540741" w:rsidR="00E7747D" w:rsidRDefault="0044675A"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20%</w:t>
            </w:r>
          </w:p>
        </w:tc>
        <w:tc>
          <w:tcPr>
            <w:tcW w:w="1155" w:type="dxa"/>
          </w:tcPr>
          <w:p w14:paraId="7B8A7988" w14:textId="62C08E4D" w:rsidR="00E7747D" w:rsidRDefault="0044675A"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29%</w:t>
            </w:r>
          </w:p>
        </w:tc>
      </w:tr>
      <w:tr w:rsidR="0044675A" w14:paraId="14188A15" w14:textId="77777777" w:rsidTr="002A4A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61C5CA7" w14:textId="13485124" w:rsidR="0044675A" w:rsidRDefault="0044675A" w:rsidP="181A1297">
            <w:pPr>
              <w:rPr>
                <w:rFonts w:eastAsia="MS Mincho" w:cs="Arial"/>
                <w:szCs w:val="24"/>
              </w:rPr>
            </w:pPr>
            <w:r>
              <w:rPr>
                <w:rFonts w:eastAsia="MS Mincho" w:cs="Arial"/>
                <w:szCs w:val="24"/>
              </w:rPr>
              <w:t>40-59</w:t>
            </w:r>
          </w:p>
        </w:tc>
        <w:tc>
          <w:tcPr>
            <w:tcW w:w="1219" w:type="dxa"/>
          </w:tcPr>
          <w:p w14:paraId="191B62EA" w14:textId="76D9B614" w:rsidR="0044675A" w:rsidRDefault="0044675A"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21%</w:t>
            </w:r>
          </w:p>
        </w:tc>
        <w:tc>
          <w:tcPr>
            <w:tcW w:w="1708" w:type="dxa"/>
          </w:tcPr>
          <w:p w14:paraId="4AAE623B" w14:textId="7769045F" w:rsidR="0044675A" w:rsidRDefault="0044675A"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27%</w:t>
            </w:r>
          </w:p>
        </w:tc>
        <w:tc>
          <w:tcPr>
            <w:tcW w:w="1708" w:type="dxa"/>
          </w:tcPr>
          <w:p w14:paraId="1EFB4641" w14:textId="439E2927" w:rsidR="0044675A" w:rsidRDefault="0044675A"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28%</w:t>
            </w:r>
          </w:p>
        </w:tc>
        <w:tc>
          <w:tcPr>
            <w:tcW w:w="1283" w:type="dxa"/>
          </w:tcPr>
          <w:p w14:paraId="28C2F6C5" w14:textId="58B8F44C" w:rsidR="0044675A" w:rsidRDefault="00047EA5"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27%</w:t>
            </w:r>
          </w:p>
        </w:tc>
        <w:tc>
          <w:tcPr>
            <w:tcW w:w="936" w:type="dxa"/>
          </w:tcPr>
          <w:p w14:paraId="5A819E29" w14:textId="6CA2E476" w:rsidR="0044675A" w:rsidRDefault="00047EA5"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27%</w:t>
            </w:r>
          </w:p>
        </w:tc>
        <w:tc>
          <w:tcPr>
            <w:tcW w:w="1270" w:type="dxa"/>
          </w:tcPr>
          <w:p w14:paraId="399D6662" w14:textId="32DAE806" w:rsidR="0044675A" w:rsidRDefault="00047EA5"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27%</w:t>
            </w:r>
          </w:p>
        </w:tc>
        <w:tc>
          <w:tcPr>
            <w:tcW w:w="1155" w:type="dxa"/>
          </w:tcPr>
          <w:p w14:paraId="666D8F1F" w14:textId="7DF2807C" w:rsidR="0044675A" w:rsidRDefault="00047EA5" w:rsidP="181A1297">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25%</w:t>
            </w:r>
          </w:p>
        </w:tc>
      </w:tr>
      <w:tr w:rsidR="00047EA5" w14:paraId="6DEB4413" w14:textId="77777777" w:rsidTr="002A4AAC">
        <w:tc>
          <w:tcPr>
            <w:cnfStyle w:val="001000000000" w:firstRow="0" w:lastRow="0" w:firstColumn="1" w:lastColumn="0" w:oddVBand="0" w:evenVBand="0" w:oddHBand="0" w:evenHBand="0" w:firstRowFirstColumn="0" w:firstRowLastColumn="0" w:lastRowFirstColumn="0" w:lastRowLastColumn="0"/>
            <w:tcW w:w="909" w:type="dxa"/>
          </w:tcPr>
          <w:p w14:paraId="254B44C7" w14:textId="2C2D1A6C" w:rsidR="00047EA5" w:rsidRDefault="00047EA5" w:rsidP="181A1297">
            <w:pPr>
              <w:rPr>
                <w:rFonts w:eastAsia="MS Mincho" w:cs="Arial"/>
                <w:szCs w:val="24"/>
              </w:rPr>
            </w:pPr>
            <w:r>
              <w:rPr>
                <w:rFonts w:eastAsia="MS Mincho" w:cs="Arial"/>
                <w:szCs w:val="24"/>
              </w:rPr>
              <w:t>60+</w:t>
            </w:r>
          </w:p>
        </w:tc>
        <w:tc>
          <w:tcPr>
            <w:tcW w:w="1219" w:type="dxa"/>
          </w:tcPr>
          <w:p w14:paraId="539A3AF7" w14:textId="527FD6E7"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17%</w:t>
            </w:r>
          </w:p>
        </w:tc>
        <w:tc>
          <w:tcPr>
            <w:tcW w:w="1708" w:type="dxa"/>
          </w:tcPr>
          <w:p w14:paraId="5ED50A2B" w14:textId="4C6C5817"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27%</w:t>
            </w:r>
          </w:p>
        </w:tc>
        <w:tc>
          <w:tcPr>
            <w:tcW w:w="1708" w:type="dxa"/>
          </w:tcPr>
          <w:p w14:paraId="2DF3F7CD" w14:textId="21FFE88A"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28%</w:t>
            </w:r>
          </w:p>
        </w:tc>
        <w:tc>
          <w:tcPr>
            <w:tcW w:w="1283" w:type="dxa"/>
          </w:tcPr>
          <w:p w14:paraId="037647B2" w14:textId="5E674B9D"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25%</w:t>
            </w:r>
          </w:p>
        </w:tc>
        <w:tc>
          <w:tcPr>
            <w:tcW w:w="936" w:type="dxa"/>
          </w:tcPr>
          <w:p w14:paraId="6BA9316E" w14:textId="5285B3C3"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24%</w:t>
            </w:r>
          </w:p>
        </w:tc>
        <w:tc>
          <w:tcPr>
            <w:tcW w:w="1270" w:type="dxa"/>
          </w:tcPr>
          <w:p w14:paraId="54DA4AE3" w14:textId="7B7C1786"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32%</w:t>
            </w:r>
          </w:p>
        </w:tc>
        <w:tc>
          <w:tcPr>
            <w:tcW w:w="1155" w:type="dxa"/>
          </w:tcPr>
          <w:p w14:paraId="5577BF1B" w14:textId="2990B129" w:rsidR="00047EA5" w:rsidRDefault="00047EA5" w:rsidP="181A1297">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24%</w:t>
            </w:r>
          </w:p>
        </w:tc>
      </w:tr>
    </w:tbl>
    <w:p w14:paraId="7895F76A" w14:textId="0028BD8A" w:rsidR="00013090" w:rsidRDefault="00013090" w:rsidP="00013090">
      <w:pPr>
        <w:pStyle w:val="Caption"/>
        <w:rPr>
          <w:rFonts w:eastAsia="MS Mincho" w:cs="Arial"/>
          <w:szCs w:val="24"/>
        </w:rPr>
      </w:pPr>
      <w:r>
        <w:t xml:space="preserve">Table </w:t>
      </w:r>
      <w:r>
        <w:fldChar w:fldCharType="begin"/>
      </w:r>
      <w:r>
        <w:instrText>SEQ Table \* ARABIC</w:instrText>
      </w:r>
      <w:r>
        <w:fldChar w:fldCharType="separate"/>
      </w:r>
      <w:r w:rsidR="00AC4C6D">
        <w:rPr>
          <w:noProof/>
        </w:rPr>
        <w:t>1</w:t>
      </w:r>
      <w:r>
        <w:fldChar w:fldCharType="end"/>
      </w:r>
      <w:r w:rsidR="004D69D3">
        <w:t>:</w:t>
      </w:r>
      <w:r w:rsidR="00692C93">
        <w:t xml:space="preserve"> </w:t>
      </w:r>
      <w:r w:rsidR="00D0152C">
        <w:t>Percentage age breakdown between localities</w:t>
      </w:r>
      <w:r w:rsidR="00D0152C">
        <w:br/>
        <w:t>Source</w:t>
      </w:r>
      <w:r w:rsidR="004D69D3">
        <w:t>:</w:t>
      </w:r>
      <w:r w:rsidR="00D0152C">
        <w:t xml:space="preserve"> </w:t>
      </w:r>
      <w:r w:rsidR="00D0152C" w:rsidRPr="005C0779">
        <w:t>ONS Mid-year population estimates 2020</w:t>
      </w:r>
    </w:p>
    <w:p w14:paraId="725E94BC" w14:textId="28524E63" w:rsidR="00AE11B6" w:rsidRDefault="002A4AAC" w:rsidP="181A1297">
      <w:pPr>
        <w:rPr>
          <w:rFonts w:eastAsia="MS Mincho" w:cs="Arial"/>
          <w:szCs w:val="24"/>
        </w:rPr>
      </w:pPr>
      <w:r>
        <w:rPr>
          <w:rFonts w:eastAsia="MS Mincho" w:cs="Arial"/>
          <w:szCs w:val="24"/>
        </w:rPr>
        <w:t>In the three years to mid-2020, the population of both Coventry and Warwickshire increased but the drivers of this growth differed. In Coventry, net internal migration was negative at 9,550 meaning more people left to live elsewhere in the country than those who moved in. Net international migration into Coventry was far higher at 24,987 leaving Coventry with a population 15,437 higher in 2020 compared to 2017.</w:t>
      </w:r>
    </w:p>
    <w:p w14:paraId="35704E80" w14:textId="089DCF73" w:rsidR="002A4AAC" w:rsidRDefault="002A4AAC" w:rsidP="181A1297">
      <w:pPr>
        <w:rPr>
          <w:rFonts w:eastAsia="MS Mincho" w:cs="Arial"/>
          <w:szCs w:val="24"/>
        </w:rPr>
      </w:pPr>
      <w:r>
        <w:rPr>
          <w:rFonts w:eastAsia="MS Mincho" w:cs="Arial"/>
          <w:szCs w:val="24"/>
        </w:rPr>
        <w:lastRenderedPageBreak/>
        <w:t>In Warwickshire, internal and international migration were both net positive, with internal migration making up 86% of the total net increase.</w:t>
      </w:r>
    </w:p>
    <w:p w14:paraId="268F143B" w14:textId="6189D411" w:rsidR="00E22826" w:rsidRDefault="00947E10" w:rsidP="181A1297">
      <w:pPr>
        <w:rPr>
          <w:rFonts w:eastAsia="MS Mincho" w:cs="Arial"/>
          <w:szCs w:val="24"/>
        </w:rPr>
      </w:pPr>
      <w:r>
        <w:rPr>
          <w:rFonts w:eastAsia="MS Mincho" w:cs="Arial"/>
          <w:szCs w:val="24"/>
        </w:rPr>
        <w:t>The population of</w:t>
      </w:r>
      <w:r w:rsidR="00424FF4">
        <w:rPr>
          <w:rFonts w:eastAsia="MS Mincho" w:cs="Arial"/>
          <w:szCs w:val="24"/>
        </w:rPr>
        <w:t xml:space="preserve"> both Coventry and Warwickshire are projected to </w:t>
      </w:r>
      <w:r w:rsidR="008C2E09">
        <w:rPr>
          <w:rFonts w:eastAsia="MS Mincho" w:cs="Arial"/>
          <w:szCs w:val="24"/>
        </w:rPr>
        <w:t>increase in the future</w:t>
      </w:r>
      <w:r w:rsidR="0094776C">
        <w:rPr>
          <w:rFonts w:eastAsia="MS Mincho" w:cs="Arial"/>
          <w:szCs w:val="24"/>
        </w:rPr>
        <w:t xml:space="preserve">. </w:t>
      </w:r>
      <w:r w:rsidR="006E293B">
        <w:rPr>
          <w:rFonts w:eastAsia="MS Mincho" w:cs="Arial"/>
          <w:szCs w:val="24"/>
        </w:rPr>
        <w:t>By 2030, the population of</w:t>
      </w:r>
      <w:r w:rsidR="0041161A">
        <w:rPr>
          <w:rFonts w:eastAsia="MS Mincho" w:cs="Arial"/>
          <w:szCs w:val="24"/>
        </w:rPr>
        <w:t xml:space="preserve"> Coventry is projected to increase </w:t>
      </w:r>
      <w:r w:rsidR="00B65549">
        <w:rPr>
          <w:rFonts w:eastAsia="MS Mincho" w:cs="Arial"/>
          <w:szCs w:val="24"/>
        </w:rPr>
        <w:t xml:space="preserve">to </w:t>
      </w:r>
      <w:r w:rsidR="00B65549" w:rsidRPr="00262702">
        <w:rPr>
          <w:rFonts w:eastAsia="MS Mincho" w:cs="Arial"/>
          <w:b/>
          <w:bCs/>
          <w:szCs w:val="24"/>
        </w:rPr>
        <w:t>419</w:t>
      </w:r>
      <w:r w:rsidR="005212C1" w:rsidRPr="00262702">
        <w:rPr>
          <w:rFonts w:eastAsia="MS Mincho" w:cs="Arial"/>
          <w:b/>
          <w:bCs/>
          <w:szCs w:val="24"/>
        </w:rPr>
        <w:t xml:space="preserve">,366 persons </w:t>
      </w:r>
      <w:r w:rsidR="006D3DE2" w:rsidRPr="00262702">
        <w:rPr>
          <w:rFonts w:eastAsia="MS Mincho" w:cs="Arial"/>
          <w:b/>
          <w:bCs/>
          <w:szCs w:val="24"/>
        </w:rPr>
        <w:t>(10.5%)</w:t>
      </w:r>
      <w:r w:rsidR="006D3DE2">
        <w:rPr>
          <w:rFonts w:eastAsia="MS Mincho" w:cs="Arial"/>
          <w:szCs w:val="24"/>
        </w:rPr>
        <w:t xml:space="preserve"> </w:t>
      </w:r>
      <w:r w:rsidR="00C9094E">
        <w:rPr>
          <w:rFonts w:eastAsia="MS Mincho" w:cs="Arial"/>
          <w:szCs w:val="24"/>
        </w:rPr>
        <w:t xml:space="preserve">whilst Warwickshire is projected to increase to </w:t>
      </w:r>
      <w:r w:rsidR="0046215A" w:rsidRPr="00262702">
        <w:rPr>
          <w:rFonts w:eastAsia="MS Mincho" w:cs="Arial"/>
          <w:b/>
          <w:bCs/>
          <w:szCs w:val="24"/>
        </w:rPr>
        <w:t xml:space="preserve">630,395 </w:t>
      </w:r>
      <w:r w:rsidR="002D6CC9" w:rsidRPr="00262702">
        <w:rPr>
          <w:rFonts w:eastAsia="MS Mincho" w:cs="Arial"/>
          <w:b/>
          <w:bCs/>
          <w:szCs w:val="24"/>
        </w:rPr>
        <w:t>(8%).</w:t>
      </w:r>
      <w:r w:rsidR="002D6CC9">
        <w:rPr>
          <w:rFonts w:eastAsia="MS Mincho" w:cs="Arial"/>
          <w:szCs w:val="24"/>
        </w:rPr>
        <w:t xml:space="preserve"> </w:t>
      </w:r>
      <w:r w:rsidR="006A0CD7">
        <w:rPr>
          <w:rFonts w:eastAsia="MS Mincho" w:cs="Arial"/>
          <w:szCs w:val="24"/>
        </w:rPr>
        <w:t xml:space="preserve">All districts within Warwickshire are projected to increase </w:t>
      </w:r>
      <w:r w:rsidR="00EA7E5B">
        <w:rPr>
          <w:rFonts w:eastAsia="MS Mincho" w:cs="Arial"/>
          <w:szCs w:val="24"/>
        </w:rPr>
        <w:t xml:space="preserve">in population with the largest increases </w:t>
      </w:r>
      <w:r w:rsidR="000E5C95">
        <w:rPr>
          <w:rFonts w:eastAsia="MS Mincho" w:cs="Arial"/>
          <w:szCs w:val="24"/>
        </w:rPr>
        <w:t xml:space="preserve">in North Warwickshire </w:t>
      </w:r>
      <w:r w:rsidR="00262702" w:rsidRPr="00262702">
        <w:rPr>
          <w:rFonts w:eastAsia="MS Mincho" w:cs="Arial"/>
          <w:b/>
          <w:bCs/>
          <w:szCs w:val="24"/>
        </w:rPr>
        <w:t xml:space="preserve">(11%) </w:t>
      </w:r>
      <w:r w:rsidR="000E5C95">
        <w:rPr>
          <w:rFonts w:eastAsia="MS Mincho" w:cs="Arial"/>
          <w:szCs w:val="24"/>
        </w:rPr>
        <w:t xml:space="preserve">and Stratford-on-Avon </w:t>
      </w:r>
      <w:r w:rsidR="000E5C95" w:rsidRPr="00262702">
        <w:rPr>
          <w:rFonts w:eastAsia="MS Mincho" w:cs="Arial"/>
          <w:b/>
          <w:bCs/>
          <w:szCs w:val="24"/>
        </w:rPr>
        <w:t>(</w:t>
      </w:r>
      <w:r w:rsidR="00262702" w:rsidRPr="00262702">
        <w:rPr>
          <w:rFonts w:eastAsia="MS Mincho" w:cs="Arial"/>
          <w:b/>
          <w:bCs/>
          <w:szCs w:val="24"/>
        </w:rPr>
        <w:t>12%)</w:t>
      </w:r>
      <w:r w:rsidR="00262702">
        <w:rPr>
          <w:rFonts w:eastAsia="MS Mincho" w:cs="Arial"/>
          <w:szCs w:val="24"/>
        </w:rPr>
        <w:t>.</w:t>
      </w:r>
    </w:p>
    <w:tbl>
      <w:tblPr>
        <w:tblpPr w:leftFromText="180" w:rightFromText="180" w:vertAnchor="text" w:horzAnchor="margin" w:tblpY="150"/>
        <w:tblW w:w="8080" w:type="dxa"/>
        <w:tblLook w:val="04A0" w:firstRow="1" w:lastRow="0" w:firstColumn="1" w:lastColumn="0" w:noHBand="0" w:noVBand="1"/>
      </w:tblPr>
      <w:tblGrid>
        <w:gridCol w:w="1301"/>
        <w:gridCol w:w="1739"/>
        <w:gridCol w:w="1580"/>
        <w:gridCol w:w="1643"/>
        <w:gridCol w:w="1817"/>
      </w:tblGrid>
      <w:tr w:rsidR="009E0FFA" w:rsidRPr="00E22826" w14:paraId="71D287EF" w14:textId="77777777" w:rsidTr="009E0FFA">
        <w:trPr>
          <w:trHeight w:val="496"/>
        </w:trPr>
        <w:tc>
          <w:tcPr>
            <w:tcW w:w="1301" w:type="dxa"/>
            <w:tcBorders>
              <w:top w:val="nil"/>
              <w:left w:val="nil"/>
              <w:bottom w:val="nil"/>
              <w:right w:val="nil"/>
            </w:tcBorders>
            <w:shd w:val="clear" w:color="auto" w:fill="477CBF" w:themeFill="accent1"/>
            <w:noWrap/>
            <w:vAlign w:val="center"/>
          </w:tcPr>
          <w:p w14:paraId="0A2CF960" w14:textId="77777777" w:rsidR="009E0FFA" w:rsidRPr="007017AE" w:rsidRDefault="009E0FFA" w:rsidP="009E0FFA">
            <w:pPr>
              <w:spacing w:before="0" w:after="0" w:line="240" w:lineRule="auto"/>
              <w:jc w:val="center"/>
              <w:rPr>
                <w:rFonts w:asciiTheme="minorHAnsi" w:eastAsia="Times New Roman" w:hAnsiTheme="minorHAnsi" w:cstheme="minorHAnsi"/>
                <w:b/>
                <w:bCs/>
                <w:color w:val="FFFFFF" w:themeColor="background1"/>
                <w:szCs w:val="24"/>
              </w:rPr>
            </w:pPr>
          </w:p>
        </w:tc>
        <w:tc>
          <w:tcPr>
            <w:tcW w:w="6779" w:type="dxa"/>
            <w:gridSpan w:val="4"/>
            <w:tcBorders>
              <w:top w:val="nil"/>
              <w:left w:val="nil"/>
              <w:bottom w:val="nil"/>
              <w:right w:val="nil"/>
            </w:tcBorders>
            <w:shd w:val="clear" w:color="auto" w:fill="477CBF" w:themeFill="accent1"/>
            <w:noWrap/>
            <w:vAlign w:val="center"/>
          </w:tcPr>
          <w:p w14:paraId="7A678E7F" w14:textId="0CF95BEA" w:rsidR="009E0FFA" w:rsidRPr="007017AE" w:rsidRDefault="009E0FFA" w:rsidP="009E0FFA">
            <w:pPr>
              <w:spacing w:before="0" w:after="0" w:line="240" w:lineRule="auto"/>
              <w:jc w:val="both"/>
              <w:rPr>
                <w:rFonts w:asciiTheme="minorHAnsi" w:eastAsia="Times New Roman" w:hAnsiTheme="minorHAnsi" w:cstheme="minorHAnsi"/>
                <w:b/>
                <w:bCs/>
                <w:color w:val="FFFFFF" w:themeColor="background1"/>
                <w:szCs w:val="24"/>
              </w:rPr>
            </w:pPr>
            <w:r w:rsidRPr="007017AE">
              <w:rPr>
                <w:rFonts w:asciiTheme="minorHAnsi" w:eastAsia="Times New Roman" w:hAnsiTheme="minorHAnsi" w:cstheme="minorHAnsi"/>
                <w:b/>
                <w:bCs/>
                <w:color w:val="FFFFFF" w:themeColor="background1"/>
                <w:szCs w:val="24"/>
              </w:rPr>
              <w:t>2030 PROJECTED PERCENTAGE OF POPULATION (%)</w:t>
            </w:r>
          </w:p>
        </w:tc>
      </w:tr>
      <w:tr w:rsidR="009E0FFA" w:rsidRPr="00E22826" w14:paraId="46A297EE" w14:textId="77777777" w:rsidTr="009E0FFA">
        <w:trPr>
          <w:trHeight w:val="308"/>
        </w:trPr>
        <w:tc>
          <w:tcPr>
            <w:tcW w:w="1301" w:type="dxa"/>
            <w:tcBorders>
              <w:top w:val="nil"/>
              <w:left w:val="nil"/>
              <w:bottom w:val="nil"/>
              <w:right w:val="nil"/>
            </w:tcBorders>
            <w:shd w:val="clear" w:color="auto" w:fill="90B0D8" w:themeFill="accent1" w:themeFillTint="99"/>
            <w:noWrap/>
            <w:vAlign w:val="bottom"/>
            <w:hideMark/>
          </w:tcPr>
          <w:p w14:paraId="34B5C7F2" w14:textId="77777777" w:rsidR="009E0FFA" w:rsidRPr="00E22826" w:rsidRDefault="009E0FFA" w:rsidP="009E0FFA">
            <w:pPr>
              <w:spacing w:before="0" w:after="0" w:line="240" w:lineRule="auto"/>
              <w:rPr>
                <w:rFonts w:asciiTheme="minorHAnsi" w:eastAsia="Times New Roman" w:hAnsiTheme="minorHAnsi" w:cstheme="minorHAnsi"/>
                <w:b/>
                <w:bCs/>
                <w:color w:val="000000"/>
                <w:sz w:val="22"/>
                <w:szCs w:val="22"/>
              </w:rPr>
            </w:pPr>
            <w:r w:rsidRPr="00E22826">
              <w:rPr>
                <w:rFonts w:asciiTheme="minorHAnsi" w:eastAsia="Times New Roman" w:hAnsiTheme="minorHAnsi" w:cstheme="minorHAnsi"/>
                <w:b/>
                <w:bCs/>
                <w:color w:val="000000"/>
                <w:sz w:val="22"/>
                <w:szCs w:val="22"/>
              </w:rPr>
              <w:t>Age Group</w:t>
            </w:r>
          </w:p>
        </w:tc>
        <w:tc>
          <w:tcPr>
            <w:tcW w:w="1739" w:type="dxa"/>
            <w:tcBorders>
              <w:top w:val="nil"/>
              <w:left w:val="nil"/>
              <w:bottom w:val="nil"/>
              <w:right w:val="nil"/>
            </w:tcBorders>
            <w:shd w:val="clear" w:color="auto" w:fill="90B0D8" w:themeFill="accent1" w:themeFillTint="99"/>
            <w:noWrap/>
            <w:vAlign w:val="bottom"/>
            <w:hideMark/>
          </w:tcPr>
          <w:p w14:paraId="3CC46CF3" w14:textId="71C453C1" w:rsidR="009E0FFA" w:rsidRPr="00E22826" w:rsidRDefault="009E0FFA" w:rsidP="009E0FFA">
            <w:pPr>
              <w:spacing w:before="0" w:after="0" w:line="240" w:lineRule="auto"/>
              <w:rPr>
                <w:rFonts w:asciiTheme="minorHAnsi" w:eastAsia="Times New Roman" w:hAnsiTheme="minorHAnsi" w:cstheme="minorHAnsi"/>
                <w:b/>
                <w:bCs/>
                <w:color w:val="000000"/>
                <w:sz w:val="22"/>
                <w:szCs w:val="22"/>
              </w:rPr>
            </w:pPr>
            <w:r w:rsidRPr="00E22826">
              <w:rPr>
                <w:rFonts w:asciiTheme="minorHAnsi" w:eastAsia="Times New Roman" w:hAnsiTheme="minorHAnsi" w:cstheme="minorHAnsi"/>
                <w:b/>
                <w:bCs/>
                <w:color w:val="000000"/>
                <w:sz w:val="22"/>
                <w:szCs w:val="22"/>
              </w:rPr>
              <w:t>Coventry</w:t>
            </w:r>
          </w:p>
        </w:tc>
        <w:tc>
          <w:tcPr>
            <w:tcW w:w="1580" w:type="dxa"/>
            <w:tcBorders>
              <w:top w:val="nil"/>
              <w:left w:val="nil"/>
              <w:bottom w:val="nil"/>
              <w:right w:val="nil"/>
            </w:tcBorders>
            <w:shd w:val="clear" w:color="auto" w:fill="90B0D8" w:themeFill="accent1" w:themeFillTint="99"/>
            <w:noWrap/>
            <w:vAlign w:val="bottom"/>
            <w:hideMark/>
          </w:tcPr>
          <w:p w14:paraId="56947E8B" w14:textId="77777777" w:rsidR="009E0FFA" w:rsidRPr="00E22826" w:rsidRDefault="009E0FFA" w:rsidP="009E0FFA">
            <w:pPr>
              <w:spacing w:before="0" w:after="0" w:line="240" w:lineRule="auto"/>
              <w:rPr>
                <w:rFonts w:asciiTheme="minorHAnsi" w:eastAsia="Times New Roman" w:hAnsiTheme="minorHAnsi" w:cstheme="minorHAnsi"/>
                <w:b/>
                <w:bCs/>
                <w:color w:val="000000"/>
                <w:sz w:val="22"/>
                <w:szCs w:val="22"/>
              </w:rPr>
            </w:pPr>
            <w:r w:rsidRPr="00E22826">
              <w:rPr>
                <w:rFonts w:asciiTheme="minorHAnsi" w:eastAsia="Times New Roman" w:hAnsiTheme="minorHAnsi" w:cstheme="minorHAnsi"/>
                <w:b/>
                <w:bCs/>
                <w:color w:val="000000"/>
                <w:sz w:val="22"/>
                <w:szCs w:val="22"/>
              </w:rPr>
              <w:t>+/- 2020</w:t>
            </w:r>
          </w:p>
        </w:tc>
        <w:tc>
          <w:tcPr>
            <w:tcW w:w="1643" w:type="dxa"/>
            <w:tcBorders>
              <w:top w:val="nil"/>
              <w:left w:val="nil"/>
              <w:bottom w:val="nil"/>
              <w:right w:val="nil"/>
            </w:tcBorders>
            <w:shd w:val="clear" w:color="auto" w:fill="90B0D8" w:themeFill="accent1" w:themeFillTint="99"/>
            <w:noWrap/>
            <w:vAlign w:val="bottom"/>
            <w:hideMark/>
          </w:tcPr>
          <w:p w14:paraId="19C7734A" w14:textId="77777777" w:rsidR="009E0FFA" w:rsidRPr="00E22826" w:rsidRDefault="009E0FFA" w:rsidP="009E0FFA">
            <w:pPr>
              <w:spacing w:before="0" w:after="0" w:line="240" w:lineRule="auto"/>
              <w:rPr>
                <w:rFonts w:asciiTheme="minorHAnsi" w:eastAsia="Times New Roman" w:hAnsiTheme="minorHAnsi" w:cstheme="minorHAnsi"/>
                <w:b/>
                <w:bCs/>
                <w:color w:val="000000"/>
                <w:sz w:val="22"/>
                <w:szCs w:val="22"/>
              </w:rPr>
            </w:pPr>
            <w:r w:rsidRPr="00E22826">
              <w:rPr>
                <w:rFonts w:asciiTheme="minorHAnsi" w:eastAsia="Times New Roman" w:hAnsiTheme="minorHAnsi" w:cstheme="minorHAnsi"/>
                <w:b/>
                <w:bCs/>
                <w:color w:val="000000"/>
                <w:sz w:val="22"/>
                <w:szCs w:val="22"/>
              </w:rPr>
              <w:t>Warwickshire</w:t>
            </w:r>
          </w:p>
        </w:tc>
        <w:tc>
          <w:tcPr>
            <w:tcW w:w="1817" w:type="dxa"/>
            <w:tcBorders>
              <w:top w:val="nil"/>
              <w:left w:val="nil"/>
              <w:bottom w:val="nil"/>
              <w:right w:val="nil"/>
            </w:tcBorders>
            <w:shd w:val="clear" w:color="auto" w:fill="90B0D8" w:themeFill="accent1" w:themeFillTint="99"/>
            <w:noWrap/>
            <w:vAlign w:val="bottom"/>
            <w:hideMark/>
          </w:tcPr>
          <w:p w14:paraId="139E9ABA" w14:textId="77777777" w:rsidR="009E0FFA" w:rsidRPr="00E22826" w:rsidRDefault="009E0FFA" w:rsidP="009E0FFA">
            <w:pPr>
              <w:spacing w:before="0" w:after="0" w:line="240" w:lineRule="auto"/>
              <w:rPr>
                <w:rFonts w:asciiTheme="minorHAnsi" w:eastAsia="Times New Roman" w:hAnsiTheme="minorHAnsi" w:cstheme="minorHAnsi"/>
                <w:b/>
                <w:bCs/>
                <w:color w:val="000000"/>
                <w:sz w:val="22"/>
                <w:szCs w:val="22"/>
              </w:rPr>
            </w:pPr>
            <w:r w:rsidRPr="00E22826">
              <w:rPr>
                <w:rFonts w:asciiTheme="minorHAnsi" w:eastAsia="Times New Roman" w:hAnsiTheme="minorHAnsi" w:cstheme="minorHAnsi"/>
                <w:b/>
                <w:bCs/>
                <w:color w:val="000000"/>
                <w:sz w:val="22"/>
                <w:szCs w:val="22"/>
              </w:rPr>
              <w:t>+/- 2020</w:t>
            </w:r>
          </w:p>
        </w:tc>
      </w:tr>
      <w:tr w:rsidR="009E0FFA" w:rsidRPr="00E22826" w14:paraId="7574ED7D" w14:textId="77777777" w:rsidTr="009E0FFA">
        <w:trPr>
          <w:trHeight w:val="308"/>
        </w:trPr>
        <w:tc>
          <w:tcPr>
            <w:tcW w:w="1301" w:type="dxa"/>
            <w:tcBorders>
              <w:top w:val="nil"/>
              <w:left w:val="nil"/>
              <w:bottom w:val="nil"/>
              <w:right w:val="nil"/>
            </w:tcBorders>
            <w:shd w:val="clear" w:color="auto" w:fill="DBDBDB" w:themeFill="accent6" w:themeFillTint="33"/>
            <w:noWrap/>
            <w:vAlign w:val="bottom"/>
            <w:hideMark/>
          </w:tcPr>
          <w:p w14:paraId="66AB4E70"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0-19</w:t>
            </w:r>
          </w:p>
        </w:tc>
        <w:tc>
          <w:tcPr>
            <w:tcW w:w="1739" w:type="dxa"/>
            <w:tcBorders>
              <w:top w:val="nil"/>
              <w:left w:val="nil"/>
              <w:bottom w:val="nil"/>
              <w:right w:val="nil"/>
            </w:tcBorders>
            <w:shd w:val="clear" w:color="auto" w:fill="DBDBDB" w:themeFill="accent6" w:themeFillTint="33"/>
            <w:noWrap/>
            <w:vAlign w:val="bottom"/>
            <w:hideMark/>
          </w:tcPr>
          <w:p w14:paraId="54ED1BBE"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25</w:t>
            </w:r>
          </w:p>
        </w:tc>
        <w:tc>
          <w:tcPr>
            <w:tcW w:w="1580" w:type="dxa"/>
            <w:tcBorders>
              <w:top w:val="nil"/>
              <w:left w:val="nil"/>
              <w:bottom w:val="nil"/>
              <w:right w:val="nil"/>
            </w:tcBorders>
            <w:shd w:val="clear" w:color="auto" w:fill="DBDBDB" w:themeFill="accent6" w:themeFillTint="33"/>
            <w:noWrap/>
            <w:vAlign w:val="bottom"/>
            <w:hideMark/>
          </w:tcPr>
          <w:p w14:paraId="274E27EF"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7017AE">
              <w:rPr>
                <w:rFonts w:asciiTheme="minorHAnsi" w:eastAsia="Times New Roman" w:hAnsiTheme="minorHAnsi" w:cstheme="minorHAnsi"/>
                <w:color w:val="000000"/>
                <w:szCs w:val="24"/>
              </w:rPr>
              <w:t>+</w:t>
            </w:r>
            <w:r w:rsidRPr="00E22826">
              <w:rPr>
                <w:rFonts w:asciiTheme="minorHAnsi" w:eastAsia="Times New Roman" w:hAnsiTheme="minorHAnsi" w:cstheme="minorHAnsi"/>
                <w:color w:val="000000"/>
                <w:szCs w:val="24"/>
              </w:rPr>
              <w:t>0.3</w:t>
            </w:r>
          </w:p>
        </w:tc>
        <w:tc>
          <w:tcPr>
            <w:tcW w:w="1643" w:type="dxa"/>
            <w:tcBorders>
              <w:top w:val="nil"/>
              <w:left w:val="nil"/>
              <w:bottom w:val="nil"/>
              <w:right w:val="nil"/>
            </w:tcBorders>
            <w:shd w:val="clear" w:color="auto" w:fill="DBDBDB" w:themeFill="accent6" w:themeFillTint="33"/>
            <w:noWrap/>
            <w:vAlign w:val="bottom"/>
            <w:hideMark/>
          </w:tcPr>
          <w:p w14:paraId="7C5EC27A"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22</w:t>
            </w:r>
          </w:p>
        </w:tc>
        <w:tc>
          <w:tcPr>
            <w:tcW w:w="1817" w:type="dxa"/>
            <w:tcBorders>
              <w:top w:val="nil"/>
              <w:left w:val="nil"/>
              <w:bottom w:val="nil"/>
              <w:right w:val="nil"/>
            </w:tcBorders>
            <w:shd w:val="clear" w:color="auto" w:fill="DBDBDB" w:themeFill="accent6" w:themeFillTint="33"/>
            <w:noWrap/>
            <w:vAlign w:val="bottom"/>
            <w:hideMark/>
          </w:tcPr>
          <w:p w14:paraId="5A57CD89"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-0.4</w:t>
            </w:r>
          </w:p>
        </w:tc>
      </w:tr>
      <w:tr w:rsidR="009E0FFA" w:rsidRPr="00E22826" w14:paraId="2E95F724" w14:textId="77777777" w:rsidTr="009E0FFA">
        <w:trPr>
          <w:trHeight w:val="308"/>
        </w:trPr>
        <w:tc>
          <w:tcPr>
            <w:tcW w:w="1301" w:type="dxa"/>
            <w:tcBorders>
              <w:top w:val="nil"/>
              <w:left w:val="nil"/>
              <w:bottom w:val="nil"/>
              <w:right w:val="nil"/>
            </w:tcBorders>
            <w:shd w:val="clear" w:color="auto" w:fill="F2F2F2" w:themeFill="background1" w:themeFillShade="F2"/>
            <w:noWrap/>
            <w:vAlign w:val="bottom"/>
            <w:hideMark/>
          </w:tcPr>
          <w:p w14:paraId="21C7C3C1"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20-39</w:t>
            </w:r>
          </w:p>
        </w:tc>
        <w:tc>
          <w:tcPr>
            <w:tcW w:w="1739" w:type="dxa"/>
            <w:tcBorders>
              <w:top w:val="nil"/>
              <w:left w:val="nil"/>
              <w:bottom w:val="nil"/>
              <w:right w:val="nil"/>
            </w:tcBorders>
            <w:shd w:val="clear" w:color="auto" w:fill="F2F2F2" w:themeFill="background1" w:themeFillShade="F2"/>
            <w:noWrap/>
            <w:vAlign w:val="bottom"/>
            <w:hideMark/>
          </w:tcPr>
          <w:p w14:paraId="07AD99F5" w14:textId="58B67B58"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36</w:t>
            </w:r>
          </w:p>
        </w:tc>
        <w:tc>
          <w:tcPr>
            <w:tcW w:w="1580" w:type="dxa"/>
            <w:tcBorders>
              <w:top w:val="nil"/>
              <w:left w:val="nil"/>
              <w:bottom w:val="nil"/>
              <w:right w:val="nil"/>
            </w:tcBorders>
            <w:shd w:val="clear" w:color="auto" w:fill="F2F2F2" w:themeFill="background1" w:themeFillShade="F2"/>
            <w:noWrap/>
            <w:vAlign w:val="bottom"/>
            <w:hideMark/>
          </w:tcPr>
          <w:p w14:paraId="29F8137D"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-0.6</w:t>
            </w:r>
          </w:p>
        </w:tc>
        <w:tc>
          <w:tcPr>
            <w:tcW w:w="1643" w:type="dxa"/>
            <w:tcBorders>
              <w:top w:val="nil"/>
              <w:left w:val="nil"/>
              <w:bottom w:val="nil"/>
              <w:right w:val="nil"/>
            </w:tcBorders>
            <w:shd w:val="clear" w:color="auto" w:fill="F2F2F2" w:themeFill="background1" w:themeFillShade="F2"/>
            <w:noWrap/>
            <w:vAlign w:val="bottom"/>
            <w:hideMark/>
          </w:tcPr>
          <w:p w14:paraId="2D1060D4"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24</w:t>
            </w:r>
          </w:p>
        </w:tc>
        <w:tc>
          <w:tcPr>
            <w:tcW w:w="1817" w:type="dxa"/>
            <w:tcBorders>
              <w:top w:val="nil"/>
              <w:left w:val="nil"/>
              <w:bottom w:val="nil"/>
              <w:right w:val="nil"/>
            </w:tcBorders>
            <w:shd w:val="clear" w:color="auto" w:fill="F2F2F2" w:themeFill="background1" w:themeFillShade="F2"/>
            <w:noWrap/>
            <w:vAlign w:val="bottom"/>
            <w:hideMark/>
          </w:tcPr>
          <w:p w14:paraId="685F6441"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-0.4</w:t>
            </w:r>
          </w:p>
        </w:tc>
      </w:tr>
      <w:tr w:rsidR="009E0FFA" w:rsidRPr="00E22826" w14:paraId="4BAE5EAB" w14:textId="77777777" w:rsidTr="009E0FFA">
        <w:trPr>
          <w:trHeight w:val="308"/>
        </w:trPr>
        <w:tc>
          <w:tcPr>
            <w:tcW w:w="1301" w:type="dxa"/>
            <w:tcBorders>
              <w:top w:val="nil"/>
              <w:left w:val="nil"/>
              <w:bottom w:val="nil"/>
              <w:right w:val="nil"/>
            </w:tcBorders>
            <w:shd w:val="clear" w:color="auto" w:fill="DBDBDB" w:themeFill="accent6" w:themeFillTint="33"/>
            <w:noWrap/>
            <w:vAlign w:val="bottom"/>
            <w:hideMark/>
          </w:tcPr>
          <w:p w14:paraId="4A36FEA3"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40-59</w:t>
            </w:r>
          </w:p>
        </w:tc>
        <w:tc>
          <w:tcPr>
            <w:tcW w:w="1739" w:type="dxa"/>
            <w:tcBorders>
              <w:top w:val="nil"/>
              <w:left w:val="nil"/>
              <w:bottom w:val="nil"/>
              <w:right w:val="nil"/>
            </w:tcBorders>
            <w:shd w:val="clear" w:color="auto" w:fill="DBDBDB" w:themeFill="accent6" w:themeFillTint="33"/>
            <w:noWrap/>
            <w:vAlign w:val="bottom"/>
            <w:hideMark/>
          </w:tcPr>
          <w:p w14:paraId="3AD395E5" w14:textId="6AA6475C"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21</w:t>
            </w:r>
          </w:p>
        </w:tc>
        <w:tc>
          <w:tcPr>
            <w:tcW w:w="1580" w:type="dxa"/>
            <w:tcBorders>
              <w:top w:val="nil"/>
              <w:left w:val="nil"/>
              <w:bottom w:val="nil"/>
              <w:right w:val="nil"/>
            </w:tcBorders>
            <w:shd w:val="clear" w:color="auto" w:fill="DBDBDB" w:themeFill="accent6" w:themeFillTint="33"/>
            <w:noWrap/>
            <w:vAlign w:val="bottom"/>
            <w:hideMark/>
          </w:tcPr>
          <w:p w14:paraId="622A547F"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-0.2</w:t>
            </w:r>
          </w:p>
        </w:tc>
        <w:tc>
          <w:tcPr>
            <w:tcW w:w="1643" w:type="dxa"/>
            <w:tcBorders>
              <w:top w:val="nil"/>
              <w:left w:val="nil"/>
              <w:bottom w:val="nil"/>
              <w:right w:val="nil"/>
            </w:tcBorders>
            <w:shd w:val="clear" w:color="auto" w:fill="DBDBDB" w:themeFill="accent6" w:themeFillTint="33"/>
            <w:noWrap/>
            <w:vAlign w:val="bottom"/>
            <w:hideMark/>
          </w:tcPr>
          <w:p w14:paraId="0CF871F8"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25</w:t>
            </w:r>
          </w:p>
        </w:tc>
        <w:tc>
          <w:tcPr>
            <w:tcW w:w="1817" w:type="dxa"/>
            <w:tcBorders>
              <w:top w:val="nil"/>
              <w:left w:val="nil"/>
              <w:bottom w:val="nil"/>
              <w:right w:val="nil"/>
            </w:tcBorders>
            <w:shd w:val="clear" w:color="auto" w:fill="DBDBDB" w:themeFill="accent6" w:themeFillTint="33"/>
            <w:noWrap/>
            <w:vAlign w:val="bottom"/>
            <w:hideMark/>
          </w:tcPr>
          <w:p w14:paraId="3238E4CD"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-2.1</w:t>
            </w:r>
          </w:p>
        </w:tc>
      </w:tr>
      <w:tr w:rsidR="009E0FFA" w:rsidRPr="00E22826" w14:paraId="11DA3066" w14:textId="77777777" w:rsidTr="009E0FFA">
        <w:trPr>
          <w:trHeight w:val="308"/>
        </w:trPr>
        <w:tc>
          <w:tcPr>
            <w:tcW w:w="1301" w:type="dxa"/>
            <w:tcBorders>
              <w:top w:val="nil"/>
              <w:left w:val="nil"/>
              <w:bottom w:val="nil"/>
              <w:right w:val="nil"/>
            </w:tcBorders>
            <w:shd w:val="clear" w:color="auto" w:fill="F2F2F2" w:themeFill="background1" w:themeFillShade="F2"/>
            <w:noWrap/>
            <w:vAlign w:val="bottom"/>
            <w:hideMark/>
          </w:tcPr>
          <w:p w14:paraId="7B72A9EC"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60+</w:t>
            </w:r>
          </w:p>
        </w:tc>
        <w:tc>
          <w:tcPr>
            <w:tcW w:w="1739" w:type="dxa"/>
            <w:tcBorders>
              <w:top w:val="nil"/>
              <w:left w:val="nil"/>
              <w:bottom w:val="nil"/>
              <w:right w:val="nil"/>
            </w:tcBorders>
            <w:shd w:val="clear" w:color="auto" w:fill="F2F2F2" w:themeFill="background1" w:themeFillShade="F2"/>
            <w:noWrap/>
            <w:vAlign w:val="bottom"/>
            <w:hideMark/>
          </w:tcPr>
          <w:p w14:paraId="78EDC0D6" w14:textId="5D7C8E0C"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18</w:t>
            </w:r>
          </w:p>
        </w:tc>
        <w:tc>
          <w:tcPr>
            <w:tcW w:w="1580" w:type="dxa"/>
            <w:tcBorders>
              <w:top w:val="nil"/>
              <w:left w:val="nil"/>
              <w:bottom w:val="nil"/>
              <w:right w:val="nil"/>
            </w:tcBorders>
            <w:shd w:val="clear" w:color="auto" w:fill="F2F2F2" w:themeFill="background1" w:themeFillShade="F2"/>
            <w:noWrap/>
            <w:vAlign w:val="bottom"/>
            <w:hideMark/>
          </w:tcPr>
          <w:p w14:paraId="540BC68E"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7017AE">
              <w:rPr>
                <w:rFonts w:asciiTheme="minorHAnsi" w:eastAsia="Times New Roman" w:hAnsiTheme="minorHAnsi" w:cstheme="minorHAnsi"/>
                <w:color w:val="000000"/>
                <w:szCs w:val="24"/>
              </w:rPr>
              <w:t>+</w:t>
            </w:r>
            <w:r w:rsidRPr="00E22826">
              <w:rPr>
                <w:rFonts w:asciiTheme="minorHAnsi" w:eastAsia="Times New Roman" w:hAnsiTheme="minorHAnsi" w:cstheme="minorHAnsi"/>
                <w:color w:val="000000"/>
                <w:szCs w:val="24"/>
              </w:rPr>
              <w:t>0.4</w:t>
            </w:r>
          </w:p>
        </w:tc>
        <w:tc>
          <w:tcPr>
            <w:tcW w:w="1643" w:type="dxa"/>
            <w:tcBorders>
              <w:top w:val="nil"/>
              <w:left w:val="nil"/>
              <w:bottom w:val="nil"/>
              <w:right w:val="nil"/>
            </w:tcBorders>
            <w:shd w:val="clear" w:color="auto" w:fill="F2F2F2" w:themeFill="background1" w:themeFillShade="F2"/>
            <w:noWrap/>
            <w:vAlign w:val="bottom"/>
            <w:hideMark/>
          </w:tcPr>
          <w:p w14:paraId="62CD1651"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E22826">
              <w:rPr>
                <w:rFonts w:asciiTheme="minorHAnsi" w:eastAsia="Times New Roman" w:hAnsiTheme="minorHAnsi" w:cstheme="minorHAnsi"/>
                <w:color w:val="000000"/>
                <w:szCs w:val="24"/>
              </w:rPr>
              <w:t>30</w:t>
            </w:r>
          </w:p>
        </w:tc>
        <w:tc>
          <w:tcPr>
            <w:tcW w:w="1817" w:type="dxa"/>
            <w:tcBorders>
              <w:top w:val="nil"/>
              <w:left w:val="nil"/>
              <w:bottom w:val="nil"/>
              <w:right w:val="nil"/>
            </w:tcBorders>
            <w:shd w:val="clear" w:color="auto" w:fill="F2F2F2" w:themeFill="background1" w:themeFillShade="F2"/>
            <w:noWrap/>
            <w:vAlign w:val="bottom"/>
            <w:hideMark/>
          </w:tcPr>
          <w:p w14:paraId="70DE0E5E" w14:textId="77777777" w:rsidR="009E0FFA" w:rsidRPr="00E22826" w:rsidRDefault="009E0FFA" w:rsidP="009E0FFA">
            <w:pPr>
              <w:spacing w:before="0" w:after="0" w:line="240" w:lineRule="auto"/>
              <w:rPr>
                <w:rFonts w:asciiTheme="minorHAnsi" w:eastAsia="Times New Roman" w:hAnsiTheme="minorHAnsi" w:cstheme="minorHAnsi"/>
                <w:color w:val="000000"/>
                <w:szCs w:val="24"/>
              </w:rPr>
            </w:pPr>
            <w:r w:rsidRPr="007017AE">
              <w:rPr>
                <w:rFonts w:asciiTheme="minorHAnsi" w:eastAsia="Times New Roman" w:hAnsiTheme="minorHAnsi" w:cstheme="minorHAnsi"/>
                <w:color w:val="000000"/>
                <w:szCs w:val="24"/>
              </w:rPr>
              <w:t>+</w:t>
            </w:r>
            <w:r w:rsidRPr="00E22826">
              <w:rPr>
                <w:rFonts w:asciiTheme="minorHAnsi" w:eastAsia="Times New Roman" w:hAnsiTheme="minorHAnsi" w:cstheme="minorHAnsi"/>
                <w:color w:val="000000"/>
                <w:szCs w:val="24"/>
              </w:rPr>
              <w:t>3.0</w:t>
            </w:r>
          </w:p>
        </w:tc>
      </w:tr>
    </w:tbl>
    <w:p w14:paraId="1A28B208" w14:textId="0C95F44E" w:rsidR="00DA188C" w:rsidRPr="00262702" w:rsidRDefault="00DA188C" w:rsidP="181A1297">
      <w:pPr>
        <w:rPr>
          <w:rFonts w:eastAsia="MS Mincho" w:cs="Arial"/>
          <w:szCs w:val="24"/>
        </w:rPr>
      </w:pPr>
    </w:p>
    <w:p w14:paraId="09C0967D" w14:textId="77777777" w:rsidR="007017AE" w:rsidRDefault="007017AE" w:rsidP="181A1297">
      <w:pPr>
        <w:rPr>
          <w:rFonts w:eastAsia="MS Mincho" w:cs="Arial"/>
          <w:szCs w:val="24"/>
        </w:rPr>
      </w:pPr>
    </w:p>
    <w:p w14:paraId="44288D66" w14:textId="77777777" w:rsidR="007017AE" w:rsidRDefault="007017AE" w:rsidP="181A1297">
      <w:pPr>
        <w:rPr>
          <w:rFonts w:eastAsia="MS Mincho" w:cs="Arial"/>
          <w:szCs w:val="24"/>
        </w:rPr>
      </w:pPr>
    </w:p>
    <w:p w14:paraId="2462D2B5" w14:textId="7FEB8ACA" w:rsidR="007017AE" w:rsidRDefault="007017AE" w:rsidP="181A1297">
      <w:pPr>
        <w:rPr>
          <w:rFonts w:eastAsia="MS Mincho" w:cs="Arial"/>
          <w:szCs w:val="24"/>
        </w:rPr>
      </w:pPr>
    </w:p>
    <w:p w14:paraId="383FCC2B" w14:textId="00D5D5B5" w:rsidR="181A1297" w:rsidRDefault="181A1297" w:rsidP="181A1297">
      <w:pPr>
        <w:rPr>
          <w:rFonts w:eastAsia="MS Mincho" w:cs="Arial"/>
          <w:szCs w:val="24"/>
        </w:rPr>
      </w:pPr>
    </w:p>
    <w:p w14:paraId="11BB9C25" w14:textId="6F7380C4" w:rsidR="00FB2C5A" w:rsidRDefault="004D69D3" w:rsidP="004D69D3">
      <w:pPr>
        <w:pStyle w:val="Caption"/>
      </w:pPr>
      <w:r>
        <w:t xml:space="preserve">Table </w:t>
      </w:r>
      <w:r>
        <w:fldChar w:fldCharType="begin"/>
      </w:r>
      <w:r>
        <w:instrText>SEQ Table \* ARABIC</w:instrText>
      </w:r>
      <w:r>
        <w:fldChar w:fldCharType="separate"/>
      </w:r>
      <w:r w:rsidR="00AC4C6D">
        <w:rPr>
          <w:noProof/>
        </w:rPr>
        <w:t>2</w:t>
      </w:r>
      <w:r>
        <w:fldChar w:fldCharType="end"/>
      </w:r>
      <w:r>
        <w:t>: percentage of projected population by age group in Coventry and Warwickshire</w:t>
      </w:r>
      <w:r>
        <w:br/>
        <w:t>Source: ONS population projections (2020, reference period 2018)</w:t>
      </w:r>
    </w:p>
    <w:p w14:paraId="42C173BF" w14:textId="047C2BE2" w:rsidR="009E0FFA" w:rsidRDefault="00E824CD" w:rsidP="00EB7C5C">
      <w:r>
        <w:t>By 2030, the</w:t>
      </w:r>
      <w:r w:rsidR="00C100A8">
        <w:t>re is projected to be a 3 percentage point increase in those aged 60 and over in Warwickshire</w:t>
      </w:r>
      <w:r w:rsidR="0099230A">
        <w:t>, with a decline in those primarily in the 40-59 age group. This shows that</w:t>
      </w:r>
      <w:r w:rsidR="004062AC">
        <w:t xml:space="preserve"> Warwickshire</w:t>
      </w:r>
      <w:r w:rsidR="0099230A">
        <w:t xml:space="preserve"> has </w:t>
      </w:r>
      <w:r w:rsidR="004062AC">
        <w:t>an aging population on average. Coven</w:t>
      </w:r>
      <w:r w:rsidR="00CB04E4">
        <w:t xml:space="preserve">try, in contrast, has </w:t>
      </w:r>
      <w:r w:rsidR="0092421D">
        <w:t xml:space="preserve">a projected population structure that shows little change. </w:t>
      </w:r>
    </w:p>
    <w:p w14:paraId="5486804F" w14:textId="6BB514C1" w:rsidR="0089675F" w:rsidRDefault="00AC6586" w:rsidP="00EB7C5C">
      <w:r>
        <w:t xml:space="preserve">It is worth noting that these </w:t>
      </w:r>
      <w:r w:rsidR="00C145E5">
        <w:t>population figures</w:t>
      </w:r>
      <w:r>
        <w:t xml:space="preserve"> are based on </w:t>
      </w:r>
      <w:r w:rsidR="000F45AD">
        <w:t>census data with mo</w:t>
      </w:r>
      <w:r w:rsidR="00C145E5">
        <w:t>re</w:t>
      </w:r>
      <w:r w:rsidR="000F45AD">
        <w:t xml:space="preserve"> recent indicators </w:t>
      </w:r>
      <w:r w:rsidR="00C145E5">
        <w:t xml:space="preserve">like GP registrations used to </w:t>
      </w:r>
      <w:r w:rsidR="003B4EEC">
        <w:t xml:space="preserve">estimate the current and project the future population. </w:t>
      </w:r>
      <w:r w:rsidR="00786C28">
        <w:t xml:space="preserve">Whilst there was a census completed in 2021, the most recent available data at the time of writing is from 2011. </w:t>
      </w:r>
      <w:r w:rsidR="002C309B">
        <w:t>The further away from a census, the less accurate estimates based on this data become</w:t>
      </w:r>
      <w:r w:rsidR="00960D8B">
        <w:t xml:space="preserve">. </w:t>
      </w:r>
    </w:p>
    <w:p w14:paraId="1F5B0C4F" w14:textId="77777777" w:rsidR="00D02DCA" w:rsidRDefault="00D02DCA" w:rsidP="00EB7C5C"/>
    <w:p w14:paraId="30A8B052" w14:textId="30033D1E" w:rsidR="181A1297" w:rsidRDefault="181A1297" w:rsidP="0039786F">
      <w:pPr>
        <w:pStyle w:val="Heading2"/>
        <w:rPr>
          <w:rFonts w:eastAsia="Arial" w:cs="Arial"/>
          <w:color w:val="000000" w:themeColor="text1"/>
          <w:szCs w:val="24"/>
        </w:rPr>
      </w:pPr>
      <w:bookmarkStart w:id="37" w:name="_Toc113628594"/>
      <w:r w:rsidRPr="181A1297">
        <w:rPr>
          <w:rFonts w:eastAsia="Arial" w:cs="Arial"/>
          <w:bCs w:val="0"/>
          <w:color w:val="000000" w:themeColor="text1"/>
          <w:szCs w:val="24"/>
        </w:rPr>
        <w:t>Ethnicity</w:t>
      </w:r>
      <w:bookmarkEnd w:id="37"/>
    </w:p>
    <w:p w14:paraId="5D455643" w14:textId="64E99ADD" w:rsidR="00D20D59" w:rsidRDefault="00D841F9" w:rsidP="00A26895">
      <w:r>
        <w:t xml:space="preserve">The </w:t>
      </w:r>
      <w:r w:rsidR="008E5229">
        <w:t>C</w:t>
      </w:r>
      <w:r>
        <w:t>ensus (2011) is</w:t>
      </w:r>
      <w:r w:rsidR="006D62BB">
        <w:t xml:space="preserve"> the most reliable study in</w:t>
      </w:r>
      <w:r w:rsidR="00F27392">
        <w:t xml:space="preserve">to the </w:t>
      </w:r>
      <w:r w:rsidR="00691786">
        <w:t xml:space="preserve">ethnicity composition of the population. Since this data is ten years </w:t>
      </w:r>
      <w:r w:rsidR="00546C17">
        <w:t xml:space="preserve">old now, it should be viewed as a starting point </w:t>
      </w:r>
      <w:r w:rsidR="00967F14">
        <w:t>whilst looking at other sources such as the school census</w:t>
      </w:r>
      <w:r w:rsidR="005169F3">
        <w:t xml:space="preserve">. The </w:t>
      </w:r>
      <w:r w:rsidR="004B0AA9">
        <w:t>S</w:t>
      </w:r>
      <w:r w:rsidR="005169F3">
        <w:t xml:space="preserve">chool </w:t>
      </w:r>
      <w:r w:rsidR="004B0AA9">
        <w:t>C</w:t>
      </w:r>
      <w:r w:rsidR="005169F3">
        <w:t>ensus</w:t>
      </w:r>
      <w:r w:rsidR="001D14C2">
        <w:t xml:space="preserve"> </w:t>
      </w:r>
      <w:r w:rsidR="00FB5BBA">
        <w:t>collects</w:t>
      </w:r>
      <w:r w:rsidR="005169F3">
        <w:t xml:space="preserve"> </w:t>
      </w:r>
      <w:r w:rsidR="00FB5BBA">
        <w:t xml:space="preserve">ethnicity data yearly </w:t>
      </w:r>
      <w:r w:rsidR="001D14C2">
        <w:t>which is provided by</w:t>
      </w:r>
      <w:r w:rsidR="003D28DE">
        <w:t xml:space="preserve"> all state-funded schools in England</w:t>
      </w:r>
      <w:r w:rsidR="009511B0">
        <w:t xml:space="preserve">. Comparing the 2011 Census data with the 2021 School Census, </w:t>
      </w:r>
      <w:r w:rsidR="001A0652">
        <w:t>population changes in ethnicity can be estimated</w:t>
      </w:r>
      <w:r w:rsidR="003A7424">
        <w:t xml:space="preserve"> and projected</w:t>
      </w:r>
      <w:r w:rsidR="005F4211">
        <w:t xml:space="preserve">. The population of Coventry </w:t>
      </w:r>
      <w:r w:rsidR="00077757">
        <w:t xml:space="preserve">is more ethnically diverse than the population of Warwickshire </w:t>
      </w:r>
      <w:r w:rsidR="00DA6105">
        <w:t xml:space="preserve">with 26% of the population </w:t>
      </w:r>
      <w:r w:rsidR="006C1254">
        <w:t xml:space="preserve">reporting an ethnicity </w:t>
      </w:r>
      <w:r w:rsidR="00EB3A70">
        <w:t>of non-white.</w:t>
      </w:r>
      <w:r w:rsidR="006C1254">
        <w:t xml:space="preserve"> (Figure </w:t>
      </w:r>
      <w:r w:rsidR="003E5E02">
        <w:t>5</w:t>
      </w:r>
      <w:r w:rsidR="006C1254">
        <w:t>)</w:t>
      </w:r>
      <w:r w:rsidR="00057240">
        <w:t xml:space="preserve">, </w:t>
      </w:r>
      <w:r w:rsidR="00057240">
        <w:lastRenderedPageBreak/>
        <w:t xml:space="preserve">compared with Warwickshire’s 7%. </w:t>
      </w:r>
      <w:r w:rsidR="006E291C">
        <w:t xml:space="preserve">This figure varies across Warwickshire with Rugby </w:t>
      </w:r>
      <w:r w:rsidR="00932966">
        <w:t>and Warwick reporting 10% and 9% r</w:t>
      </w:r>
      <w:r w:rsidR="00093B8B">
        <w:t xml:space="preserve">espectively. </w:t>
      </w:r>
      <w:r w:rsidR="004D69D3">
        <w:rPr>
          <w:noProof/>
        </w:rPr>
        <w:drawing>
          <wp:inline distT="0" distB="0" distL="0" distR="0" wp14:anchorId="00483668" wp14:editId="6D5BE11C">
            <wp:extent cx="3924300" cy="4419600"/>
            <wp:effectExtent l="0" t="0" r="0" b="0"/>
            <wp:docPr id="292678400" name="Picture 29267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4300" cy="4419600"/>
                    </a:xfrm>
                    <a:prstGeom prst="rect">
                      <a:avLst/>
                    </a:prstGeom>
                    <a:noFill/>
                  </pic:spPr>
                </pic:pic>
              </a:graphicData>
            </a:graphic>
          </wp:inline>
        </w:drawing>
      </w:r>
    </w:p>
    <w:p w14:paraId="0E68FD0D" w14:textId="11BDB840" w:rsidR="004D69D3" w:rsidRDefault="004D69D3" w:rsidP="004D69D3">
      <w:pPr>
        <w:pStyle w:val="Caption"/>
      </w:pPr>
      <w:r>
        <w:t xml:space="preserve">Figure </w:t>
      </w:r>
      <w:r>
        <w:fldChar w:fldCharType="begin"/>
      </w:r>
      <w:r>
        <w:instrText>SEQ Figure \* ARABIC</w:instrText>
      </w:r>
      <w:r>
        <w:fldChar w:fldCharType="separate"/>
      </w:r>
      <w:r w:rsidR="006553F7">
        <w:rPr>
          <w:noProof/>
        </w:rPr>
        <w:t>5</w:t>
      </w:r>
      <w:r>
        <w:fldChar w:fldCharType="end"/>
      </w:r>
      <w:r>
        <w:t>: Total Population breakdown by Ethnicity</w:t>
      </w:r>
      <w:r>
        <w:br/>
        <w:t>Source: Census 2011</w:t>
      </w:r>
    </w:p>
    <w:p w14:paraId="21FBD416" w14:textId="2CDA8BC0" w:rsidR="00D20D59" w:rsidRPr="00A26895" w:rsidRDefault="00D20D59" w:rsidP="00A26895">
      <w:r>
        <w:t xml:space="preserve">When looking at the </w:t>
      </w:r>
      <w:r w:rsidR="00F42872">
        <w:t>S</w:t>
      </w:r>
      <w:r>
        <w:t xml:space="preserve">chool </w:t>
      </w:r>
      <w:r w:rsidR="00F42872">
        <w:t>C</w:t>
      </w:r>
      <w:r>
        <w:t>ensus ethnicity composition, it’s important to remember that this</w:t>
      </w:r>
      <w:r w:rsidR="00324791">
        <w:t xml:space="preserve"> </w:t>
      </w:r>
      <w:r w:rsidR="0022212C">
        <w:t xml:space="preserve">is </w:t>
      </w:r>
      <w:r w:rsidR="00324791">
        <w:t>a function</w:t>
      </w:r>
      <w:r>
        <w:t xml:space="preserve"> of which </w:t>
      </w:r>
      <w:r w:rsidR="00D14358">
        <w:t>population groups are growing</w:t>
      </w:r>
      <w:r w:rsidR="001F1B09">
        <w:t>,</w:t>
      </w:r>
      <w:r w:rsidR="00D14358">
        <w:t xml:space="preserve"> </w:t>
      </w:r>
      <w:r w:rsidR="00A54A94">
        <w:t xml:space="preserve">either by having </w:t>
      </w:r>
      <w:r w:rsidR="00671410">
        <w:t>children or through migration</w:t>
      </w:r>
      <w:r w:rsidR="001F1B09">
        <w:t>,</w:t>
      </w:r>
      <w:r w:rsidR="00426A18">
        <w:t xml:space="preserve"> not a direct comparison to total population data.</w:t>
      </w:r>
      <w:r w:rsidR="00650C0C">
        <w:t xml:space="preserve"> The 2021 school population is more diverse than the 2011 </w:t>
      </w:r>
      <w:r w:rsidR="002667EE">
        <w:t>C</w:t>
      </w:r>
      <w:r w:rsidR="00650C0C">
        <w:t>ensus data, with</w:t>
      </w:r>
      <w:r w:rsidR="00B86DD3">
        <w:t xml:space="preserve"> Coventry reporting 44% non-white and Warwickshire 15%. </w:t>
      </w:r>
    </w:p>
    <w:p w14:paraId="03A0616E" w14:textId="236AEF6E" w:rsidR="0039786F" w:rsidRDefault="0039786F" w:rsidP="181A1297"/>
    <w:p w14:paraId="24167A2A" w14:textId="0590D0E9" w:rsidR="181A1297" w:rsidRDefault="181A1297" w:rsidP="2B2A9C68">
      <w:pPr>
        <w:rPr>
          <w:rFonts w:eastAsia="MS Mincho" w:cs="Arial"/>
          <w:szCs w:val="24"/>
        </w:rPr>
      </w:pPr>
    </w:p>
    <w:p w14:paraId="55ED27A9" w14:textId="50A15727" w:rsidR="181A1297" w:rsidRDefault="2B2A9C68" w:rsidP="2B2A9C68">
      <w:pPr>
        <w:rPr>
          <w:rFonts w:eastAsia="MS Mincho" w:cs="Arial"/>
          <w:color w:val="000000" w:themeColor="text1"/>
          <w:szCs w:val="24"/>
        </w:rPr>
      </w:pPr>
      <w:r>
        <w:rPr>
          <w:noProof/>
        </w:rPr>
        <w:lastRenderedPageBreak/>
        <w:drawing>
          <wp:inline distT="0" distB="0" distL="0" distR="0" wp14:anchorId="38BC9208" wp14:editId="23EDC29B">
            <wp:extent cx="4255135" cy="4846956"/>
            <wp:effectExtent l="0" t="0" r="0" b="0"/>
            <wp:docPr id="292678403" name="Picture 29267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78403"/>
                    <pic:cNvPicPr/>
                  </pic:nvPicPr>
                  <pic:blipFill>
                    <a:blip r:embed="rId31">
                      <a:extLst>
                        <a:ext uri="{28A0092B-C50C-407E-A947-70E740481C1C}">
                          <a14:useLocalDpi xmlns:a14="http://schemas.microsoft.com/office/drawing/2010/main" val="0"/>
                        </a:ext>
                      </a:extLst>
                    </a:blip>
                    <a:stretch>
                      <a:fillRect/>
                    </a:stretch>
                  </pic:blipFill>
                  <pic:spPr bwMode="auto">
                    <a:xfrm>
                      <a:off x="0" y="0"/>
                      <a:ext cx="4255135" cy="4846956"/>
                    </a:xfrm>
                    <a:prstGeom prst="rect">
                      <a:avLst/>
                    </a:prstGeom>
                    <a:noFill/>
                  </pic:spPr>
                </pic:pic>
              </a:graphicData>
            </a:graphic>
          </wp:inline>
        </w:drawing>
      </w:r>
    </w:p>
    <w:p w14:paraId="3F874BBC" w14:textId="3BC04575" w:rsidR="004D69D3" w:rsidRDefault="004D69D3" w:rsidP="004D69D3">
      <w:pPr>
        <w:pStyle w:val="Caption"/>
        <w:rPr>
          <w:rFonts w:eastAsia="MS Mincho" w:cs="Arial"/>
          <w:color w:val="000000" w:themeColor="text1"/>
          <w:szCs w:val="24"/>
        </w:rPr>
      </w:pPr>
      <w:r>
        <w:t xml:space="preserve">Figure </w:t>
      </w:r>
      <w:r>
        <w:fldChar w:fldCharType="begin"/>
      </w:r>
      <w:r>
        <w:instrText>SEQ Figure \* ARABIC</w:instrText>
      </w:r>
      <w:r>
        <w:fldChar w:fldCharType="separate"/>
      </w:r>
      <w:r w:rsidR="006553F7">
        <w:rPr>
          <w:noProof/>
        </w:rPr>
        <w:t>6</w:t>
      </w:r>
      <w:r>
        <w:fldChar w:fldCharType="end"/>
      </w:r>
      <w:r>
        <w:t xml:space="preserve">: </w:t>
      </w:r>
      <w:r w:rsidR="00F302BE">
        <w:t xml:space="preserve">Child </w:t>
      </w:r>
      <w:r w:rsidR="003E5E02">
        <w:t>Ethnicity Breakdown</w:t>
      </w:r>
      <w:r w:rsidR="003E5E02">
        <w:br/>
        <w:t>Source: Child School Census 2020/21</w:t>
      </w:r>
    </w:p>
    <w:p w14:paraId="34AB2104" w14:textId="3AC259AC" w:rsidR="181A1297" w:rsidRDefault="181A1297" w:rsidP="2B2A9C68">
      <w:pPr>
        <w:rPr>
          <w:rFonts w:eastAsia="MS Mincho" w:cs="Arial"/>
          <w:szCs w:val="24"/>
        </w:rPr>
      </w:pPr>
    </w:p>
    <w:p w14:paraId="69499155" w14:textId="27CC566C" w:rsidR="181A1297" w:rsidRDefault="181A1297" w:rsidP="2B2A9C68">
      <w:pPr>
        <w:pStyle w:val="Heading2"/>
        <w:rPr>
          <w:rFonts w:eastAsia="Arial" w:cs="Arial"/>
          <w:color w:val="000000" w:themeColor="text1"/>
        </w:rPr>
      </w:pPr>
      <w:bookmarkStart w:id="38" w:name="_Toc113628595"/>
      <w:r w:rsidRPr="2B2A9C68">
        <w:rPr>
          <w:rFonts w:eastAsia="Arial" w:cs="Arial"/>
          <w:color w:val="000000" w:themeColor="text1"/>
        </w:rPr>
        <w:t>Household Languages</w:t>
      </w:r>
      <w:bookmarkEnd w:id="38"/>
    </w:p>
    <w:p w14:paraId="217BD2E4" w14:textId="48CF29EF" w:rsidR="6D9226A5" w:rsidRDefault="6D9226A5">
      <w:r w:rsidRPr="42EC7F24">
        <w:rPr>
          <w:rFonts w:eastAsia="Arial" w:cs="Arial"/>
          <w:color w:val="000000" w:themeColor="text1"/>
        </w:rPr>
        <w:t xml:space="preserve">The 2011 Census also recorded the main language spoken in each household. In Coventry in 2011, only 84.6% of households had all occupants over the age of 16 speaking English as their main language. By comparison, 95% of households in Warwickshire were within this category. Furthermore, in 8.7% of Coventry households and 2.4% of Warwickshire households, English was not the main language of any occupant. </w:t>
      </w:r>
      <w:r w:rsidRPr="7FA03F71">
        <w:rPr>
          <w:rFonts w:eastAsia="Arial" w:cs="Arial"/>
          <w:color w:val="000000" w:themeColor="text1"/>
        </w:rPr>
        <w:t xml:space="preserve">The 2011 Census demonstrated that in Coventry, Nuneaton and Warwick Panjabi was </w:t>
      </w:r>
      <w:r w:rsidRPr="6034635F">
        <w:rPr>
          <w:rFonts w:eastAsia="Arial" w:cs="Arial"/>
          <w:color w:val="000000" w:themeColor="text1"/>
        </w:rPr>
        <w:t xml:space="preserve">the other most utilised main language whereas in North Warwickshire, Rugby and Stratford this was Polish.  </w:t>
      </w:r>
    </w:p>
    <w:p w14:paraId="0C8ADEF5" w14:textId="09B29F22" w:rsidR="6D9226A5" w:rsidRDefault="6D9226A5">
      <w:r w:rsidRPr="6D9226A5">
        <w:rPr>
          <w:rFonts w:eastAsia="Arial" w:cs="Arial"/>
          <w:color w:val="000000" w:themeColor="text1"/>
          <w:szCs w:val="24"/>
        </w:rPr>
        <w:t xml:space="preserve">This diversity of language is somewhat reflected in the more recent data of the 2020/21 </w:t>
      </w:r>
      <w:r w:rsidR="002667EE">
        <w:rPr>
          <w:rFonts w:eastAsia="Arial" w:cs="Arial"/>
          <w:color w:val="000000" w:themeColor="text1"/>
          <w:szCs w:val="24"/>
        </w:rPr>
        <w:t>S</w:t>
      </w:r>
      <w:r w:rsidRPr="6D9226A5">
        <w:rPr>
          <w:rFonts w:eastAsia="Arial" w:cs="Arial"/>
          <w:color w:val="000000" w:themeColor="text1"/>
          <w:szCs w:val="24"/>
        </w:rPr>
        <w:t xml:space="preserve">chool </w:t>
      </w:r>
      <w:r w:rsidR="002667EE">
        <w:rPr>
          <w:rFonts w:eastAsia="Arial" w:cs="Arial"/>
          <w:color w:val="000000" w:themeColor="text1"/>
          <w:szCs w:val="24"/>
        </w:rPr>
        <w:t>C</w:t>
      </w:r>
      <w:r w:rsidRPr="6D9226A5">
        <w:rPr>
          <w:rFonts w:eastAsia="Arial" w:cs="Arial"/>
          <w:color w:val="000000" w:themeColor="text1"/>
          <w:szCs w:val="24"/>
        </w:rPr>
        <w:t xml:space="preserve">ensus in which the first languages of pupils were recorded. It was noted that in </w:t>
      </w:r>
      <w:r w:rsidRPr="6D9226A5">
        <w:rPr>
          <w:rFonts w:eastAsia="Arial" w:cs="Arial"/>
          <w:color w:val="000000" w:themeColor="text1"/>
          <w:szCs w:val="24"/>
        </w:rPr>
        <w:lastRenderedPageBreak/>
        <w:t xml:space="preserve">Coventry, English was not the first language for 33.4% of pupils and in Warwickshire it was not the first language for 10.9% of pupils. This can be compared to England’s national average of pupils who do not speak English as their first language of 19.3% </w:t>
      </w:r>
    </w:p>
    <w:p w14:paraId="20DCD21D" w14:textId="291825C2" w:rsidR="00B06A05" w:rsidRPr="003E5E02" w:rsidRDefault="6D9226A5" w:rsidP="00B06A05">
      <w:pPr>
        <w:rPr>
          <w:rFonts w:eastAsia="Arial" w:cs="Arial"/>
          <w:color w:val="000000" w:themeColor="text1"/>
        </w:rPr>
      </w:pPr>
      <w:r w:rsidRPr="615CCB99">
        <w:rPr>
          <w:rFonts w:eastAsia="Arial" w:cs="Arial"/>
          <w:color w:val="000000" w:themeColor="text1"/>
        </w:rPr>
        <w:t xml:space="preserve">Our current survey demonstrated that a pharmacy that spoke multiple languages was not a high priority. However, as our survey underrepresents BAME groups, language diversity might be something important to consider in the future to maintain accessibility to all.   </w:t>
      </w:r>
    </w:p>
    <w:tbl>
      <w:tblPr>
        <w:tblStyle w:val="GridTable2-Accent1"/>
        <w:tblpPr w:leftFromText="180" w:rightFromText="180" w:vertAnchor="text" w:horzAnchor="page" w:tblpX="1648" w:tblpY="361"/>
        <w:tblW w:w="8407" w:type="dxa"/>
        <w:tblLook w:val="04A0" w:firstRow="1" w:lastRow="0" w:firstColumn="1" w:lastColumn="0" w:noHBand="0" w:noVBand="1"/>
      </w:tblPr>
      <w:tblGrid>
        <w:gridCol w:w="4111"/>
        <w:gridCol w:w="1050"/>
        <w:gridCol w:w="750"/>
        <w:gridCol w:w="425"/>
        <w:gridCol w:w="1276"/>
        <w:gridCol w:w="795"/>
      </w:tblGrid>
      <w:tr w:rsidR="00243D01" w:rsidRPr="00243D01" w14:paraId="6ADAD1A3" w14:textId="77777777" w:rsidTr="70164F76">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111" w:type="dxa"/>
            <w:hideMark/>
          </w:tcPr>
          <w:p w14:paraId="69A2CD36" w14:textId="77777777" w:rsidR="00243D01" w:rsidRPr="00243D01" w:rsidRDefault="00243D01" w:rsidP="00243D01">
            <w:pPr>
              <w:spacing w:before="0" w:after="0" w:line="240" w:lineRule="auto"/>
              <w:rPr>
                <w:rFonts w:eastAsia="Times New Roman" w:cs="Arial"/>
                <w:b w:val="0"/>
                <w:bCs w:val="0"/>
                <w:sz w:val="20"/>
              </w:rPr>
            </w:pPr>
            <w:r w:rsidRPr="00243D01">
              <w:rPr>
                <w:rFonts w:eastAsia="Times New Roman" w:cs="Arial"/>
                <w:sz w:val="20"/>
              </w:rPr>
              <w:t>Main Language</w:t>
            </w:r>
          </w:p>
        </w:tc>
        <w:tc>
          <w:tcPr>
            <w:tcW w:w="2225" w:type="dxa"/>
            <w:gridSpan w:val="3"/>
            <w:hideMark/>
          </w:tcPr>
          <w:p w14:paraId="25A77DB7" w14:textId="77777777" w:rsidR="00243D01" w:rsidRPr="00243D01" w:rsidRDefault="00243D01" w:rsidP="00243D0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rPr>
            </w:pPr>
            <w:r w:rsidRPr="00243D01">
              <w:rPr>
                <w:rFonts w:eastAsia="Times New Roman" w:cs="Arial"/>
                <w:sz w:val="20"/>
              </w:rPr>
              <w:t>Coventry</w:t>
            </w:r>
          </w:p>
        </w:tc>
        <w:tc>
          <w:tcPr>
            <w:tcW w:w="2071" w:type="dxa"/>
            <w:gridSpan w:val="2"/>
            <w:hideMark/>
          </w:tcPr>
          <w:p w14:paraId="258E9AF1" w14:textId="77777777" w:rsidR="00243D01" w:rsidRPr="00243D01" w:rsidRDefault="00243D01" w:rsidP="00243D0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rPr>
            </w:pPr>
            <w:r w:rsidRPr="00243D01">
              <w:rPr>
                <w:rFonts w:eastAsia="Times New Roman" w:cs="Arial"/>
                <w:sz w:val="20"/>
              </w:rPr>
              <w:t>Warwickshire</w:t>
            </w:r>
          </w:p>
        </w:tc>
      </w:tr>
      <w:tr w:rsidR="00243D01" w:rsidRPr="00243D01" w14:paraId="07B7F96C" w14:textId="77777777" w:rsidTr="70164F76">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111" w:type="dxa"/>
            <w:noWrap/>
            <w:hideMark/>
          </w:tcPr>
          <w:p w14:paraId="67A93BFF" w14:textId="77777777" w:rsidR="00243D01" w:rsidRPr="00243D01" w:rsidRDefault="00243D01" w:rsidP="00243D01">
            <w:pPr>
              <w:spacing w:before="0" w:after="0" w:line="240" w:lineRule="auto"/>
              <w:jc w:val="center"/>
              <w:rPr>
                <w:rFonts w:eastAsia="Times New Roman" w:cs="Arial"/>
                <w:b w:val="0"/>
                <w:bCs w:val="0"/>
                <w:sz w:val="20"/>
              </w:rPr>
            </w:pPr>
          </w:p>
        </w:tc>
        <w:tc>
          <w:tcPr>
            <w:tcW w:w="1050" w:type="dxa"/>
            <w:noWrap/>
            <w:hideMark/>
          </w:tcPr>
          <w:p w14:paraId="626F811F"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rPr>
            </w:pPr>
            <w:r w:rsidRPr="00243D01">
              <w:rPr>
                <w:rFonts w:eastAsia="Times New Roman" w:cs="Arial"/>
                <w:b/>
                <w:bCs/>
                <w:sz w:val="20"/>
              </w:rPr>
              <w:t>number</w:t>
            </w:r>
          </w:p>
        </w:tc>
        <w:tc>
          <w:tcPr>
            <w:tcW w:w="750" w:type="dxa"/>
            <w:noWrap/>
            <w:hideMark/>
          </w:tcPr>
          <w:p w14:paraId="6AB97A25"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rPr>
            </w:pPr>
            <w:r w:rsidRPr="00243D01">
              <w:rPr>
                <w:rFonts w:eastAsia="Times New Roman" w:cs="Arial"/>
                <w:b/>
                <w:bCs/>
                <w:sz w:val="20"/>
              </w:rPr>
              <w:t>%</w:t>
            </w:r>
          </w:p>
        </w:tc>
        <w:tc>
          <w:tcPr>
            <w:tcW w:w="1701" w:type="dxa"/>
            <w:gridSpan w:val="2"/>
            <w:noWrap/>
            <w:hideMark/>
          </w:tcPr>
          <w:p w14:paraId="688FCF41"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rPr>
            </w:pPr>
            <w:r w:rsidRPr="00243D01">
              <w:rPr>
                <w:rFonts w:eastAsia="Times New Roman" w:cs="Arial"/>
                <w:b/>
                <w:bCs/>
                <w:sz w:val="20"/>
              </w:rPr>
              <w:t>number</w:t>
            </w:r>
          </w:p>
        </w:tc>
        <w:tc>
          <w:tcPr>
            <w:tcW w:w="795" w:type="dxa"/>
            <w:noWrap/>
            <w:hideMark/>
          </w:tcPr>
          <w:p w14:paraId="700EED71"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rPr>
            </w:pPr>
            <w:r w:rsidRPr="00243D01">
              <w:rPr>
                <w:rFonts w:eastAsia="Times New Roman" w:cs="Arial"/>
                <w:b/>
                <w:bCs/>
                <w:sz w:val="20"/>
              </w:rPr>
              <w:t>%</w:t>
            </w:r>
          </w:p>
        </w:tc>
      </w:tr>
      <w:tr w:rsidR="00243D01" w:rsidRPr="00243D01" w14:paraId="1FA50AA9" w14:textId="77777777" w:rsidTr="70164F76">
        <w:trPr>
          <w:trHeight w:val="281"/>
        </w:trPr>
        <w:tc>
          <w:tcPr>
            <w:cnfStyle w:val="001000000000" w:firstRow="0" w:lastRow="0" w:firstColumn="1" w:lastColumn="0" w:oddVBand="0" w:evenVBand="0" w:oddHBand="0" w:evenHBand="0" w:firstRowFirstColumn="0" w:firstRowLastColumn="0" w:lastRowFirstColumn="0" w:lastRowLastColumn="0"/>
            <w:tcW w:w="4111" w:type="dxa"/>
            <w:hideMark/>
          </w:tcPr>
          <w:p w14:paraId="37E850F8" w14:textId="77777777" w:rsidR="00243D01" w:rsidRPr="00243D01" w:rsidRDefault="00243D01" w:rsidP="00243D01">
            <w:pPr>
              <w:spacing w:before="0" w:after="0" w:line="240" w:lineRule="auto"/>
              <w:rPr>
                <w:rFonts w:eastAsia="Times New Roman" w:cs="Arial"/>
                <w:sz w:val="20"/>
              </w:rPr>
            </w:pPr>
            <w:r w:rsidRPr="00243D01">
              <w:rPr>
                <w:rFonts w:eastAsia="Times New Roman" w:cs="Arial"/>
                <w:sz w:val="20"/>
              </w:rPr>
              <w:t>All categories: English as a household language</w:t>
            </w:r>
          </w:p>
        </w:tc>
        <w:tc>
          <w:tcPr>
            <w:tcW w:w="1050" w:type="dxa"/>
            <w:noWrap/>
            <w:hideMark/>
          </w:tcPr>
          <w:p w14:paraId="6676FE6D"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128,592</w:t>
            </w:r>
          </w:p>
        </w:tc>
        <w:tc>
          <w:tcPr>
            <w:tcW w:w="750" w:type="dxa"/>
            <w:noWrap/>
            <w:hideMark/>
          </w:tcPr>
          <w:p w14:paraId="7E0B8E9C"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100.0</w:t>
            </w:r>
          </w:p>
        </w:tc>
        <w:tc>
          <w:tcPr>
            <w:tcW w:w="1701" w:type="dxa"/>
            <w:gridSpan w:val="2"/>
            <w:noWrap/>
            <w:hideMark/>
          </w:tcPr>
          <w:p w14:paraId="1C6AEFE9"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231,005</w:t>
            </w:r>
          </w:p>
        </w:tc>
        <w:tc>
          <w:tcPr>
            <w:tcW w:w="795" w:type="dxa"/>
            <w:noWrap/>
            <w:hideMark/>
          </w:tcPr>
          <w:p w14:paraId="4D826D39"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100.0</w:t>
            </w:r>
          </w:p>
        </w:tc>
      </w:tr>
      <w:tr w:rsidR="00243D01" w:rsidRPr="00243D01" w14:paraId="3DDCE606" w14:textId="77777777" w:rsidTr="70164F76">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111" w:type="dxa"/>
            <w:hideMark/>
          </w:tcPr>
          <w:p w14:paraId="1996BEE7" w14:textId="77777777" w:rsidR="00243D01" w:rsidRPr="00243D01" w:rsidRDefault="00243D01" w:rsidP="00243D01">
            <w:pPr>
              <w:spacing w:before="0" w:after="0" w:line="240" w:lineRule="auto"/>
              <w:rPr>
                <w:rFonts w:eastAsia="Times New Roman" w:cs="Arial"/>
                <w:sz w:val="20"/>
              </w:rPr>
            </w:pPr>
            <w:r w:rsidRPr="00243D01">
              <w:rPr>
                <w:rFonts w:eastAsia="Times New Roman" w:cs="Arial"/>
                <w:sz w:val="20"/>
              </w:rPr>
              <w:t>All people aged 16 and over in household have English as a main language (English or Welsh in Wales)</w:t>
            </w:r>
          </w:p>
        </w:tc>
        <w:tc>
          <w:tcPr>
            <w:tcW w:w="1050" w:type="dxa"/>
            <w:noWrap/>
            <w:hideMark/>
          </w:tcPr>
          <w:p w14:paraId="47265EA9"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108,756</w:t>
            </w:r>
          </w:p>
        </w:tc>
        <w:tc>
          <w:tcPr>
            <w:tcW w:w="750" w:type="dxa"/>
            <w:noWrap/>
            <w:hideMark/>
          </w:tcPr>
          <w:p w14:paraId="260A62D2"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84.6</w:t>
            </w:r>
          </w:p>
        </w:tc>
        <w:tc>
          <w:tcPr>
            <w:tcW w:w="1701" w:type="dxa"/>
            <w:gridSpan w:val="2"/>
            <w:noWrap/>
            <w:hideMark/>
          </w:tcPr>
          <w:p w14:paraId="777DDB91"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219,506</w:t>
            </w:r>
          </w:p>
        </w:tc>
        <w:tc>
          <w:tcPr>
            <w:tcW w:w="795" w:type="dxa"/>
            <w:noWrap/>
            <w:hideMark/>
          </w:tcPr>
          <w:p w14:paraId="325D3C3E"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95.0</w:t>
            </w:r>
          </w:p>
        </w:tc>
      </w:tr>
      <w:tr w:rsidR="00243D01" w:rsidRPr="00243D01" w14:paraId="5CD37C03" w14:textId="77777777" w:rsidTr="70164F76">
        <w:trPr>
          <w:trHeight w:val="520"/>
        </w:trPr>
        <w:tc>
          <w:tcPr>
            <w:cnfStyle w:val="001000000000" w:firstRow="0" w:lastRow="0" w:firstColumn="1" w:lastColumn="0" w:oddVBand="0" w:evenVBand="0" w:oddHBand="0" w:evenHBand="0" w:firstRowFirstColumn="0" w:firstRowLastColumn="0" w:lastRowFirstColumn="0" w:lastRowLastColumn="0"/>
            <w:tcW w:w="4111" w:type="dxa"/>
            <w:hideMark/>
          </w:tcPr>
          <w:p w14:paraId="5E71434D" w14:textId="77777777" w:rsidR="00243D01" w:rsidRPr="00243D01" w:rsidRDefault="00243D01" w:rsidP="00243D01">
            <w:pPr>
              <w:spacing w:before="0" w:after="0" w:line="240" w:lineRule="auto"/>
              <w:rPr>
                <w:rFonts w:eastAsia="Times New Roman" w:cs="Arial"/>
                <w:sz w:val="20"/>
              </w:rPr>
            </w:pPr>
            <w:r w:rsidRPr="00243D01">
              <w:rPr>
                <w:rFonts w:eastAsia="Times New Roman" w:cs="Arial"/>
                <w:sz w:val="20"/>
              </w:rPr>
              <w:t>At least one but not all people aged 16 and over in household have English as a main language (English or Welsh in Wales)</w:t>
            </w:r>
          </w:p>
        </w:tc>
        <w:tc>
          <w:tcPr>
            <w:tcW w:w="1050" w:type="dxa"/>
            <w:noWrap/>
            <w:hideMark/>
          </w:tcPr>
          <w:p w14:paraId="3A2FD9FC"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6,987</w:t>
            </w:r>
          </w:p>
        </w:tc>
        <w:tc>
          <w:tcPr>
            <w:tcW w:w="750" w:type="dxa"/>
            <w:noWrap/>
            <w:hideMark/>
          </w:tcPr>
          <w:p w14:paraId="58CA596F"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5.4</w:t>
            </w:r>
          </w:p>
        </w:tc>
        <w:tc>
          <w:tcPr>
            <w:tcW w:w="1701" w:type="dxa"/>
            <w:gridSpan w:val="2"/>
            <w:noWrap/>
            <w:hideMark/>
          </w:tcPr>
          <w:p w14:paraId="65D5DCB3"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5,248</w:t>
            </w:r>
          </w:p>
        </w:tc>
        <w:tc>
          <w:tcPr>
            <w:tcW w:w="795" w:type="dxa"/>
            <w:noWrap/>
            <w:hideMark/>
          </w:tcPr>
          <w:p w14:paraId="5880B603"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2.3</w:t>
            </w:r>
          </w:p>
        </w:tc>
      </w:tr>
      <w:tr w:rsidR="00243D01" w:rsidRPr="00243D01" w14:paraId="577AFCB4" w14:textId="77777777" w:rsidTr="70164F76">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111" w:type="dxa"/>
            <w:hideMark/>
          </w:tcPr>
          <w:p w14:paraId="384960A6" w14:textId="77777777" w:rsidR="00243D01" w:rsidRPr="00243D01" w:rsidRDefault="00243D01" w:rsidP="00243D01">
            <w:pPr>
              <w:spacing w:before="0" w:after="0" w:line="240" w:lineRule="auto"/>
              <w:rPr>
                <w:rFonts w:eastAsia="Times New Roman" w:cs="Arial"/>
                <w:sz w:val="20"/>
              </w:rPr>
            </w:pPr>
            <w:r w:rsidRPr="00243D01">
              <w:rPr>
                <w:rFonts w:eastAsia="Times New Roman" w:cs="Arial"/>
                <w:sz w:val="20"/>
              </w:rPr>
              <w:t>No people aged 16 and over in household but at least one person aged 3 to 15 has English as a main language (English or Welsh in Wales)</w:t>
            </w:r>
          </w:p>
        </w:tc>
        <w:tc>
          <w:tcPr>
            <w:tcW w:w="1050" w:type="dxa"/>
            <w:noWrap/>
            <w:hideMark/>
          </w:tcPr>
          <w:p w14:paraId="720D86CF"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1,679</w:t>
            </w:r>
          </w:p>
        </w:tc>
        <w:tc>
          <w:tcPr>
            <w:tcW w:w="750" w:type="dxa"/>
            <w:noWrap/>
            <w:hideMark/>
          </w:tcPr>
          <w:p w14:paraId="0BF9B07C"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1.3</w:t>
            </w:r>
          </w:p>
        </w:tc>
        <w:tc>
          <w:tcPr>
            <w:tcW w:w="1701" w:type="dxa"/>
            <w:gridSpan w:val="2"/>
            <w:noWrap/>
            <w:hideMark/>
          </w:tcPr>
          <w:p w14:paraId="04F42D23"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704</w:t>
            </w:r>
          </w:p>
        </w:tc>
        <w:tc>
          <w:tcPr>
            <w:tcW w:w="795" w:type="dxa"/>
            <w:noWrap/>
            <w:hideMark/>
          </w:tcPr>
          <w:p w14:paraId="26745203" w14:textId="77777777" w:rsidR="00243D01" w:rsidRPr="00243D01" w:rsidRDefault="00243D01" w:rsidP="00243D0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243D01">
              <w:rPr>
                <w:rFonts w:eastAsia="Times New Roman" w:cs="Arial"/>
                <w:sz w:val="20"/>
              </w:rPr>
              <w:t>0.3</w:t>
            </w:r>
          </w:p>
        </w:tc>
      </w:tr>
      <w:tr w:rsidR="00243D01" w:rsidRPr="00243D01" w14:paraId="04C0EF6F" w14:textId="77777777" w:rsidTr="70164F76">
        <w:trPr>
          <w:trHeight w:val="520"/>
        </w:trPr>
        <w:tc>
          <w:tcPr>
            <w:cnfStyle w:val="001000000000" w:firstRow="0" w:lastRow="0" w:firstColumn="1" w:lastColumn="0" w:oddVBand="0" w:evenVBand="0" w:oddHBand="0" w:evenHBand="0" w:firstRowFirstColumn="0" w:firstRowLastColumn="0" w:lastRowFirstColumn="0" w:lastRowLastColumn="0"/>
            <w:tcW w:w="4111" w:type="dxa"/>
            <w:hideMark/>
          </w:tcPr>
          <w:p w14:paraId="243D6766" w14:textId="77777777" w:rsidR="00243D01" w:rsidRPr="00243D01" w:rsidRDefault="00243D01" w:rsidP="00243D01">
            <w:pPr>
              <w:spacing w:before="0" w:after="0" w:line="240" w:lineRule="auto"/>
              <w:rPr>
                <w:rFonts w:eastAsia="Times New Roman" w:cs="Arial"/>
                <w:sz w:val="20"/>
              </w:rPr>
            </w:pPr>
            <w:r w:rsidRPr="00243D01">
              <w:rPr>
                <w:rFonts w:eastAsia="Times New Roman" w:cs="Arial"/>
                <w:sz w:val="20"/>
              </w:rPr>
              <w:t>No people in household have English as a main language (English or Welsh in Wales)</w:t>
            </w:r>
          </w:p>
        </w:tc>
        <w:tc>
          <w:tcPr>
            <w:tcW w:w="1050" w:type="dxa"/>
            <w:noWrap/>
            <w:hideMark/>
          </w:tcPr>
          <w:p w14:paraId="62B47E02"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11,170</w:t>
            </w:r>
          </w:p>
        </w:tc>
        <w:tc>
          <w:tcPr>
            <w:tcW w:w="750" w:type="dxa"/>
            <w:noWrap/>
            <w:hideMark/>
          </w:tcPr>
          <w:p w14:paraId="4152F748"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8.7</w:t>
            </w:r>
          </w:p>
        </w:tc>
        <w:tc>
          <w:tcPr>
            <w:tcW w:w="1701" w:type="dxa"/>
            <w:gridSpan w:val="2"/>
            <w:noWrap/>
            <w:hideMark/>
          </w:tcPr>
          <w:p w14:paraId="26E555DB"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5,547</w:t>
            </w:r>
          </w:p>
        </w:tc>
        <w:tc>
          <w:tcPr>
            <w:tcW w:w="795" w:type="dxa"/>
            <w:noWrap/>
            <w:hideMark/>
          </w:tcPr>
          <w:p w14:paraId="471B7E16" w14:textId="77777777" w:rsidR="00243D01" w:rsidRPr="00243D01" w:rsidRDefault="00243D01" w:rsidP="00243D01">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243D01">
              <w:rPr>
                <w:rFonts w:eastAsia="Times New Roman" w:cs="Arial"/>
                <w:sz w:val="20"/>
              </w:rPr>
              <w:t>2.4</w:t>
            </w:r>
          </w:p>
        </w:tc>
      </w:tr>
    </w:tbl>
    <w:p w14:paraId="5E2A26B4" w14:textId="2BDE37EC" w:rsidR="007C487F" w:rsidRDefault="007C487F" w:rsidP="2B2A9C68">
      <w:pPr>
        <w:spacing w:before="200" w:after="200" w:line="276" w:lineRule="auto"/>
        <w:rPr>
          <w:rFonts w:eastAsia="Arial" w:cs="Arial"/>
        </w:rPr>
      </w:pPr>
    </w:p>
    <w:p w14:paraId="6393A10F" w14:textId="77777777" w:rsidR="00BA78CE" w:rsidRDefault="00BA78CE" w:rsidP="2B2A9C68">
      <w:pPr>
        <w:spacing w:before="200" w:after="200" w:line="276" w:lineRule="auto"/>
        <w:rPr>
          <w:rFonts w:eastAsia="Arial" w:cs="Arial"/>
        </w:rPr>
      </w:pPr>
    </w:p>
    <w:p w14:paraId="7AEAB136" w14:textId="77777777" w:rsidR="00BA78CE" w:rsidRDefault="00BA78CE" w:rsidP="2B2A9C68">
      <w:pPr>
        <w:spacing w:before="200" w:after="200" w:line="276" w:lineRule="auto"/>
        <w:rPr>
          <w:rFonts w:eastAsia="Arial" w:cs="Arial"/>
        </w:rPr>
      </w:pPr>
    </w:p>
    <w:p w14:paraId="51077A87" w14:textId="77777777" w:rsidR="00BA78CE" w:rsidRDefault="00BA78CE" w:rsidP="2B2A9C68">
      <w:pPr>
        <w:spacing w:before="200" w:after="200" w:line="276" w:lineRule="auto"/>
        <w:rPr>
          <w:rFonts w:eastAsia="Arial" w:cs="Arial"/>
        </w:rPr>
      </w:pPr>
    </w:p>
    <w:p w14:paraId="74FDDEFD" w14:textId="77777777" w:rsidR="00BA78CE" w:rsidRDefault="00BA78CE" w:rsidP="2B2A9C68">
      <w:pPr>
        <w:spacing w:before="200" w:after="200" w:line="276" w:lineRule="auto"/>
        <w:rPr>
          <w:rFonts w:eastAsia="Arial" w:cs="Arial"/>
        </w:rPr>
      </w:pPr>
    </w:p>
    <w:p w14:paraId="1AEAD6A5" w14:textId="77777777" w:rsidR="00BA78CE" w:rsidRDefault="00BA78CE" w:rsidP="2B2A9C68">
      <w:pPr>
        <w:spacing w:before="200" w:after="200" w:line="276" w:lineRule="auto"/>
        <w:rPr>
          <w:rFonts w:eastAsia="Arial" w:cs="Arial"/>
        </w:rPr>
      </w:pPr>
    </w:p>
    <w:p w14:paraId="1625AD86" w14:textId="77777777" w:rsidR="00BA78CE" w:rsidRDefault="00BA78CE" w:rsidP="2B2A9C68">
      <w:pPr>
        <w:spacing w:before="200" w:after="200" w:line="276" w:lineRule="auto"/>
        <w:rPr>
          <w:rFonts w:eastAsia="Arial" w:cs="Arial"/>
        </w:rPr>
      </w:pPr>
    </w:p>
    <w:p w14:paraId="479BD2CD" w14:textId="77777777" w:rsidR="00BA78CE" w:rsidRDefault="00BA78CE" w:rsidP="2B2A9C68">
      <w:pPr>
        <w:spacing w:before="200" w:after="200" w:line="276" w:lineRule="auto"/>
        <w:rPr>
          <w:rFonts w:eastAsia="Arial" w:cs="Arial"/>
        </w:rPr>
      </w:pPr>
    </w:p>
    <w:p w14:paraId="1AC8C85B" w14:textId="77777777" w:rsidR="00BA78CE" w:rsidRDefault="00BA78CE" w:rsidP="2B2A9C68">
      <w:pPr>
        <w:spacing w:before="200" w:after="200" w:line="276" w:lineRule="auto"/>
        <w:rPr>
          <w:rFonts w:eastAsia="Arial" w:cs="Arial"/>
        </w:rPr>
      </w:pPr>
    </w:p>
    <w:p w14:paraId="569A3C46" w14:textId="77777777" w:rsidR="00BA78CE" w:rsidRDefault="00BA78CE" w:rsidP="2B2A9C68">
      <w:pPr>
        <w:spacing w:before="200" w:after="200" w:line="276" w:lineRule="auto"/>
        <w:rPr>
          <w:rFonts w:eastAsia="Arial" w:cs="Arial"/>
        </w:rPr>
      </w:pPr>
    </w:p>
    <w:p w14:paraId="2BBB3D05" w14:textId="577B324D" w:rsidR="003E5E02" w:rsidRDefault="003E5E02" w:rsidP="003E5E02">
      <w:pPr>
        <w:pStyle w:val="Caption"/>
        <w:rPr>
          <w:rFonts w:eastAsia="Arial" w:cs="Arial"/>
        </w:rPr>
      </w:pPr>
      <w:r>
        <w:t xml:space="preserve">Table </w:t>
      </w:r>
      <w:r>
        <w:fldChar w:fldCharType="begin"/>
      </w:r>
      <w:r>
        <w:instrText>SEQ Table \* ARABIC</w:instrText>
      </w:r>
      <w:r>
        <w:fldChar w:fldCharType="separate"/>
      </w:r>
      <w:r w:rsidR="00AC4C6D">
        <w:rPr>
          <w:noProof/>
        </w:rPr>
        <w:t>3</w:t>
      </w:r>
      <w:r>
        <w:fldChar w:fldCharType="end"/>
      </w:r>
      <w:r>
        <w:t>: Main Language in a Household</w:t>
      </w:r>
      <w:r>
        <w:br/>
        <w:t>Source: Census 2011</w:t>
      </w:r>
    </w:p>
    <w:p w14:paraId="32591563" w14:textId="77777777" w:rsidR="00BA78CE" w:rsidRDefault="00BA78CE" w:rsidP="2B2A9C68">
      <w:pPr>
        <w:spacing w:before="200" w:after="200" w:line="276" w:lineRule="auto"/>
        <w:rPr>
          <w:rFonts w:eastAsia="Arial" w:cs="Arial"/>
        </w:rPr>
      </w:pPr>
    </w:p>
    <w:p w14:paraId="25EBEABD" w14:textId="2B4DD601" w:rsidR="181A1297" w:rsidRDefault="181A1297" w:rsidP="181A1297">
      <w:pPr>
        <w:pStyle w:val="Heading2"/>
      </w:pPr>
      <w:bookmarkStart w:id="39" w:name="_Toc113628596"/>
      <w:r w:rsidRPr="181A1297">
        <w:rPr>
          <w:rFonts w:eastAsia="Arial" w:cs="Arial"/>
          <w:bCs w:val="0"/>
          <w:color w:val="000000" w:themeColor="text1"/>
          <w:szCs w:val="24"/>
        </w:rPr>
        <w:t xml:space="preserve">Index of </w:t>
      </w:r>
      <w:r w:rsidR="003F389B">
        <w:rPr>
          <w:rFonts w:eastAsia="Arial" w:cs="Arial"/>
          <w:bCs w:val="0"/>
          <w:color w:val="000000" w:themeColor="text1"/>
          <w:szCs w:val="24"/>
        </w:rPr>
        <w:t>M</w:t>
      </w:r>
      <w:r w:rsidRPr="181A1297">
        <w:rPr>
          <w:rFonts w:eastAsia="Arial" w:cs="Arial"/>
          <w:bCs w:val="0"/>
          <w:color w:val="000000" w:themeColor="text1"/>
          <w:szCs w:val="24"/>
        </w:rPr>
        <w:t xml:space="preserve">ultiple </w:t>
      </w:r>
      <w:r w:rsidR="003F389B">
        <w:rPr>
          <w:rFonts w:eastAsia="Arial" w:cs="Arial"/>
          <w:bCs w:val="0"/>
          <w:color w:val="000000" w:themeColor="text1"/>
          <w:szCs w:val="24"/>
        </w:rPr>
        <w:t>D</w:t>
      </w:r>
      <w:r w:rsidRPr="181A1297">
        <w:rPr>
          <w:rFonts w:eastAsia="Arial" w:cs="Arial"/>
          <w:bCs w:val="0"/>
          <w:color w:val="000000" w:themeColor="text1"/>
          <w:szCs w:val="24"/>
        </w:rPr>
        <w:t>eprivation</w:t>
      </w:r>
      <w:bookmarkEnd w:id="39"/>
    </w:p>
    <w:p w14:paraId="424FEB4B" w14:textId="77777777" w:rsidR="00FB3DFB" w:rsidRDefault="00FB3DFB" w:rsidP="181A1297">
      <w:r>
        <w:t xml:space="preserve">All the Lower-layer Super Output Areas (LSOAs) in England (32,844) can be ranked according to their Index of Multiple Deprivation score. This allows users to identify the most and least deprived areas in England and to compare whether one area is more deprived than another. There are 195 LSOAs in Coventry with an average population of 1,900 residents. An area has a higher deprivation score than another if there is a higher proportion of people living there who are classed as deprived. </w:t>
      </w:r>
    </w:p>
    <w:p w14:paraId="26B3ECF2" w14:textId="387632D8" w:rsidR="006040A3" w:rsidRDefault="00FB3DFB" w:rsidP="181A1297">
      <w:pPr>
        <w:rPr>
          <w:rFonts w:eastAsia="Arial" w:cs="Arial"/>
          <w:szCs w:val="24"/>
        </w:rPr>
      </w:pPr>
      <w:r>
        <w:t xml:space="preserve">A geographical area itself is not deprived: it is the circumstances and lifestyles of the people living there that affect its deprivation score. It is important to remember that not everyone </w:t>
      </w:r>
      <w:r>
        <w:lastRenderedPageBreak/>
        <w:t>living in a deprived area is deprived</w:t>
      </w:r>
      <w:r w:rsidR="00EC58AD">
        <w:t>,</w:t>
      </w:r>
      <w:r>
        <w:t xml:space="preserve"> and that not all people experiencing deprivation live in deprived areas.</w:t>
      </w:r>
      <w:r w:rsidR="181A1297" w:rsidRPr="181A1297">
        <w:rPr>
          <w:rFonts w:eastAsia="Arial" w:cs="Arial"/>
          <w:szCs w:val="24"/>
        </w:rPr>
        <w:t xml:space="preserve"> </w:t>
      </w:r>
    </w:p>
    <w:p w14:paraId="0C8959ED" w14:textId="63EA197C" w:rsidR="00D0767F" w:rsidRDefault="00D0767F" w:rsidP="181A1297">
      <w:pPr>
        <w:rPr>
          <w:rFonts w:eastAsia="Arial" w:cs="Arial"/>
          <w:szCs w:val="24"/>
        </w:rPr>
      </w:pPr>
      <w:r>
        <w:rPr>
          <w:rFonts w:eastAsia="Arial" w:cs="Arial"/>
          <w:szCs w:val="24"/>
        </w:rPr>
        <w:t xml:space="preserve">Figure </w:t>
      </w:r>
      <w:r w:rsidR="002C7099">
        <w:rPr>
          <w:rFonts w:eastAsia="Arial" w:cs="Arial"/>
          <w:szCs w:val="24"/>
        </w:rPr>
        <w:t>7</w:t>
      </w:r>
      <w:r w:rsidR="00DF6A7C">
        <w:rPr>
          <w:rFonts w:eastAsia="Arial" w:cs="Arial"/>
          <w:szCs w:val="24"/>
        </w:rPr>
        <w:t xml:space="preserve"> </w:t>
      </w:r>
      <w:r w:rsidR="00FE08E0">
        <w:rPr>
          <w:rFonts w:eastAsia="Arial" w:cs="Arial"/>
          <w:szCs w:val="24"/>
        </w:rPr>
        <w:t xml:space="preserve">shows the LSOAs in Coventry </w:t>
      </w:r>
      <w:r w:rsidR="00337796">
        <w:rPr>
          <w:rFonts w:eastAsia="Arial" w:cs="Arial"/>
          <w:szCs w:val="24"/>
        </w:rPr>
        <w:t xml:space="preserve">ranked from most deprived to least deprived. </w:t>
      </w:r>
      <w:r w:rsidR="0048011A">
        <w:rPr>
          <w:rFonts w:eastAsia="Arial" w:cs="Arial"/>
          <w:szCs w:val="24"/>
        </w:rPr>
        <w:t>The map</w:t>
      </w:r>
      <w:r w:rsidR="00557F4D">
        <w:rPr>
          <w:rFonts w:eastAsia="Arial" w:cs="Arial"/>
          <w:szCs w:val="24"/>
        </w:rPr>
        <w:t xml:space="preserve"> shows particular areas of deprivation from the city c</w:t>
      </w:r>
      <w:r w:rsidR="00F84CAE">
        <w:rPr>
          <w:rFonts w:eastAsia="Arial" w:cs="Arial"/>
          <w:szCs w:val="24"/>
        </w:rPr>
        <w:t xml:space="preserve">entre into the North East of the city, as well as in the South East and pockets in the South West. </w:t>
      </w:r>
    </w:p>
    <w:p w14:paraId="59B8ED4C" w14:textId="77777777" w:rsidR="00D0767F" w:rsidRDefault="00D0767F" w:rsidP="00D0767F">
      <w:pPr>
        <w:jc w:val="center"/>
      </w:pPr>
      <w:r>
        <w:rPr>
          <w:noProof/>
          <w:color w:val="2B579A"/>
          <w:shd w:val="clear" w:color="auto" w:fill="E6E6E6"/>
        </w:rPr>
        <w:drawing>
          <wp:inline distT="0" distB="0" distL="0" distR="0" wp14:anchorId="5CA8D775" wp14:editId="545E9C36">
            <wp:extent cx="5306168" cy="3762900"/>
            <wp:effectExtent l="0" t="0" r="889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32">
                      <a:extLst>
                        <a:ext uri="{28A0092B-C50C-407E-A947-70E740481C1C}">
                          <a14:useLocalDpi xmlns:a14="http://schemas.microsoft.com/office/drawing/2010/main" val="0"/>
                        </a:ext>
                      </a:extLst>
                    </a:blip>
                    <a:stretch>
                      <a:fillRect/>
                    </a:stretch>
                  </pic:blipFill>
                  <pic:spPr>
                    <a:xfrm>
                      <a:off x="0" y="0"/>
                      <a:ext cx="5306168" cy="3762900"/>
                    </a:xfrm>
                    <a:prstGeom prst="rect">
                      <a:avLst/>
                    </a:prstGeom>
                  </pic:spPr>
                </pic:pic>
              </a:graphicData>
            </a:graphic>
          </wp:inline>
        </w:drawing>
      </w:r>
    </w:p>
    <w:p w14:paraId="15507661" w14:textId="63940AD3" w:rsidR="0048011A" w:rsidRDefault="003E5E02" w:rsidP="002C7099">
      <w:pPr>
        <w:pStyle w:val="Caption"/>
      </w:pPr>
      <w:r>
        <w:t xml:space="preserve">Figure </w:t>
      </w:r>
      <w:r>
        <w:fldChar w:fldCharType="begin"/>
      </w:r>
      <w:r>
        <w:instrText>SEQ Figure \* ARABIC</w:instrText>
      </w:r>
      <w:r>
        <w:fldChar w:fldCharType="separate"/>
      </w:r>
      <w:r w:rsidR="006553F7">
        <w:rPr>
          <w:noProof/>
        </w:rPr>
        <w:t>7</w:t>
      </w:r>
      <w:r>
        <w:fldChar w:fldCharType="end"/>
      </w:r>
      <w:r>
        <w:t>: Coventry LSOAs by deprivation decile</w:t>
      </w:r>
      <w:r>
        <w:br/>
      </w:r>
      <w:r w:rsidR="0043731F">
        <w:t xml:space="preserve">Source: </w:t>
      </w:r>
      <w:r w:rsidR="002C7099">
        <w:t>Index of Multiple Deprivation 2019</w:t>
      </w:r>
    </w:p>
    <w:p w14:paraId="0FE8395A" w14:textId="77777777" w:rsidR="002C7099" w:rsidRDefault="002C7099" w:rsidP="0048011A"/>
    <w:p w14:paraId="2DC3BEB2" w14:textId="504E160E" w:rsidR="0048011A" w:rsidRDefault="0048011A" w:rsidP="0048011A">
      <w:r>
        <w:t xml:space="preserve">Figure </w:t>
      </w:r>
      <w:r w:rsidR="002C7099">
        <w:t>8</w:t>
      </w:r>
      <w:r>
        <w:t xml:space="preserve"> shows the LSOAs in Warwickshire ranked from most deprived (dark blue) to least deprived (light blue). The map shows particular areas of deprivation around North Warwickshire, Nuneaton and Bedworth, and Rugby. </w:t>
      </w:r>
    </w:p>
    <w:p w14:paraId="347C3A6D" w14:textId="77777777" w:rsidR="0048011A" w:rsidRDefault="0048011A" w:rsidP="0048011A"/>
    <w:p w14:paraId="5EF7756B" w14:textId="5BE5FAC8" w:rsidR="0048011A" w:rsidRPr="0048011A" w:rsidRDefault="0048011A" w:rsidP="0048011A">
      <w:pPr>
        <w:jc w:val="center"/>
        <w:rPr>
          <w:rFonts w:eastAsia="MS Mincho" w:cs="Arial"/>
          <w:szCs w:val="24"/>
        </w:rPr>
      </w:pPr>
      <w:r>
        <w:rPr>
          <w:noProof/>
          <w:color w:val="2B579A"/>
          <w:shd w:val="clear" w:color="auto" w:fill="E6E6E6"/>
        </w:rPr>
        <w:lastRenderedPageBreak/>
        <w:drawing>
          <wp:inline distT="0" distB="0" distL="0" distR="0" wp14:anchorId="5EC8E7E1" wp14:editId="5C7489FD">
            <wp:extent cx="4105275" cy="5829978"/>
            <wp:effectExtent l="0" t="0" r="0" b="0"/>
            <wp:docPr id="905370812" name="Picture 90537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370812"/>
                    <pic:cNvPicPr/>
                  </pic:nvPicPr>
                  <pic:blipFill>
                    <a:blip r:embed="rId33">
                      <a:extLst>
                        <a:ext uri="{28A0092B-C50C-407E-A947-70E740481C1C}">
                          <a14:useLocalDpi xmlns:a14="http://schemas.microsoft.com/office/drawing/2010/main" val="0"/>
                        </a:ext>
                      </a:extLst>
                    </a:blip>
                    <a:stretch>
                      <a:fillRect/>
                    </a:stretch>
                  </pic:blipFill>
                  <pic:spPr>
                    <a:xfrm>
                      <a:off x="0" y="0"/>
                      <a:ext cx="4107554" cy="5833214"/>
                    </a:xfrm>
                    <a:prstGeom prst="rect">
                      <a:avLst/>
                    </a:prstGeom>
                  </pic:spPr>
                </pic:pic>
              </a:graphicData>
            </a:graphic>
          </wp:inline>
        </w:drawing>
      </w:r>
    </w:p>
    <w:p w14:paraId="56607FBB" w14:textId="77777777" w:rsidR="0048011A" w:rsidRDefault="0048011A" w:rsidP="0048011A">
      <w:pPr>
        <w:spacing w:before="0" w:after="0" w:line="240" w:lineRule="auto"/>
        <w:jc w:val="center"/>
        <w:rPr>
          <w:rFonts w:eastAsia="MS Mincho" w:cs="Arial"/>
          <w:szCs w:val="24"/>
        </w:rPr>
      </w:pPr>
    </w:p>
    <w:p w14:paraId="4878BED8" w14:textId="6D620DE1" w:rsidR="002C7099" w:rsidRDefault="0048011A" w:rsidP="002C7099">
      <w:pPr>
        <w:spacing w:before="0" w:after="0" w:line="240" w:lineRule="auto"/>
        <w:jc w:val="center"/>
        <w:rPr>
          <w:rFonts w:eastAsia="MS Mincho" w:cs="Arial"/>
          <w:szCs w:val="24"/>
        </w:rPr>
      </w:pPr>
      <w:r>
        <w:rPr>
          <w:noProof/>
          <w:color w:val="2B579A"/>
          <w:shd w:val="clear" w:color="auto" w:fill="E6E6E6"/>
        </w:rPr>
        <w:drawing>
          <wp:inline distT="0" distB="0" distL="0" distR="0" wp14:anchorId="7DDE9449" wp14:editId="760735DD">
            <wp:extent cx="2175782" cy="390525"/>
            <wp:effectExtent l="0" t="0" r="0" b="0"/>
            <wp:docPr id="23578439" name="Picture 2357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189591" cy="393003"/>
                    </a:xfrm>
                    <a:prstGeom prst="rect">
                      <a:avLst/>
                    </a:prstGeom>
                  </pic:spPr>
                </pic:pic>
              </a:graphicData>
            </a:graphic>
          </wp:inline>
        </w:drawing>
      </w:r>
    </w:p>
    <w:p w14:paraId="3805D8C8" w14:textId="656886C6" w:rsidR="00457BDA" w:rsidRDefault="00457BDA" w:rsidP="181A1297">
      <w:r w:rsidRPr="0048011A">
        <w:rPr>
          <w:rFonts w:eastAsia="Arial" w:cs="Arial"/>
          <w:noProof/>
          <w:szCs w:val="24"/>
        </w:rPr>
        <mc:AlternateContent>
          <mc:Choice Requires="wps">
            <w:drawing>
              <wp:anchor distT="45720" distB="45720" distL="114300" distR="114300" simplePos="0" relativeHeight="251658242" behindDoc="0" locked="0" layoutInCell="1" allowOverlap="1" wp14:anchorId="55D77385" wp14:editId="7176D98B">
                <wp:simplePos x="0" y="0"/>
                <wp:positionH relativeFrom="column">
                  <wp:posOffset>3524885</wp:posOffset>
                </wp:positionH>
                <wp:positionV relativeFrom="paragraph">
                  <wp:posOffset>53340</wp:posOffset>
                </wp:positionV>
                <wp:extent cx="814070" cy="247650"/>
                <wp:effectExtent l="0" t="0" r="5080" b="0"/>
                <wp:wrapSquare wrapText="bothSides"/>
                <wp:docPr id="905370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47650"/>
                        </a:xfrm>
                        <a:prstGeom prst="rect">
                          <a:avLst/>
                        </a:prstGeom>
                        <a:solidFill>
                          <a:srgbClr val="FFFFFF"/>
                        </a:solidFill>
                        <a:ln w="9525">
                          <a:noFill/>
                          <a:miter lim="800000"/>
                          <a:headEnd/>
                          <a:tailEnd/>
                        </a:ln>
                      </wps:spPr>
                      <wps:txbx>
                        <w:txbxContent>
                          <w:p w14:paraId="335CFC3F" w14:textId="77777777" w:rsidR="0048011A" w:rsidRPr="005C55A7" w:rsidRDefault="0048011A" w:rsidP="0048011A">
                            <w:pPr>
                              <w:spacing w:before="0" w:after="0" w:line="240" w:lineRule="auto"/>
                              <w:rPr>
                                <w:sz w:val="20"/>
                              </w:rPr>
                            </w:pPr>
                            <w:r w:rsidRPr="005C55A7">
                              <w:rPr>
                                <w:sz w:val="20"/>
                              </w:rPr>
                              <w:t>Decile 1</w:t>
                            </w:r>
                            <w:r>
                              <w:rPr>
                                <w:sz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77385" id="_x0000_s1027" type="#_x0000_t202" style="position:absolute;margin-left:277.55pt;margin-top:4.2pt;width:64.1pt;height:1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JmDgIAAPwDAAAOAAAAZHJzL2Uyb0RvYy54bWysU11v2yAUfZ+0/4B4X+xESdNacaouXaZJ&#10;3YfU7QdgjGM0zGUXErv79btgN426t2k8IC4XDueee9jcDp1hJ4Vegy35fJZzpqyEWttDyX9837+7&#10;5swHYWthwKqSPynPb7dv32x6V6gFtGBqhYxArC96V/I2BFdkmZet6oSfgVOWkg1gJwKFeMhqFD2h&#10;dyZb5PlV1gPWDkEq72n3fkzybcJvGiXD16bxKjBTcuIW0oxpruKcbTeiOKBwrZYTDfEPLDqhLT16&#10;hroXQbAj6r+gOi0RPDRhJqHLoGm0VKkGqmaev6rmsRVOpVpIHO/OMvn/Byu/nB7dN2RheA8DNTAV&#10;4d0DyJ+eWdi1wh7UHSL0rRI1PTyPkmW988V0NUrtCx9Bqv4z1NRkcQyQgIYGu6gK1ckInRrwdBZd&#10;DYFJ2ryeL/M1ZSSlFsv11So1JRPF82WHPnxU0LG4KDlSTxO4OD34EMmI4vlIfMuD0fVeG5MCPFQ7&#10;g+wkqP/7NBL/V8eMZX3Jb1aLVUK2EO8na3Q6kD+N7ohoHsfomCjGB1unI0FoM66JibGTOlGQUZow&#10;VAPT9SRdFKuC+onkQhjtSN+HFi3gb856smLJ/a+jQMWZ+WRJ8pv5chm9m4Llar2gAC8z1WVGWElQ&#10;JQ+cjctdSH6Pcli4o9Y0Osn2wmSiTBZLak7fIXr4Mk6nXj7t9g8AAAD//wMAUEsDBBQABgAIAAAA&#10;IQD/B3xQ3QAAAAgBAAAPAAAAZHJzL2Rvd25yZXYueG1sTI/NTsMwEITvSLyDtUhcEHVK80fIpgIk&#10;ENeWPsAmdpOIeB3FbpO+PeZEj6MZzXxTbhcziLOeXG8ZYb2KQGhurOq5RTh8fzzmIJwnVjRY1ggX&#10;7WBb3d6UVCg7806f974VoYRdQQid92MhpWs6bcit7Kg5eEc7GfJBTq1UE82h3AzyKYpSaajnsNDR&#10;qN873fzsTwbh+DU/JM9z/ekP2S5O36jPantBvL9bXl9AeL34/zD84Qd0qAJTbU+snBgQkiRZhyhC&#10;HoMIfppvNiBqhDiLQValvD5Q/QIAAP//AwBQSwECLQAUAAYACAAAACEAtoM4kv4AAADhAQAAEwAA&#10;AAAAAAAAAAAAAAAAAAAAW0NvbnRlbnRfVHlwZXNdLnhtbFBLAQItABQABgAIAAAAIQA4/SH/1gAA&#10;AJQBAAALAAAAAAAAAAAAAAAAAC8BAABfcmVscy8ucmVsc1BLAQItABQABgAIAAAAIQB2EVJmDgIA&#10;APwDAAAOAAAAAAAAAAAAAAAAAC4CAABkcnMvZTJvRG9jLnhtbFBLAQItABQABgAIAAAAIQD/B3xQ&#10;3QAAAAgBAAAPAAAAAAAAAAAAAAAAAGgEAABkcnMvZG93bnJldi54bWxQSwUGAAAAAAQABADzAAAA&#10;cgUAAAAA&#10;" stroked="f">
                <v:textbox>
                  <w:txbxContent>
                    <w:p w14:paraId="335CFC3F" w14:textId="77777777" w:rsidR="0048011A" w:rsidRPr="005C55A7" w:rsidRDefault="0048011A" w:rsidP="0048011A">
                      <w:pPr>
                        <w:spacing w:before="0" w:after="0" w:line="240" w:lineRule="auto"/>
                        <w:rPr>
                          <w:sz w:val="20"/>
                        </w:rPr>
                      </w:pPr>
                      <w:r w:rsidRPr="005C55A7">
                        <w:rPr>
                          <w:sz w:val="20"/>
                        </w:rPr>
                        <w:t>Decile 1</w:t>
                      </w:r>
                      <w:r>
                        <w:rPr>
                          <w:sz w:val="20"/>
                        </w:rPr>
                        <w:t>0</w:t>
                      </w:r>
                    </w:p>
                  </w:txbxContent>
                </v:textbox>
                <w10:wrap type="square"/>
              </v:shape>
            </w:pict>
          </mc:Fallback>
        </mc:AlternateContent>
      </w:r>
      <w:r w:rsidRPr="0048011A">
        <w:rPr>
          <w:rFonts w:eastAsia="Arial" w:cs="Arial"/>
          <w:noProof/>
          <w:szCs w:val="24"/>
        </w:rPr>
        <mc:AlternateContent>
          <mc:Choice Requires="wps">
            <w:drawing>
              <wp:anchor distT="45720" distB="45720" distL="114300" distR="114300" simplePos="0" relativeHeight="251658241" behindDoc="0" locked="0" layoutInCell="1" allowOverlap="1" wp14:anchorId="3FA48B3C" wp14:editId="12B9802C">
                <wp:simplePos x="0" y="0"/>
                <wp:positionH relativeFrom="column">
                  <wp:posOffset>1990725</wp:posOffset>
                </wp:positionH>
                <wp:positionV relativeFrom="paragraph">
                  <wp:posOffset>52376</wp:posOffset>
                </wp:positionV>
                <wp:extent cx="814070" cy="247650"/>
                <wp:effectExtent l="0" t="0" r="5080" b="0"/>
                <wp:wrapSquare wrapText="bothSides"/>
                <wp:docPr id="905370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47650"/>
                        </a:xfrm>
                        <a:prstGeom prst="rect">
                          <a:avLst/>
                        </a:prstGeom>
                        <a:solidFill>
                          <a:srgbClr val="FFFFFF"/>
                        </a:solidFill>
                        <a:ln w="9525">
                          <a:noFill/>
                          <a:miter lim="800000"/>
                          <a:headEnd/>
                          <a:tailEnd/>
                        </a:ln>
                      </wps:spPr>
                      <wps:txbx>
                        <w:txbxContent>
                          <w:p w14:paraId="22BC783A" w14:textId="77777777" w:rsidR="0048011A" w:rsidRPr="005C55A7" w:rsidRDefault="0048011A" w:rsidP="0048011A">
                            <w:pPr>
                              <w:spacing w:before="0" w:after="0" w:line="240" w:lineRule="auto"/>
                              <w:rPr>
                                <w:sz w:val="20"/>
                              </w:rPr>
                            </w:pPr>
                            <w:r w:rsidRPr="005C55A7">
                              <w:rPr>
                                <w:sz w:val="20"/>
                              </w:rPr>
                              <w:t>Decile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48B3C" id="_x0000_s1028" type="#_x0000_t202" style="position:absolute;margin-left:156.75pt;margin-top:4.1pt;width:64.1pt;height:1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5CnDwIAAPwDAAAOAAAAZHJzL2Uyb0RvYy54bWysU11v2yAUfZ+0/4B4X+xESdNacaouXaZJ&#10;3YfU7QdgjGM0zGUXEjv79bvgNI3at2o8IC4XDueee1jdDp1hB4Vegy35dJJzpqyEWttdyX/93H64&#10;5swHYWthwKqSH5Xnt+v371a9K9QMWjC1QkYg1he9K3kbgiuyzMtWdcJPwClLyQawE4FC3GU1ip7Q&#10;O5PN8vwq6wFrhyCV97R7Pyb5OuE3jZLhe9N4FZgpOXELacY0V3HO1itR7FC4VssTDfEGFp3Qlh49&#10;Q92LINge9SuoTksED02YSOgyaBotVaqBqpnmL6p5bIVTqRYSx7uzTP7/wcpvh0f3A1kYPsJADUxF&#10;ePcA8rdnFjatsDt1hwh9q0RND0+jZFnvfHG6GqX2hY8gVf8Vamqy2AdIQEODXVSF6mSETg04nkVX&#10;Q2CSNq+n83xJGUmp2Xx5tUhNyUTxdNmhD58VdCwuSo7U0wQuDg8+RDKieDoS3/JgdL3VxqQAd9XG&#10;IDsI6v82jcT/xTFjWV/ym8VskZAtxPvJGp0O5E+jOyKaxzE6JorxydbpSBDajGtiYuxJnSjIKE0Y&#10;qoHpmqqLd6NYFdRHkgthtCN9H1q0gH8568mKJfd/9gIVZ+aLJclvpvN59G4K5ovljAK8zFSXGWEl&#10;QZU8cDYuNyH5Pcph4Y5a0+gk2zOTE2WyWFLz9B2ihy/jdOr5067/AQAA//8DAFBLAwQUAAYACAAA&#10;ACEANbP45N4AAAAIAQAADwAAAGRycy9kb3ducmV2LnhtbEyPwU7DMBBE70j8g7VIXBB1kqZNm8ap&#10;AAnEtaUfsIm3SUS8jmK3Sf8ec4LbrGY087bYz6YXVxpdZ1lBvIhAENdWd9woOH29P29AOI+ssbdM&#10;Cm7kYF/e3xWYazvxga5H34hQwi5HBa33Qy6lq1sy6BZ2IA7e2Y4GfTjHRuoRp1BueplE0Voa7Dgs&#10;tDjQW0v19/FiFJw/p6fVdqo+/Ck7pOtX7LLK3pR6fJhfdiA8zf4vDL/4AR3KwFTZC2snegXLeLkK&#10;UQWbBETw0zTOQFRBZAnIspD/Hyh/AAAA//8DAFBLAQItABQABgAIAAAAIQC2gziS/gAAAOEBAAAT&#10;AAAAAAAAAAAAAAAAAAAAAABbQ29udGVudF9UeXBlc10ueG1sUEsBAi0AFAAGAAgAAAAhADj9If/W&#10;AAAAlAEAAAsAAAAAAAAAAAAAAAAALwEAAF9yZWxzLy5yZWxzUEsBAi0AFAAGAAgAAAAhAEHPkKcP&#10;AgAA/AMAAA4AAAAAAAAAAAAAAAAALgIAAGRycy9lMm9Eb2MueG1sUEsBAi0AFAAGAAgAAAAhADWz&#10;+OTeAAAACAEAAA8AAAAAAAAAAAAAAAAAaQQAAGRycy9kb3ducmV2LnhtbFBLBQYAAAAABAAEAPMA&#10;AAB0BQAAAAA=&#10;" stroked="f">
                <v:textbox>
                  <w:txbxContent>
                    <w:p w14:paraId="22BC783A" w14:textId="77777777" w:rsidR="0048011A" w:rsidRPr="005C55A7" w:rsidRDefault="0048011A" w:rsidP="0048011A">
                      <w:pPr>
                        <w:spacing w:before="0" w:after="0" w:line="240" w:lineRule="auto"/>
                        <w:rPr>
                          <w:sz w:val="20"/>
                        </w:rPr>
                      </w:pPr>
                      <w:r w:rsidRPr="005C55A7">
                        <w:rPr>
                          <w:sz w:val="20"/>
                        </w:rPr>
                        <w:t>Decile 1</w:t>
                      </w:r>
                    </w:p>
                  </w:txbxContent>
                </v:textbox>
                <w10:wrap type="square"/>
              </v:shape>
            </w:pict>
          </mc:Fallback>
        </mc:AlternateContent>
      </w:r>
    </w:p>
    <w:p w14:paraId="425B0364" w14:textId="4E239D76" w:rsidR="002C7099" w:rsidRDefault="002C7099" w:rsidP="002C7099">
      <w:pPr>
        <w:pStyle w:val="Caption"/>
      </w:pPr>
      <w:r>
        <w:t xml:space="preserve">Figure </w:t>
      </w:r>
      <w:r>
        <w:fldChar w:fldCharType="begin"/>
      </w:r>
      <w:r>
        <w:instrText>SEQ Figure \* ARABIC</w:instrText>
      </w:r>
      <w:r>
        <w:fldChar w:fldCharType="separate"/>
      </w:r>
      <w:r w:rsidR="006553F7">
        <w:rPr>
          <w:noProof/>
        </w:rPr>
        <w:t>8</w:t>
      </w:r>
      <w:r>
        <w:fldChar w:fldCharType="end"/>
      </w:r>
      <w:r>
        <w:t>: Warwickshire LSOAs by deprivation decile</w:t>
      </w:r>
      <w:r>
        <w:br/>
        <w:t>Source: Index of Multiple Deprivation 2019</w:t>
      </w:r>
    </w:p>
    <w:p w14:paraId="701F552E" w14:textId="77777777" w:rsidR="002C7099" w:rsidRPr="002C7099" w:rsidRDefault="002C7099" w:rsidP="002C7099"/>
    <w:p w14:paraId="41078CFF" w14:textId="7A2F38AA" w:rsidR="00D0767F" w:rsidRPr="0048011A" w:rsidRDefault="00BC2953" w:rsidP="181A1297">
      <w:r>
        <w:lastRenderedPageBreak/>
        <w:t xml:space="preserve">The SHAPE tool </w:t>
      </w:r>
      <w:r w:rsidR="00457BDA">
        <w:t>allows us to map pharmacies and other primary and secondary care settings across England.</w:t>
      </w:r>
      <w:r w:rsidR="007B50B3">
        <w:t xml:space="preserve"> It also allows us to look at these with reference to the highest 20% of LSOAs on t</w:t>
      </w:r>
      <w:r w:rsidR="008B2845">
        <w:t xml:space="preserve">he IMD scale, Figure </w:t>
      </w:r>
      <w:r w:rsidR="002C7099">
        <w:t>9</w:t>
      </w:r>
      <w:r w:rsidR="008B2845">
        <w:t xml:space="preserve"> shows us just these highest 20% of LSOAs. </w:t>
      </w:r>
    </w:p>
    <w:p w14:paraId="0E9E54BD" w14:textId="77777777" w:rsidR="0056786C" w:rsidRDefault="0056786C" w:rsidP="0056786C">
      <w:pPr>
        <w:jc w:val="center"/>
        <w:rPr>
          <w:rFonts w:eastAsia="Arial" w:cs="Arial"/>
          <w:szCs w:val="24"/>
        </w:rPr>
      </w:pPr>
      <w:r w:rsidRPr="00862C30">
        <w:rPr>
          <w:rFonts w:eastAsia="Arial" w:cs="Arial"/>
          <w:noProof/>
          <w:color w:val="2B579A"/>
          <w:szCs w:val="24"/>
          <w:shd w:val="clear" w:color="auto" w:fill="E6E6E6"/>
        </w:rPr>
        <w:drawing>
          <wp:inline distT="0" distB="0" distL="0" distR="0" wp14:anchorId="1A341243" wp14:editId="3EECE585">
            <wp:extent cx="5059031" cy="7169868"/>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5">
                      <a:extLst>
                        <a:ext uri="{28A0092B-C50C-407E-A947-70E740481C1C}">
                          <a14:useLocalDpi xmlns:a14="http://schemas.microsoft.com/office/drawing/2010/main" val="0"/>
                        </a:ext>
                      </a:extLst>
                    </a:blip>
                    <a:stretch>
                      <a:fillRect/>
                    </a:stretch>
                  </pic:blipFill>
                  <pic:spPr>
                    <a:xfrm>
                      <a:off x="0" y="0"/>
                      <a:ext cx="5059031" cy="7169868"/>
                    </a:xfrm>
                    <a:prstGeom prst="rect">
                      <a:avLst/>
                    </a:prstGeom>
                  </pic:spPr>
                </pic:pic>
              </a:graphicData>
            </a:graphic>
          </wp:inline>
        </w:drawing>
      </w:r>
    </w:p>
    <w:p w14:paraId="08229A9B" w14:textId="41302D98" w:rsidR="009A0852" w:rsidRDefault="00475D08" w:rsidP="00475D08">
      <w:pPr>
        <w:pStyle w:val="Caption"/>
        <w:rPr>
          <w:rFonts w:eastAsia="Arial" w:cs="Arial"/>
          <w:szCs w:val="24"/>
        </w:rPr>
      </w:pPr>
      <w:r>
        <w:t xml:space="preserve">Figure </w:t>
      </w:r>
      <w:r>
        <w:fldChar w:fldCharType="begin"/>
      </w:r>
      <w:r>
        <w:instrText>SEQ Figure \* ARABIC</w:instrText>
      </w:r>
      <w:r>
        <w:fldChar w:fldCharType="separate"/>
      </w:r>
      <w:r w:rsidR="006553F7">
        <w:rPr>
          <w:noProof/>
        </w:rPr>
        <w:t>9</w:t>
      </w:r>
      <w:r>
        <w:fldChar w:fldCharType="end"/>
      </w:r>
      <w:r>
        <w:t>:</w:t>
      </w:r>
      <w:r w:rsidR="00F9388F">
        <w:t xml:space="preserve"> IMD with most deprived 20% in red outlines for Coventry and Warwickshire</w:t>
      </w:r>
      <w:r w:rsidR="00F9388F">
        <w:br/>
        <w:t>Source: SHAPE</w:t>
      </w:r>
    </w:p>
    <w:p w14:paraId="223497F2" w14:textId="649B4738" w:rsidR="005F0985" w:rsidRDefault="005F0985" w:rsidP="005F0985">
      <w:pPr>
        <w:rPr>
          <w:rFonts w:eastAsia="Arial" w:cs="Arial"/>
          <w:szCs w:val="24"/>
        </w:rPr>
      </w:pPr>
      <w:r>
        <w:rPr>
          <w:rFonts w:eastAsia="Arial" w:cs="Arial"/>
          <w:szCs w:val="24"/>
        </w:rPr>
        <w:lastRenderedPageBreak/>
        <w:t xml:space="preserve">Figure </w:t>
      </w:r>
      <w:r w:rsidR="00F9388F">
        <w:rPr>
          <w:rFonts w:eastAsia="Arial" w:cs="Arial"/>
          <w:szCs w:val="24"/>
        </w:rPr>
        <w:t>10</w:t>
      </w:r>
      <w:r>
        <w:rPr>
          <w:rFonts w:eastAsia="Arial" w:cs="Arial"/>
          <w:szCs w:val="24"/>
        </w:rPr>
        <w:t xml:space="preserve"> shows how IMD ranking has changed over time. </w:t>
      </w:r>
      <w:r w:rsidR="0045227B">
        <w:rPr>
          <w:rFonts w:eastAsia="Arial" w:cs="Arial"/>
          <w:szCs w:val="24"/>
        </w:rPr>
        <w:t xml:space="preserve">An area which has “Fallen” by one or two deciles means that an LSOA has become relatively more deprived, where as an area which has “Risen” </w:t>
      </w:r>
      <w:r w:rsidR="00603BEF">
        <w:rPr>
          <w:rFonts w:eastAsia="Arial" w:cs="Arial"/>
          <w:szCs w:val="24"/>
        </w:rPr>
        <w:t xml:space="preserve">by one or two deciles means that an LSOA has become relatively less deprived.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2937"/>
      </w:tblGrid>
      <w:tr w:rsidR="005F0985" w14:paraId="6F779560" w14:textId="77777777" w:rsidTr="0072734B">
        <w:tc>
          <w:tcPr>
            <w:tcW w:w="6345" w:type="dxa"/>
          </w:tcPr>
          <w:p w14:paraId="0A0CBB16" w14:textId="77777777" w:rsidR="005F0985" w:rsidRDefault="005F0985" w:rsidP="0072734B">
            <w:pPr>
              <w:spacing w:before="200" w:after="200" w:line="276" w:lineRule="auto"/>
              <w:jc w:val="center"/>
              <w:rPr>
                <w:rFonts w:eastAsia="Arial" w:cs="Arial"/>
                <w:b/>
                <w:bCs/>
              </w:rPr>
            </w:pPr>
            <w:r>
              <w:rPr>
                <w:noProof/>
                <w:color w:val="2B579A"/>
                <w:shd w:val="clear" w:color="auto" w:fill="E6E6E6"/>
              </w:rPr>
              <w:drawing>
                <wp:inline distT="0" distB="0" distL="0" distR="0" wp14:anchorId="5FD73AA5" wp14:editId="5BBDB6D1">
                  <wp:extent cx="4467225" cy="6757441"/>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36">
                            <a:extLst>
                              <a:ext uri="{28A0092B-C50C-407E-A947-70E740481C1C}">
                                <a14:useLocalDpi xmlns:a14="http://schemas.microsoft.com/office/drawing/2010/main" val="0"/>
                              </a:ext>
                            </a:extLst>
                          </a:blip>
                          <a:stretch>
                            <a:fillRect/>
                          </a:stretch>
                        </pic:blipFill>
                        <pic:spPr>
                          <a:xfrm>
                            <a:off x="0" y="0"/>
                            <a:ext cx="4484847" cy="6784098"/>
                          </a:xfrm>
                          <a:prstGeom prst="rect">
                            <a:avLst/>
                          </a:prstGeom>
                        </pic:spPr>
                      </pic:pic>
                    </a:graphicData>
                  </a:graphic>
                </wp:inline>
              </w:drawing>
            </w:r>
          </w:p>
        </w:tc>
        <w:tc>
          <w:tcPr>
            <w:tcW w:w="3843" w:type="dxa"/>
          </w:tcPr>
          <w:p w14:paraId="2571E182" w14:textId="77777777" w:rsidR="005F0985" w:rsidRDefault="005F0985" w:rsidP="0072734B">
            <w:pPr>
              <w:spacing w:before="200" w:after="200" w:line="276" w:lineRule="auto"/>
              <w:jc w:val="center"/>
              <w:rPr>
                <w:rFonts w:eastAsia="Arial" w:cs="Arial"/>
                <w:b/>
                <w:bCs/>
              </w:rPr>
            </w:pPr>
          </w:p>
          <w:p w14:paraId="1CE4F9A4" w14:textId="77777777" w:rsidR="005F0985" w:rsidRDefault="005F0985" w:rsidP="0072734B">
            <w:pPr>
              <w:spacing w:before="200" w:after="200" w:line="276" w:lineRule="auto"/>
              <w:jc w:val="center"/>
              <w:rPr>
                <w:rFonts w:eastAsia="Arial" w:cs="Arial"/>
                <w:b/>
                <w:bCs/>
              </w:rPr>
            </w:pPr>
          </w:p>
          <w:p w14:paraId="1749D203" w14:textId="77777777" w:rsidR="005F0985" w:rsidRDefault="005F0985" w:rsidP="0072734B">
            <w:pPr>
              <w:spacing w:before="200" w:after="200" w:line="276" w:lineRule="auto"/>
              <w:jc w:val="center"/>
              <w:rPr>
                <w:rFonts w:eastAsia="Arial" w:cs="Arial"/>
                <w:b/>
                <w:bCs/>
              </w:rPr>
            </w:pPr>
          </w:p>
          <w:p w14:paraId="060A70DF" w14:textId="77777777" w:rsidR="005F0985" w:rsidRDefault="005F0985" w:rsidP="0072734B">
            <w:pPr>
              <w:spacing w:before="200" w:after="200" w:line="276" w:lineRule="auto"/>
              <w:jc w:val="center"/>
              <w:rPr>
                <w:rFonts w:eastAsia="Arial" w:cs="Arial"/>
                <w:b/>
                <w:bCs/>
              </w:rPr>
            </w:pPr>
          </w:p>
          <w:p w14:paraId="5998BBD4" w14:textId="77777777" w:rsidR="005F0985" w:rsidRDefault="005F0985" w:rsidP="0072734B">
            <w:pPr>
              <w:spacing w:before="200" w:after="200" w:line="276" w:lineRule="auto"/>
              <w:jc w:val="center"/>
              <w:rPr>
                <w:rFonts w:eastAsia="Arial" w:cs="Arial"/>
                <w:b/>
                <w:bCs/>
              </w:rPr>
            </w:pPr>
          </w:p>
          <w:p w14:paraId="536AA349" w14:textId="77777777" w:rsidR="005F0985" w:rsidRDefault="005F0985" w:rsidP="0072734B">
            <w:pPr>
              <w:spacing w:before="200" w:after="200" w:line="276" w:lineRule="auto"/>
              <w:jc w:val="center"/>
              <w:rPr>
                <w:rFonts w:eastAsia="Arial" w:cs="Arial"/>
                <w:b/>
                <w:bCs/>
              </w:rPr>
            </w:pPr>
          </w:p>
          <w:p w14:paraId="3D06F73E" w14:textId="77777777" w:rsidR="005F0985" w:rsidRDefault="005F0985" w:rsidP="0072734B">
            <w:pPr>
              <w:spacing w:before="200" w:after="200" w:line="276" w:lineRule="auto"/>
              <w:jc w:val="center"/>
              <w:rPr>
                <w:rFonts w:eastAsia="Arial" w:cs="Arial"/>
                <w:b/>
                <w:bCs/>
              </w:rPr>
            </w:pPr>
          </w:p>
          <w:p w14:paraId="4F47E98D" w14:textId="77777777" w:rsidR="005F0985" w:rsidRDefault="005F0985" w:rsidP="0072734B">
            <w:pPr>
              <w:spacing w:before="200" w:after="200" w:line="276" w:lineRule="auto"/>
              <w:jc w:val="center"/>
              <w:rPr>
                <w:rFonts w:eastAsia="Arial" w:cs="Arial"/>
                <w:b/>
                <w:bCs/>
              </w:rPr>
            </w:pPr>
          </w:p>
          <w:p w14:paraId="14D7B2DF" w14:textId="77777777" w:rsidR="005F0985" w:rsidRDefault="005F0985" w:rsidP="0072734B">
            <w:pPr>
              <w:spacing w:before="200" w:after="200" w:line="276" w:lineRule="auto"/>
              <w:jc w:val="left"/>
              <w:rPr>
                <w:rFonts w:eastAsia="Arial" w:cs="Arial"/>
                <w:b/>
                <w:bCs/>
              </w:rPr>
            </w:pPr>
            <w:r>
              <w:rPr>
                <w:rFonts w:eastAsia="Arial" w:cs="Arial"/>
                <w:b/>
                <w:bCs/>
              </w:rPr>
              <w:t>Key</w:t>
            </w:r>
          </w:p>
          <w:p w14:paraId="31F5D706" w14:textId="77777777" w:rsidR="005F0985" w:rsidRDefault="005F0985" w:rsidP="0072734B">
            <w:pPr>
              <w:spacing w:before="200" w:after="200" w:line="276" w:lineRule="auto"/>
              <w:jc w:val="left"/>
              <w:rPr>
                <w:rFonts w:eastAsia="Arial" w:cs="Arial"/>
                <w:b/>
                <w:bCs/>
              </w:rPr>
            </w:pPr>
            <w:r w:rsidRPr="00080C4C">
              <w:rPr>
                <w:rFonts w:eastAsia="Arial" w:cs="Arial"/>
                <w:b/>
                <w:noProof/>
                <w:color w:val="2B579A"/>
                <w:shd w:val="clear" w:color="auto" w:fill="E6E6E6"/>
              </w:rPr>
              <w:drawing>
                <wp:inline distT="0" distB="0" distL="0" distR="0" wp14:anchorId="7B31D021" wp14:editId="410A8663">
                  <wp:extent cx="1571844" cy="118126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71844" cy="1181265"/>
                          </a:xfrm>
                          <a:prstGeom prst="rect">
                            <a:avLst/>
                          </a:prstGeom>
                        </pic:spPr>
                      </pic:pic>
                    </a:graphicData>
                  </a:graphic>
                </wp:inline>
              </w:drawing>
            </w:r>
          </w:p>
          <w:p w14:paraId="3F46DBFE" w14:textId="77777777" w:rsidR="005F0985" w:rsidRPr="00896F2C" w:rsidRDefault="005F0985" w:rsidP="0072734B">
            <w:pPr>
              <w:spacing w:before="200" w:after="200" w:line="276" w:lineRule="auto"/>
              <w:jc w:val="left"/>
              <w:rPr>
                <w:rFonts w:eastAsia="Arial" w:cs="Arial"/>
                <w:b/>
                <w:bCs/>
                <w:sz w:val="20"/>
              </w:rPr>
            </w:pPr>
            <w:r w:rsidRPr="00896F2C">
              <w:rPr>
                <w:rFonts w:eastAsia="Arial" w:cs="Arial"/>
                <w:b/>
                <w:bCs/>
                <w:sz w:val="20"/>
              </w:rPr>
              <w:t>“Fallen” means that an LSOA has become relatively more deprived</w:t>
            </w:r>
          </w:p>
          <w:p w14:paraId="1C727ECF" w14:textId="77777777" w:rsidR="005F0985" w:rsidRDefault="005F0985" w:rsidP="0072734B">
            <w:pPr>
              <w:spacing w:before="200" w:after="200" w:line="276" w:lineRule="auto"/>
              <w:jc w:val="left"/>
              <w:rPr>
                <w:rFonts w:eastAsia="Arial" w:cs="Arial"/>
                <w:b/>
                <w:bCs/>
              </w:rPr>
            </w:pPr>
            <w:r w:rsidRPr="00896F2C">
              <w:rPr>
                <w:rFonts w:eastAsia="Arial" w:cs="Arial"/>
                <w:b/>
                <w:bCs/>
                <w:sz w:val="20"/>
              </w:rPr>
              <w:t>“Risen” means that an LSOA has become relatively less deprived</w:t>
            </w:r>
          </w:p>
        </w:tc>
      </w:tr>
    </w:tbl>
    <w:p w14:paraId="35ED23DF" w14:textId="7E1C506F" w:rsidR="00F9388F" w:rsidRDefault="00F9388F" w:rsidP="00F9388F">
      <w:pPr>
        <w:pStyle w:val="Caption"/>
        <w:rPr>
          <w:rFonts w:eastAsia="Arial" w:cs="Arial"/>
        </w:rPr>
      </w:pPr>
      <w:r>
        <w:t xml:space="preserve">Figure </w:t>
      </w:r>
      <w:r>
        <w:fldChar w:fldCharType="begin"/>
      </w:r>
      <w:r>
        <w:instrText>SEQ Figure \* ARABIC</w:instrText>
      </w:r>
      <w:r>
        <w:fldChar w:fldCharType="separate"/>
      </w:r>
      <w:r w:rsidR="006553F7">
        <w:rPr>
          <w:noProof/>
        </w:rPr>
        <w:t>10</w:t>
      </w:r>
      <w:r>
        <w:fldChar w:fldCharType="end"/>
      </w:r>
      <w:r>
        <w:t>: IMD change in Coventry and Warwickshire</w:t>
      </w:r>
      <w:r>
        <w:br/>
        <w:t xml:space="preserve">Source: </w:t>
      </w:r>
      <w:r w:rsidR="00886366" w:rsidRPr="008D1560">
        <w:t>IMD</w:t>
      </w:r>
      <w:r w:rsidR="00D82C15" w:rsidRPr="008D1560">
        <w:t xml:space="preserve"> </w:t>
      </w:r>
      <w:r w:rsidR="008D1560" w:rsidRPr="008D1560">
        <w:t>2015 &amp; 2019</w:t>
      </w:r>
    </w:p>
    <w:p w14:paraId="330702AF" w14:textId="45D40EA8" w:rsidR="00E946D1" w:rsidRDefault="00603BEF" w:rsidP="00E946D1">
      <w:r w:rsidRPr="00603BEF">
        <w:rPr>
          <w:rFonts w:eastAsia="Arial" w:cs="Arial"/>
        </w:rPr>
        <w:lastRenderedPageBreak/>
        <w:t xml:space="preserve">Figure </w:t>
      </w:r>
      <w:r w:rsidR="007E4624">
        <w:rPr>
          <w:rFonts w:eastAsia="Arial" w:cs="Arial"/>
        </w:rPr>
        <w:t>11</w:t>
      </w:r>
      <w:r>
        <w:rPr>
          <w:rFonts w:eastAsia="Arial" w:cs="Arial"/>
        </w:rPr>
        <w:t xml:space="preserve"> focuses on Coventry, where </w:t>
      </w:r>
      <w:r w:rsidR="00226FDA">
        <w:rPr>
          <w:rFonts w:eastAsia="Arial" w:cs="Arial"/>
        </w:rPr>
        <w:t>three-quarters</w:t>
      </w:r>
      <w:r w:rsidR="00E946D1">
        <w:rPr>
          <w:rFonts w:eastAsia="Arial" w:cs="Arial"/>
        </w:rPr>
        <w:t xml:space="preserve"> of LSOAs have risen by at least one decile. </w:t>
      </w:r>
      <w:r w:rsidR="00E946D1">
        <w:t xml:space="preserve">There is a pattern of greatest relative improvement in areas around the city centre, including parts of Hillfields and Charterhouse, radiating Southwards to parts of Cheylesmore and Eastwards to parts of Stoke and Binley. These are also the areas that have seen most notable and persistent relative improvement since the IMD 2010. </w:t>
      </w:r>
    </w:p>
    <w:p w14:paraId="4A66AA4A" w14:textId="2ADA8CA0" w:rsidR="005F0985" w:rsidRDefault="00E946D1" w:rsidP="00226FDA">
      <w:pPr>
        <w:rPr>
          <w:rFonts w:eastAsia="Arial" w:cs="Arial"/>
          <w:b/>
          <w:bCs/>
        </w:rPr>
      </w:pPr>
      <w:r>
        <w:t>More recently, since 2015, there has also been a concentration of relative improvement near the city centre to the West, in Chapelfields and by Holyhead Road and Allesley Old Road. The recent improvements are often found in areas where students live, suggesting that the increase in full-time students studying in the city has been a factor in the improving deprivation measures.</w:t>
      </w:r>
    </w:p>
    <w:p w14:paraId="5F9FA7A1" w14:textId="77777777" w:rsidR="005F0985" w:rsidRDefault="005F0985" w:rsidP="005F0985">
      <w:pPr>
        <w:spacing w:before="200" w:after="200" w:line="276" w:lineRule="auto"/>
        <w:jc w:val="center"/>
        <w:rPr>
          <w:rFonts w:eastAsia="Arial" w:cs="Arial"/>
          <w:b/>
          <w:bCs/>
        </w:rPr>
      </w:pPr>
      <w:r w:rsidRPr="00BE7653">
        <w:rPr>
          <w:rFonts w:eastAsia="Arial" w:cs="Arial"/>
          <w:b/>
          <w:noProof/>
          <w:color w:val="2B579A"/>
          <w:shd w:val="clear" w:color="auto" w:fill="E6E6E6"/>
        </w:rPr>
        <w:drawing>
          <wp:inline distT="0" distB="0" distL="0" distR="0" wp14:anchorId="4BD25C4E" wp14:editId="602BFC18">
            <wp:extent cx="4714875" cy="4129974"/>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22341" cy="4136514"/>
                    </a:xfrm>
                    <a:prstGeom prst="rect">
                      <a:avLst/>
                    </a:prstGeom>
                  </pic:spPr>
                </pic:pic>
              </a:graphicData>
            </a:graphic>
          </wp:inline>
        </w:drawing>
      </w:r>
    </w:p>
    <w:p w14:paraId="72A012B2" w14:textId="64E657A8" w:rsidR="007E4624" w:rsidRDefault="007E4624" w:rsidP="007E4624">
      <w:pPr>
        <w:pStyle w:val="Caption"/>
        <w:rPr>
          <w:rFonts w:eastAsia="Arial" w:cs="Arial"/>
          <w:b w:val="0"/>
          <w:bCs w:val="0"/>
        </w:rPr>
      </w:pPr>
      <w:r>
        <w:t xml:space="preserve">Figure </w:t>
      </w:r>
      <w:r>
        <w:fldChar w:fldCharType="begin"/>
      </w:r>
      <w:r>
        <w:instrText>SEQ Figure \* ARABIC</w:instrText>
      </w:r>
      <w:r>
        <w:fldChar w:fldCharType="separate"/>
      </w:r>
      <w:r w:rsidR="006553F7">
        <w:rPr>
          <w:noProof/>
        </w:rPr>
        <w:t>11</w:t>
      </w:r>
      <w:r>
        <w:fldChar w:fldCharType="end"/>
      </w:r>
      <w:r>
        <w:t>: IMD change in Coventry</w:t>
      </w:r>
      <w:r>
        <w:br/>
        <w:t xml:space="preserve">Source: </w:t>
      </w:r>
      <w:r w:rsidR="008D1560" w:rsidRPr="008D1560">
        <w:t>IMD 2015 &amp; 2019</w:t>
      </w:r>
    </w:p>
    <w:p w14:paraId="0AEEC806" w14:textId="2420BAB1" w:rsidR="005F0985" w:rsidRDefault="004664A8" w:rsidP="004664A8">
      <w:pPr>
        <w:spacing w:before="200" w:after="200" w:line="276" w:lineRule="auto"/>
      </w:pPr>
      <w:r>
        <w:t xml:space="preserve">Figure </w:t>
      </w:r>
      <w:r w:rsidR="007E4624">
        <w:t>12</w:t>
      </w:r>
      <w:r>
        <w:t xml:space="preserve"> shows the percentage of older people affected by income deprivation in Coventry and Warwickshire.</w:t>
      </w:r>
      <w:r w:rsidR="00937D40">
        <w:t xml:space="preserve"> Areas with a high percentage include</w:t>
      </w:r>
      <w:r w:rsidR="00B56CF6">
        <w:t xml:space="preserve"> areas within</w:t>
      </w:r>
      <w:r w:rsidR="00937D40">
        <w:t xml:space="preserve"> Coventry, Nuneaton and Bedworth, Rugby, and </w:t>
      </w:r>
      <w:r w:rsidR="00AC38C1">
        <w:t xml:space="preserve">Leamington. </w:t>
      </w:r>
    </w:p>
    <w:p w14:paraId="057C3D50" w14:textId="77777777" w:rsidR="005F0985" w:rsidRDefault="005F0985" w:rsidP="005F0985">
      <w:pPr>
        <w:spacing w:before="200" w:after="200" w:line="276" w:lineRule="auto"/>
        <w:rPr>
          <w:rFonts w:eastAsia="Arial" w:cs="Arial"/>
          <w:b/>
          <w:bCs/>
        </w:rPr>
      </w:pPr>
    </w:p>
    <w:p w14:paraId="0A48E335" w14:textId="77777777" w:rsidR="005F0985" w:rsidRDefault="005F0985" w:rsidP="005F0985">
      <w:pPr>
        <w:spacing w:before="200" w:after="200" w:line="276" w:lineRule="auto"/>
        <w:jc w:val="center"/>
        <w:rPr>
          <w:rFonts w:eastAsia="Arial" w:cs="Arial"/>
          <w:b/>
          <w:bCs/>
        </w:rPr>
      </w:pPr>
    </w:p>
    <w:p w14:paraId="61BFB573" w14:textId="77777777" w:rsidR="005F0985" w:rsidRDefault="005F0985" w:rsidP="005F0985">
      <w:pPr>
        <w:spacing w:before="200" w:after="200" w:line="276" w:lineRule="auto"/>
        <w:jc w:val="center"/>
        <w:rPr>
          <w:rFonts w:eastAsia="MS Mincho" w:cs="Arial"/>
          <w:b/>
          <w:bCs/>
          <w:szCs w:val="24"/>
        </w:rPr>
      </w:pPr>
    </w:p>
    <w:p w14:paraId="12A0F4F7" w14:textId="77777777" w:rsidR="005F0985" w:rsidRDefault="005F0985" w:rsidP="005F0985">
      <w:pPr>
        <w:rPr>
          <w:rFonts w:eastAsia="Arial" w:cs="Arial"/>
        </w:rPr>
      </w:pPr>
      <w:r>
        <w:rPr>
          <w:noProof/>
        </w:rPr>
        <w:drawing>
          <wp:inline distT="0" distB="0" distL="0" distR="0" wp14:anchorId="127303CE" wp14:editId="6165BC91">
            <wp:extent cx="3951798" cy="5993819"/>
            <wp:effectExtent l="0" t="0" r="0" b="6985"/>
            <wp:docPr id="163900481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39">
                      <a:extLst>
                        <a:ext uri="{28A0092B-C50C-407E-A947-70E740481C1C}">
                          <a14:useLocalDpi xmlns:a14="http://schemas.microsoft.com/office/drawing/2010/main" val="0"/>
                        </a:ext>
                      </a:extLst>
                    </a:blip>
                    <a:stretch>
                      <a:fillRect/>
                    </a:stretch>
                  </pic:blipFill>
                  <pic:spPr bwMode="auto">
                    <a:xfrm>
                      <a:off x="0" y="0"/>
                      <a:ext cx="3951798" cy="5993819"/>
                    </a:xfrm>
                    <a:prstGeom prst="rect">
                      <a:avLst/>
                    </a:prstGeom>
                    <a:noFill/>
                    <a:ln>
                      <a:noFill/>
                    </a:ln>
                  </pic:spPr>
                </pic:pic>
              </a:graphicData>
            </a:graphic>
          </wp:inline>
        </w:drawing>
      </w:r>
      <w:r>
        <w:rPr>
          <w:noProof/>
        </w:rPr>
        <w:drawing>
          <wp:inline distT="0" distB="0" distL="0" distR="0" wp14:anchorId="16FFF280" wp14:editId="7406DA95">
            <wp:extent cx="2353310" cy="1955800"/>
            <wp:effectExtent l="0" t="0" r="8890" b="6350"/>
            <wp:docPr id="21906524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0">
                      <a:extLst>
                        <a:ext uri="{28A0092B-C50C-407E-A947-70E740481C1C}">
                          <a14:useLocalDpi xmlns:a14="http://schemas.microsoft.com/office/drawing/2010/main" val="0"/>
                        </a:ext>
                      </a:extLst>
                    </a:blip>
                    <a:stretch>
                      <a:fillRect/>
                    </a:stretch>
                  </pic:blipFill>
                  <pic:spPr bwMode="auto">
                    <a:xfrm>
                      <a:off x="0" y="0"/>
                      <a:ext cx="2353310" cy="1955800"/>
                    </a:xfrm>
                    <a:prstGeom prst="rect">
                      <a:avLst/>
                    </a:prstGeom>
                    <a:noFill/>
                    <a:ln>
                      <a:noFill/>
                    </a:ln>
                  </pic:spPr>
                </pic:pic>
              </a:graphicData>
            </a:graphic>
          </wp:inline>
        </w:drawing>
      </w:r>
    </w:p>
    <w:p w14:paraId="43E268B2" w14:textId="41034694" w:rsidR="005F0985" w:rsidRDefault="007E4624" w:rsidP="007E4624">
      <w:pPr>
        <w:pStyle w:val="Caption"/>
        <w:rPr>
          <w:rFonts w:eastAsia="Arial" w:cs="Arial"/>
        </w:rPr>
      </w:pPr>
      <w:r>
        <w:t xml:space="preserve">Figure </w:t>
      </w:r>
      <w:r>
        <w:fldChar w:fldCharType="begin"/>
      </w:r>
      <w:r>
        <w:instrText>SEQ Figure \* ARABIC</w:instrText>
      </w:r>
      <w:r>
        <w:fldChar w:fldCharType="separate"/>
      </w:r>
      <w:r w:rsidR="006553F7">
        <w:rPr>
          <w:noProof/>
        </w:rPr>
        <w:t>12</w:t>
      </w:r>
      <w:r>
        <w:fldChar w:fldCharType="end"/>
      </w:r>
      <w:r w:rsidR="005F0985" w:rsidRPr="7C025CB6">
        <w:rPr>
          <w:rFonts w:eastAsia="Arial" w:cs="Arial"/>
        </w:rPr>
        <w:t>: Percentage of older people affected by income deprivation</w:t>
      </w:r>
      <w:r>
        <w:rPr>
          <w:rFonts w:eastAsia="Arial" w:cs="Arial"/>
        </w:rPr>
        <w:br/>
        <w:t>Source: SHAPE</w:t>
      </w:r>
    </w:p>
    <w:p w14:paraId="6756DA97" w14:textId="77777777" w:rsidR="005F0985" w:rsidRDefault="005F0985" w:rsidP="005F0985">
      <w:pPr>
        <w:rPr>
          <w:rFonts w:eastAsia="Arial" w:cs="Arial"/>
          <w:szCs w:val="24"/>
        </w:rPr>
      </w:pPr>
    </w:p>
    <w:p w14:paraId="61E87F72" w14:textId="77777777" w:rsidR="0056786C" w:rsidRDefault="0056786C" w:rsidP="181A1297">
      <w:pPr>
        <w:rPr>
          <w:rFonts w:eastAsia="Arial" w:cs="Arial"/>
          <w:szCs w:val="24"/>
        </w:rPr>
      </w:pPr>
    </w:p>
    <w:p w14:paraId="2D463335" w14:textId="77777777" w:rsidR="0056786C" w:rsidRDefault="0056786C" w:rsidP="181A1297">
      <w:pPr>
        <w:rPr>
          <w:rFonts w:eastAsia="Arial" w:cs="Arial"/>
          <w:szCs w:val="24"/>
        </w:rPr>
      </w:pPr>
    </w:p>
    <w:p w14:paraId="2738E33F" w14:textId="0E5E42B0" w:rsidR="7C025CB6" w:rsidRDefault="7C025CB6" w:rsidP="7C025CB6">
      <w:pPr>
        <w:spacing w:before="200" w:after="200" w:line="276" w:lineRule="auto"/>
        <w:jc w:val="center"/>
        <w:rPr>
          <w:rFonts w:eastAsia="MS Mincho" w:cs="Arial"/>
          <w:b/>
          <w:bCs/>
          <w:szCs w:val="24"/>
        </w:rPr>
      </w:pPr>
    </w:p>
    <w:p w14:paraId="2DF17192" w14:textId="77777777" w:rsidR="00CC1367" w:rsidRDefault="00CC1367" w:rsidP="00CC1367">
      <w:pPr>
        <w:rPr>
          <w:rFonts w:eastAsia="Arial" w:cs="Arial"/>
          <w:szCs w:val="24"/>
        </w:rPr>
        <w:sectPr w:rsidR="00CC1367" w:rsidSect="00382457">
          <w:footerReference w:type="default" r:id="rId41"/>
          <w:pgSz w:w="12240" w:h="15840"/>
          <w:pgMar w:top="1134" w:right="1134" w:bottom="851" w:left="1134" w:header="708" w:footer="708" w:gutter="0"/>
          <w:cols w:space="708"/>
          <w:docGrid w:linePitch="360"/>
        </w:sectPr>
      </w:pPr>
    </w:p>
    <w:p w14:paraId="3CAF5F38" w14:textId="50F8AE4F" w:rsidR="00CC1367" w:rsidRDefault="00CC1367" w:rsidP="009E2424">
      <w:pPr>
        <w:jc w:val="center"/>
        <w:rPr>
          <w:rFonts w:eastAsia="Arial" w:cs="Arial"/>
          <w:szCs w:val="24"/>
        </w:rPr>
        <w:sectPr w:rsidR="00CC1367" w:rsidSect="00CC1367">
          <w:type w:val="continuous"/>
          <w:pgSz w:w="12240" w:h="15840"/>
          <w:pgMar w:top="1134" w:right="1134" w:bottom="851" w:left="1134" w:header="708" w:footer="708" w:gutter="0"/>
          <w:cols w:num="2" w:space="708"/>
          <w:docGrid w:linePitch="360"/>
        </w:sectPr>
      </w:pPr>
    </w:p>
    <w:p w14:paraId="25516282" w14:textId="03B5D841" w:rsidR="00CC1367" w:rsidRDefault="00CC1367" w:rsidP="78283D31">
      <w:pPr>
        <w:jc w:val="center"/>
        <w:rPr>
          <w:rFonts w:eastAsia="MS Mincho" w:cs="Arial"/>
          <w:szCs w:val="24"/>
        </w:rPr>
        <w:sectPr w:rsidR="00CC1367" w:rsidSect="00CC1367">
          <w:type w:val="continuous"/>
          <w:pgSz w:w="12240" w:h="15840"/>
          <w:pgMar w:top="1134" w:right="1134" w:bottom="851" w:left="1134" w:header="708" w:footer="708" w:gutter="0"/>
          <w:cols w:num="2" w:space="708"/>
          <w:docGrid w:linePitch="360"/>
        </w:sectPr>
      </w:pPr>
    </w:p>
    <w:p w14:paraId="13867928" w14:textId="7E9B3F7C" w:rsidR="005F6723" w:rsidRPr="008C0FB2" w:rsidRDefault="00A14A34" w:rsidP="008C0FB2">
      <w:pPr>
        <w:pStyle w:val="Heading2"/>
      </w:pPr>
      <w:bookmarkStart w:id="40" w:name="_Toc113628597"/>
      <w:r w:rsidRPr="00173FF5">
        <w:lastRenderedPageBreak/>
        <w:t xml:space="preserve">Rural Deprivation Index </w:t>
      </w:r>
      <w:r w:rsidR="00E251CF" w:rsidRPr="00173FF5">
        <w:t>for Healt</w:t>
      </w:r>
      <w:r w:rsidR="00B859AE">
        <w:t>h</w:t>
      </w:r>
      <w:bookmarkEnd w:id="40"/>
    </w:p>
    <w:p w14:paraId="28E2ACEE" w14:textId="592F74FA" w:rsidR="008C0FB2" w:rsidRPr="00223130" w:rsidRDefault="008C0FB2" w:rsidP="008C0FB2">
      <w:pPr>
        <w:rPr>
          <w:rFonts w:eastAsia="Arial" w:cs="Arial"/>
        </w:rPr>
      </w:pPr>
      <w:r w:rsidRPr="08DDEA67">
        <w:rPr>
          <w:rFonts w:eastAsia="Arial" w:cs="Arial"/>
        </w:rPr>
        <w:t xml:space="preserve">The Rural Deprivation Index of Health is a new index that is designed to be more targeted for relevance to healthcare than the Index of Multiple Deprivation. </w:t>
      </w:r>
      <w:r w:rsidR="00225B36">
        <w:rPr>
          <w:rFonts w:eastAsia="Arial" w:cs="Arial"/>
        </w:rPr>
        <w:t xml:space="preserve">Figure </w:t>
      </w:r>
      <w:r w:rsidR="007E4624">
        <w:rPr>
          <w:rFonts w:eastAsia="Arial" w:cs="Arial"/>
        </w:rPr>
        <w:t>13</w:t>
      </w:r>
      <w:r w:rsidR="00225B36">
        <w:rPr>
          <w:rFonts w:eastAsia="Arial" w:cs="Arial"/>
        </w:rPr>
        <w:t xml:space="preserve"> shows </w:t>
      </w:r>
      <w:r w:rsidR="00223130">
        <w:rPr>
          <w:rFonts w:eastAsia="Arial" w:cs="Arial"/>
        </w:rPr>
        <w:t xml:space="preserve">that </w:t>
      </w:r>
      <w:r w:rsidR="00225B36">
        <w:rPr>
          <w:rFonts w:eastAsia="Arial" w:cs="Arial"/>
        </w:rPr>
        <w:t>t</w:t>
      </w:r>
      <w:r w:rsidR="00225B36">
        <w:rPr>
          <w:rFonts w:eastAsia="Arial" w:cs="Arial"/>
          <w:szCs w:val="24"/>
        </w:rPr>
        <w:t xml:space="preserve">here are fewer LSOAs in red for Coventry and Warwickshire to indicate the lowest </w:t>
      </w:r>
      <w:r w:rsidR="00392669">
        <w:rPr>
          <w:rFonts w:eastAsia="Arial" w:cs="Arial"/>
          <w:szCs w:val="24"/>
        </w:rPr>
        <w:t>(most deprived)</w:t>
      </w:r>
      <w:r w:rsidR="00225B36">
        <w:rPr>
          <w:rFonts w:eastAsia="Arial" w:cs="Arial"/>
          <w:szCs w:val="24"/>
        </w:rPr>
        <w:t xml:space="preserve"> 10% on the Rural Deprivation Index for Health than there are for the lowest 20% of the IMD.</w:t>
      </w:r>
      <w:r w:rsidR="00F92D05">
        <w:rPr>
          <w:rFonts w:eastAsia="Arial" w:cs="Arial"/>
          <w:szCs w:val="24"/>
        </w:rPr>
        <w:t xml:space="preserve"> Th</w:t>
      </w:r>
      <w:r w:rsidR="00225B36" w:rsidRPr="577CE9A2">
        <w:rPr>
          <w:rFonts w:eastAsia="Arial" w:cs="Arial"/>
        </w:rPr>
        <w:t>ese areas a</w:t>
      </w:r>
      <w:r w:rsidR="00223130">
        <w:rPr>
          <w:rFonts w:eastAsia="Arial" w:cs="Arial"/>
        </w:rPr>
        <w:t>r</w:t>
      </w:r>
      <w:r w:rsidR="00225B36" w:rsidRPr="577CE9A2">
        <w:rPr>
          <w:rFonts w:eastAsia="Arial" w:cs="Arial"/>
        </w:rPr>
        <w:t>e still concentrated in Coventry, Bedworth, Nuneaton and Atherstone.</w:t>
      </w:r>
    </w:p>
    <w:p w14:paraId="26F59266" w14:textId="2ADFB556" w:rsidR="007E4624" w:rsidRDefault="009C1ADC" w:rsidP="181A1297">
      <w:pPr>
        <w:rPr>
          <w:rFonts w:eastAsia="Arial" w:cs="Arial"/>
          <w:szCs w:val="24"/>
        </w:rPr>
      </w:pPr>
      <w:r>
        <w:rPr>
          <w:rFonts w:eastAsia="Arial" w:cs="Arial"/>
          <w:noProof/>
        </w:rPr>
        <w:drawing>
          <wp:inline distT="0" distB="0" distL="0" distR="0" wp14:anchorId="1D0648BB" wp14:editId="5C60E181">
            <wp:extent cx="4155671" cy="5772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167661" cy="5788803"/>
                    </a:xfrm>
                    <a:prstGeom prst="rect">
                      <a:avLst/>
                    </a:prstGeom>
                    <a:noFill/>
                    <a:ln>
                      <a:noFill/>
                    </a:ln>
                  </pic:spPr>
                </pic:pic>
              </a:graphicData>
            </a:graphic>
          </wp:inline>
        </w:drawing>
      </w:r>
      <w:r w:rsidR="008669D1">
        <w:rPr>
          <w:rFonts w:eastAsia="Arial" w:cs="Arial"/>
          <w:noProof/>
          <w:szCs w:val="24"/>
        </w:rPr>
        <w:drawing>
          <wp:inline distT="0" distB="0" distL="0" distR="0" wp14:anchorId="71E604BE" wp14:editId="2050CF42">
            <wp:extent cx="2170254" cy="771548"/>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98749" cy="781678"/>
                    </a:xfrm>
                    <a:prstGeom prst="rect">
                      <a:avLst/>
                    </a:prstGeom>
                    <a:noFill/>
                    <a:ln>
                      <a:noFill/>
                    </a:ln>
                  </pic:spPr>
                </pic:pic>
              </a:graphicData>
            </a:graphic>
          </wp:inline>
        </w:drawing>
      </w:r>
    </w:p>
    <w:p w14:paraId="2B29912F" w14:textId="091F51D8" w:rsidR="00D463A8" w:rsidRDefault="007E4624" w:rsidP="006160C7">
      <w:pPr>
        <w:pStyle w:val="Caption"/>
      </w:pPr>
      <w:r>
        <w:t xml:space="preserve">Figure </w:t>
      </w:r>
      <w:r>
        <w:fldChar w:fldCharType="begin"/>
      </w:r>
      <w:r>
        <w:instrText>SEQ Figure \* ARABIC</w:instrText>
      </w:r>
      <w:r>
        <w:fldChar w:fldCharType="separate"/>
      </w:r>
      <w:r w:rsidR="006553F7">
        <w:rPr>
          <w:noProof/>
        </w:rPr>
        <w:t>13</w:t>
      </w:r>
      <w:r>
        <w:fldChar w:fldCharType="end"/>
      </w:r>
      <w:r>
        <w:t xml:space="preserve">: </w:t>
      </w:r>
      <w:r w:rsidR="006160C7">
        <w:t>Rural Deprivation Index for Coventry and Warwickshire</w:t>
      </w:r>
      <w:r w:rsidR="006160C7">
        <w:br/>
        <w:t>Source: SHAPE</w:t>
      </w:r>
    </w:p>
    <w:p w14:paraId="6C6556B6" w14:textId="77777777" w:rsidR="006160C7" w:rsidRPr="006160C7" w:rsidRDefault="006160C7" w:rsidP="006160C7"/>
    <w:p w14:paraId="2769D22E" w14:textId="16AAFD0B" w:rsidR="181A1297" w:rsidRDefault="181A1297" w:rsidP="181A1297">
      <w:pPr>
        <w:pStyle w:val="Heading2"/>
      </w:pPr>
      <w:bookmarkStart w:id="41" w:name="_Toc113628598"/>
      <w:r w:rsidRPr="181A1297">
        <w:rPr>
          <w:rFonts w:eastAsia="Arial" w:cs="Arial"/>
          <w:bCs w:val="0"/>
          <w:color w:val="000000" w:themeColor="text1"/>
          <w:szCs w:val="24"/>
        </w:rPr>
        <w:lastRenderedPageBreak/>
        <w:t>Life Expectancy</w:t>
      </w:r>
      <w:bookmarkEnd w:id="41"/>
    </w:p>
    <w:p w14:paraId="311CBD4E" w14:textId="153319FB" w:rsidR="181A1297" w:rsidRDefault="1AC26769" w:rsidP="181A1297">
      <w:r w:rsidRPr="16DE8E10">
        <w:rPr>
          <w:rFonts w:eastAsia="Arial" w:cs="Arial"/>
        </w:rPr>
        <w:t>Life expectancy, on average,</w:t>
      </w:r>
      <w:r w:rsidRPr="726B201B">
        <w:rPr>
          <w:rFonts w:eastAsia="Arial" w:cs="Arial"/>
        </w:rPr>
        <w:t xml:space="preserve"> </w:t>
      </w:r>
      <w:r w:rsidRPr="16DE8E10">
        <w:rPr>
          <w:rFonts w:eastAsia="Arial" w:cs="Arial"/>
        </w:rPr>
        <w:t>has fallen</w:t>
      </w:r>
      <w:r w:rsidRPr="0C88157D">
        <w:rPr>
          <w:rFonts w:eastAsia="Arial" w:cs="Arial"/>
        </w:rPr>
        <w:t xml:space="preserve"> during the year 2020 for both men and </w:t>
      </w:r>
      <w:r w:rsidRPr="726B201B">
        <w:rPr>
          <w:rFonts w:eastAsia="Arial" w:cs="Arial"/>
        </w:rPr>
        <w:t>women</w:t>
      </w:r>
      <w:r w:rsidRPr="15DE4B0B">
        <w:rPr>
          <w:rFonts w:eastAsia="Arial" w:cs="Arial"/>
        </w:rPr>
        <w:t xml:space="preserve"> in </w:t>
      </w:r>
      <w:r w:rsidRPr="1ADF5128">
        <w:rPr>
          <w:rFonts w:eastAsia="Arial" w:cs="Arial"/>
        </w:rPr>
        <w:t>Coventry and Warwickshire.</w:t>
      </w:r>
      <w:r w:rsidRPr="726B201B">
        <w:rPr>
          <w:rFonts w:eastAsia="Arial" w:cs="Arial"/>
        </w:rPr>
        <w:t xml:space="preserve"> </w:t>
      </w:r>
      <w:r w:rsidRPr="416DCD4E">
        <w:rPr>
          <w:rFonts w:eastAsia="Arial" w:cs="Arial"/>
        </w:rPr>
        <w:t xml:space="preserve">Between the years 2018-20 a man was expected to live to </w:t>
      </w:r>
      <w:r w:rsidR="60B6C378" w:rsidRPr="43083251">
        <w:rPr>
          <w:rFonts w:eastAsia="Arial" w:cs="Arial"/>
        </w:rPr>
        <w:t xml:space="preserve">an </w:t>
      </w:r>
      <w:r w:rsidRPr="416DCD4E">
        <w:rPr>
          <w:rFonts w:eastAsia="Arial" w:cs="Arial"/>
        </w:rPr>
        <w:t xml:space="preserve">age of 79.31 and a woman </w:t>
      </w:r>
      <w:r w:rsidR="60B6C378" w:rsidRPr="43083251">
        <w:rPr>
          <w:rFonts w:eastAsia="Arial" w:cs="Arial"/>
        </w:rPr>
        <w:t xml:space="preserve">to </w:t>
      </w:r>
      <w:r w:rsidRPr="416DCD4E">
        <w:rPr>
          <w:rFonts w:eastAsia="Arial" w:cs="Arial"/>
        </w:rPr>
        <w:t>83.07</w:t>
      </w:r>
      <w:r w:rsidR="60B6C378" w:rsidRPr="51626CF1">
        <w:rPr>
          <w:rFonts w:eastAsia="Arial" w:cs="Arial"/>
        </w:rPr>
        <w:t>.</w:t>
      </w:r>
      <w:r w:rsidRPr="416DCD4E">
        <w:rPr>
          <w:rFonts w:eastAsia="Arial" w:cs="Arial"/>
        </w:rPr>
        <w:t xml:space="preserve"> However</w:t>
      </w:r>
      <w:r w:rsidRPr="7511AFC2">
        <w:rPr>
          <w:rFonts w:eastAsia="Arial" w:cs="Arial"/>
        </w:rPr>
        <w:t>,</w:t>
      </w:r>
      <w:r w:rsidRPr="416DCD4E">
        <w:rPr>
          <w:rFonts w:eastAsia="Arial" w:cs="Arial"/>
        </w:rPr>
        <w:t xml:space="preserve"> in 2020 this is </w:t>
      </w:r>
      <w:r w:rsidRPr="7511AFC2">
        <w:rPr>
          <w:rFonts w:eastAsia="Arial" w:cs="Arial"/>
        </w:rPr>
        <w:t>now 78.3</w:t>
      </w:r>
      <w:r w:rsidR="60B6C378" w:rsidRPr="43083251">
        <w:rPr>
          <w:rFonts w:eastAsia="Arial" w:cs="Arial"/>
        </w:rPr>
        <w:t xml:space="preserve"> years</w:t>
      </w:r>
      <w:r w:rsidRPr="7511AFC2">
        <w:rPr>
          <w:rFonts w:eastAsia="Arial" w:cs="Arial"/>
        </w:rPr>
        <w:t xml:space="preserve">, and 82.7 </w:t>
      </w:r>
      <w:r w:rsidR="60B6C378" w:rsidRPr="43083251">
        <w:rPr>
          <w:rFonts w:eastAsia="Arial" w:cs="Arial"/>
        </w:rPr>
        <w:t xml:space="preserve">years </w:t>
      </w:r>
      <w:r w:rsidRPr="08D92375">
        <w:rPr>
          <w:rFonts w:eastAsia="Arial" w:cs="Arial"/>
        </w:rPr>
        <w:t xml:space="preserve">respectively for </w:t>
      </w:r>
      <w:r w:rsidR="60B6C378" w:rsidRPr="43083251">
        <w:rPr>
          <w:rFonts w:eastAsia="Arial" w:cs="Arial"/>
        </w:rPr>
        <w:t>men</w:t>
      </w:r>
      <w:r w:rsidRPr="08D92375">
        <w:rPr>
          <w:rFonts w:eastAsia="Arial" w:cs="Arial"/>
        </w:rPr>
        <w:t xml:space="preserve"> and </w:t>
      </w:r>
      <w:r w:rsidR="60B6C378" w:rsidRPr="43083251">
        <w:rPr>
          <w:rFonts w:eastAsia="Arial" w:cs="Arial"/>
        </w:rPr>
        <w:t>women.</w:t>
      </w:r>
      <w:r w:rsidRPr="08D92375">
        <w:rPr>
          <w:rFonts w:eastAsia="Arial" w:cs="Arial"/>
        </w:rPr>
        <w:t xml:space="preserve"> </w:t>
      </w:r>
      <w:r w:rsidRPr="475D3989">
        <w:rPr>
          <w:rFonts w:eastAsia="Arial" w:cs="Arial"/>
        </w:rPr>
        <w:t xml:space="preserve">This is more noticeable in the male population, especially those in Coventry where </w:t>
      </w:r>
      <w:r w:rsidR="60B6C378" w:rsidRPr="43083251">
        <w:rPr>
          <w:rFonts w:eastAsia="Arial" w:cs="Arial"/>
        </w:rPr>
        <w:t xml:space="preserve">a </w:t>
      </w:r>
      <w:r w:rsidRPr="475D3989">
        <w:rPr>
          <w:rFonts w:eastAsia="Arial" w:cs="Arial"/>
        </w:rPr>
        <w:t>drop in 1.77 years is seen</w:t>
      </w:r>
      <w:r w:rsidRPr="369F9ECE">
        <w:rPr>
          <w:rFonts w:eastAsia="Arial" w:cs="Arial"/>
        </w:rPr>
        <w:t xml:space="preserve"> over the year 2020. </w:t>
      </w:r>
      <w:r w:rsidR="60B6C378" w:rsidRPr="731783A7">
        <w:rPr>
          <w:rFonts w:eastAsia="Arial" w:cs="Arial"/>
        </w:rPr>
        <w:t xml:space="preserve">As male sex is a known factor for COVID-19 mortality, this drop in life expectancy might be due to the impact of COVID-19. </w:t>
      </w:r>
    </w:p>
    <w:p w14:paraId="41F11652" w14:textId="19C03982" w:rsidR="1FFA80A7" w:rsidRDefault="7D1FBBE5" w:rsidP="1FFA80A7">
      <w:pPr>
        <w:rPr>
          <w:rFonts w:eastAsia="Arial" w:cs="Arial"/>
        </w:rPr>
      </w:pPr>
      <w:r w:rsidRPr="12D18023">
        <w:rPr>
          <w:rFonts w:eastAsia="Arial" w:cs="Arial"/>
        </w:rPr>
        <w:t xml:space="preserve">The areas of increased deprivation (Coventry, Nuneaton, Bedworth, and North Warwickshire) continue to </w:t>
      </w:r>
      <w:r w:rsidR="2F383F82" w:rsidRPr="12D18023">
        <w:rPr>
          <w:rFonts w:eastAsia="Arial" w:cs="Arial"/>
        </w:rPr>
        <w:t>have the lowest life expectancy.</w:t>
      </w:r>
      <w:r w:rsidR="1299002D" w:rsidRPr="12D18023">
        <w:rPr>
          <w:rFonts w:eastAsia="Arial" w:cs="Arial"/>
        </w:rPr>
        <w:t xml:space="preserve"> </w:t>
      </w:r>
      <w:r w:rsidR="3EF46848" w:rsidRPr="12D18023">
        <w:rPr>
          <w:rFonts w:eastAsia="Arial" w:cs="Arial"/>
        </w:rPr>
        <w:t>The most deprived areas</w:t>
      </w:r>
      <w:r w:rsidR="50CC688E" w:rsidRPr="12D18023">
        <w:rPr>
          <w:rFonts w:eastAsia="Arial" w:cs="Arial"/>
        </w:rPr>
        <w:t>, in England,</w:t>
      </w:r>
      <w:r w:rsidR="3EF46848" w:rsidRPr="12D18023">
        <w:rPr>
          <w:rFonts w:eastAsia="Arial" w:cs="Arial"/>
        </w:rPr>
        <w:t xml:space="preserve"> had more than double the </w:t>
      </w:r>
      <w:r w:rsidR="7AF6FEB1" w:rsidRPr="12D18023">
        <w:rPr>
          <w:rFonts w:eastAsia="Arial" w:cs="Arial"/>
        </w:rPr>
        <w:t xml:space="preserve">mortality </w:t>
      </w:r>
      <w:r w:rsidR="50CC688E" w:rsidRPr="12D18023">
        <w:rPr>
          <w:rFonts w:eastAsia="Arial" w:cs="Arial"/>
        </w:rPr>
        <w:t xml:space="preserve">rate from COVID-19 </w:t>
      </w:r>
      <w:r w:rsidR="7AF6FEB1" w:rsidRPr="12D18023">
        <w:rPr>
          <w:rFonts w:eastAsia="Arial" w:cs="Arial"/>
        </w:rPr>
        <w:t xml:space="preserve">when compared to the </w:t>
      </w:r>
      <w:r w:rsidR="3EF46848" w:rsidRPr="12D18023">
        <w:rPr>
          <w:rFonts w:eastAsia="Arial" w:cs="Arial"/>
        </w:rPr>
        <w:t xml:space="preserve">least deprived areas, for both males and females. Therefore, we can expect COVID-19 to have affected the life expectancy in these areas with increased deprivation. </w:t>
      </w:r>
      <w:r w:rsidR="00851E11">
        <w:rPr>
          <w:noProof/>
          <w:color w:val="2B579A"/>
          <w:shd w:val="clear" w:color="auto" w:fill="E6E6E6"/>
        </w:rPr>
        <w:drawing>
          <wp:inline distT="0" distB="0" distL="0" distR="0" wp14:anchorId="7E6AF622" wp14:editId="70253DA1">
            <wp:extent cx="6332220" cy="3713453"/>
            <wp:effectExtent l="0" t="0" r="0" b="1905"/>
            <wp:docPr id="55" name="Chart 55">
              <a:extLst xmlns:a="http://schemas.openxmlformats.org/drawingml/2006/main">
                <a:ext uri="{FF2B5EF4-FFF2-40B4-BE49-F238E27FC236}">
                  <a16:creationId xmlns:a16="http://schemas.microsoft.com/office/drawing/2014/main" id="{E5A38F1E-3537-4D4D-ABDB-0DC9E5F62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08329E7" w14:textId="0F9DB95A" w:rsidR="00CF660F" w:rsidRDefault="00851E11" w:rsidP="00851E11">
      <w:pPr>
        <w:pStyle w:val="Caption"/>
        <w:rPr>
          <w:rFonts w:eastAsia="Arial" w:cs="Arial"/>
          <w:color w:val="000000" w:themeColor="text1"/>
        </w:rPr>
      </w:pPr>
      <w:r>
        <w:t xml:space="preserve">Figure </w:t>
      </w:r>
      <w:r>
        <w:fldChar w:fldCharType="begin"/>
      </w:r>
      <w:r>
        <w:instrText>SEQ Figure \* ARABIC</w:instrText>
      </w:r>
      <w:r>
        <w:fldChar w:fldCharType="separate"/>
      </w:r>
      <w:r w:rsidR="006553F7">
        <w:rPr>
          <w:noProof/>
        </w:rPr>
        <w:t>14</w:t>
      </w:r>
      <w:r>
        <w:fldChar w:fldCharType="end"/>
      </w:r>
      <w:r>
        <w:t>: Male Life Expectancy at Birth over Time (3/1 Year Range)</w:t>
      </w:r>
      <w:r>
        <w:br/>
        <w:t xml:space="preserve">Source: </w:t>
      </w:r>
      <w:r w:rsidRPr="003B0E16">
        <w:t>Fingertips</w:t>
      </w:r>
    </w:p>
    <w:p w14:paraId="4489A52B" w14:textId="24A246CF" w:rsidR="00C27ED0" w:rsidRDefault="00C27ED0">
      <w:pPr>
        <w:spacing w:before="200" w:after="200" w:line="276" w:lineRule="auto"/>
        <w:rPr>
          <w:rFonts w:eastAsia="Arial" w:cs="Arial"/>
          <w:color w:val="000000" w:themeColor="text1"/>
        </w:rPr>
      </w:pPr>
      <w:r w:rsidRPr="08DDEA67">
        <w:rPr>
          <w:rFonts w:eastAsia="Arial" w:cs="Arial"/>
          <w:color w:val="000000" w:themeColor="text1"/>
        </w:rPr>
        <w:br w:type="page"/>
      </w:r>
      <w:r w:rsidR="00B45531">
        <w:rPr>
          <w:noProof/>
          <w:color w:val="2B579A"/>
          <w:shd w:val="clear" w:color="auto" w:fill="E6E6E6"/>
        </w:rPr>
        <w:lastRenderedPageBreak/>
        <w:drawing>
          <wp:inline distT="0" distB="0" distL="0" distR="0" wp14:anchorId="5E7DBC77" wp14:editId="4C4C383B">
            <wp:extent cx="6810499" cy="3909761"/>
            <wp:effectExtent l="0" t="0" r="0" b="0"/>
            <wp:docPr id="57" name="Chart 57">
              <a:extLst xmlns:a="http://schemas.openxmlformats.org/drawingml/2006/main">
                <a:ext uri="{FF2B5EF4-FFF2-40B4-BE49-F238E27FC236}">
                  <a16:creationId xmlns:a16="http://schemas.microsoft.com/office/drawing/2014/main" id="{82C628F7-E28B-49CE-AAF3-91E8141F17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C89F256" w14:textId="464B0A2E" w:rsidR="003F389B" w:rsidRDefault="00851E11" w:rsidP="00851E11">
      <w:pPr>
        <w:pStyle w:val="Caption"/>
      </w:pPr>
      <w:r>
        <w:t xml:space="preserve">Figure </w:t>
      </w:r>
      <w:r>
        <w:fldChar w:fldCharType="begin"/>
      </w:r>
      <w:r>
        <w:instrText>SEQ Figure \* ARABIC</w:instrText>
      </w:r>
      <w:r>
        <w:fldChar w:fldCharType="separate"/>
      </w:r>
      <w:r w:rsidR="006553F7">
        <w:rPr>
          <w:noProof/>
        </w:rPr>
        <w:t>15</w:t>
      </w:r>
      <w:r>
        <w:fldChar w:fldCharType="end"/>
      </w:r>
      <w:r>
        <w:t>: Female Life Expectancy at Birth over Time (3/1 Year Range)</w:t>
      </w:r>
      <w:r>
        <w:br/>
        <w:t xml:space="preserve">Source: </w:t>
      </w:r>
      <w:r w:rsidRPr="003B0E16">
        <w:t>Fingertips</w:t>
      </w:r>
    </w:p>
    <w:p w14:paraId="62C1829E" w14:textId="77777777" w:rsidR="00851E11" w:rsidRPr="00851E11" w:rsidRDefault="00851E11" w:rsidP="00851E11"/>
    <w:p w14:paraId="7673463C" w14:textId="6368BF8E" w:rsidR="181A1297" w:rsidRDefault="181A1297" w:rsidP="181A1297">
      <w:pPr>
        <w:pStyle w:val="Heading2"/>
        <w:rPr>
          <w:rFonts w:eastAsia="Arial" w:cs="Arial"/>
          <w:color w:val="000000" w:themeColor="text1"/>
        </w:rPr>
      </w:pPr>
      <w:bookmarkStart w:id="42" w:name="_Toc113628599"/>
      <w:r w:rsidRPr="06E32598">
        <w:rPr>
          <w:rFonts w:eastAsia="Arial" w:cs="Arial"/>
          <w:color w:val="000000" w:themeColor="text1"/>
        </w:rPr>
        <w:t>Households &amp; Housing Development Projections</w:t>
      </w:r>
      <w:bookmarkEnd w:id="42"/>
    </w:p>
    <w:p w14:paraId="31CD36F0" w14:textId="7127E8C9" w:rsidR="002A0F44" w:rsidRPr="002A0F44" w:rsidRDefault="00851E11" w:rsidP="002A0F44">
      <w:r>
        <w:t>Table</w:t>
      </w:r>
      <w:r w:rsidR="002A0F44">
        <w:t xml:space="preserve"> </w:t>
      </w:r>
      <w:r>
        <w:t>4</w:t>
      </w:r>
      <w:r w:rsidR="002A0F44">
        <w:t xml:space="preserve"> shows the type and number of households across the 6 localities of this PNA. </w:t>
      </w:r>
      <w:r w:rsidR="00F951B9">
        <w:t xml:space="preserve">As seen in the population subchapter, Coventry has a high </w:t>
      </w:r>
      <w:r w:rsidR="00D06D1D">
        <w:t>proportion of</w:t>
      </w:r>
      <w:r w:rsidR="00644293">
        <w:t xml:space="preserve"> people aged 20 – 35 than Warwickshire, </w:t>
      </w:r>
      <w:r w:rsidR="00F15876">
        <w:t xml:space="preserve">which can be seen </w:t>
      </w:r>
      <w:r w:rsidR="009159B5">
        <w:t>in this figure with the high number o</w:t>
      </w:r>
      <w:r w:rsidR="00E94CF3">
        <w:t xml:space="preserve">f full-time student households in Coventry. </w:t>
      </w:r>
    </w:p>
    <w:tbl>
      <w:tblPr>
        <w:tblW w:w="11546" w:type="dxa"/>
        <w:tblInd w:w="-677" w:type="dxa"/>
        <w:tblLook w:val="04A0" w:firstRow="1" w:lastRow="0" w:firstColumn="1" w:lastColumn="0" w:noHBand="0" w:noVBand="1"/>
      </w:tblPr>
      <w:tblGrid>
        <w:gridCol w:w="4213"/>
        <w:gridCol w:w="1118"/>
        <w:gridCol w:w="1581"/>
        <w:gridCol w:w="1413"/>
        <w:gridCol w:w="1028"/>
        <w:gridCol w:w="1193"/>
        <w:gridCol w:w="1091"/>
      </w:tblGrid>
      <w:tr w:rsidR="00AA5882" w:rsidRPr="00554379" w14:paraId="00B6F1F6" w14:textId="77777777" w:rsidTr="00446348">
        <w:trPr>
          <w:trHeight w:val="704"/>
        </w:trPr>
        <w:tc>
          <w:tcPr>
            <w:tcW w:w="4213" w:type="dxa"/>
            <w:tcBorders>
              <w:top w:val="nil"/>
              <w:left w:val="nil"/>
              <w:bottom w:val="single" w:sz="4" w:space="0" w:color="FFFFFF"/>
              <w:right w:val="single" w:sz="4" w:space="0" w:color="FFFFFF"/>
            </w:tcBorders>
            <w:shd w:val="clear" w:color="000000" w:fill="E7E6E6"/>
            <w:noWrap/>
            <w:vAlign w:val="bottom"/>
            <w:hideMark/>
          </w:tcPr>
          <w:p w14:paraId="2EB8B0C7" w14:textId="77777777" w:rsidR="003B7A84" w:rsidRPr="00554379" w:rsidRDefault="003B7A84" w:rsidP="00DE0C11">
            <w:pPr>
              <w:spacing w:after="0" w:line="240" w:lineRule="auto"/>
              <w:jc w:val="center"/>
              <w:rPr>
                <w:rFonts w:ascii="Calibri" w:eastAsia="Times New Roman" w:hAnsi="Calibri" w:cs="Calibri"/>
                <w:b/>
                <w:bCs/>
              </w:rPr>
            </w:pPr>
          </w:p>
        </w:tc>
        <w:tc>
          <w:tcPr>
            <w:tcW w:w="1098" w:type="dxa"/>
            <w:tcBorders>
              <w:top w:val="nil"/>
              <w:left w:val="single" w:sz="4" w:space="0" w:color="FFFFFF"/>
              <w:bottom w:val="single" w:sz="4" w:space="0" w:color="FFFFFF"/>
              <w:right w:val="single" w:sz="4" w:space="0" w:color="FFFFFF"/>
            </w:tcBorders>
            <w:shd w:val="clear" w:color="000000" w:fill="4B4B4B"/>
            <w:vAlign w:val="center"/>
            <w:hideMark/>
          </w:tcPr>
          <w:p w14:paraId="7E6295C2"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Coventry</w:t>
            </w:r>
          </w:p>
        </w:tc>
        <w:tc>
          <w:tcPr>
            <w:tcW w:w="1552" w:type="dxa"/>
            <w:tcBorders>
              <w:top w:val="nil"/>
              <w:left w:val="single" w:sz="4" w:space="0" w:color="FFFFFF"/>
              <w:bottom w:val="single" w:sz="4" w:space="0" w:color="FFFFFF"/>
              <w:right w:val="single" w:sz="4" w:space="0" w:color="FFFFFF"/>
            </w:tcBorders>
            <w:shd w:val="clear" w:color="000000" w:fill="AE91C4"/>
            <w:vAlign w:val="center"/>
            <w:hideMark/>
          </w:tcPr>
          <w:p w14:paraId="27184105"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North Warwickshire</w:t>
            </w:r>
          </w:p>
        </w:tc>
        <w:tc>
          <w:tcPr>
            <w:tcW w:w="1413" w:type="dxa"/>
            <w:tcBorders>
              <w:top w:val="nil"/>
              <w:left w:val="single" w:sz="4" w:space="0" w:color="FFFFFF"/>
              <w:bottom w:val="single" w:sz="4" w:space="0" w:color="FFFFFF"/>
              <w:right w:val="single" w:sz="4" w:space="0" w:color="FFFFFF"/>
            </w:tcBorders>
            <w:shd w:val="clear" w:color="000000" w:fill="477CBF"/>
            <w:vAlign w:val="center"/>
            <w:hideMark/>
          </w:tcPr>
          <w:p w14:paraId="688314F0"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Nuneaton and Bedworth</w:t>
            </w:r>
          </w:p>
        </w:tc>
        <w:tc>
          <w:tcPr>
            <w:tcW w:w="1028" w:type="dxa"/>
            <w:tcBorders>
              <w:top w:val="nil"/>
              <w:left w:val="single" w:sz="4" w:space="0" w:color="FFFFFF"/>
              <w:bottom w:val="single" w:sz="4" w:space="0" w:color="FFFFFF"/>
              <w:right w:val="single" w:sz="4" w:space="0" w:color="FFFFFF"/>
            </w:tcBorders>
            <w:shd w:val="clear" w:color="000000" w:fill="E84599"/>
            <w:vAlign w:val="center"/>
            <w:hideMark/>
          </w:tcPr>
          <w:p w14:paraId="07C716E7"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Rugby</w:t>
            </w:r>
          </w:p>
        </w:tc>
        <w:tc>
          <w:tcPr>
            <w:tcW w:w="1171" w:type="dxa"/>
            <w:tcBorders>
              <w:top w:val="nil"/>
              <w:left w:val="single" w:sz="4" w:space="0" w:color="FFFFFF"/>
              <w:bottom w:val="single" w:sz="4" w:space="0" w:color="FFFFFF"/>
              <w:right w:val="single" w:sz="4" w:space="0" w:color="FFFFFF"/>
            </w:tcBorders>
            <w:shd w:val="clear" w:color="000000" w:fill="FCB247"/>
            <w:vAlign w:val="center"/>
            <w:hideMark/>
          </w:tcPr>
          <w:p w14:paraId="7BC65BFA"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Stratford-on-Avon</w:t>
            </w:r>
          </w:p>
        </w:tc>
        <w:tc>
          <w:tcPr>
            <w:tcW w:w="1071" w:type="dxa"/>
            <w:tcBorders>
              <w:top w:val="nil"/>
              <w:left w:val="single" w:sz="4" w:space="0" w:color="FFFFFF"/>
              <w:bottom w:val="single" w:sz="4" w:space="0" w:color="FFFFFF"/>
              <w:right w:val="nil"/>
            </w:tcBorders>
            <w:shd w:val="clear" w:color="000000" w:fill="72C48F"/>
            <w:vAlign w:val="center"/>
            <w:hideMark/>
          </w:tcPr>
          <w:p w14:paraId="03C391A4"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Warwick</w:t>
            </w:r>
          </w:p>
        </w:tc>
      </w:tr>
      <w:tr w:rsidR="00AA5882" w:rsidRPr="00554379" w14:paraId="269ACC06"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056D1262" w14:textId="77777777" w:rsidR="003B7A84" w:rsidRPr="00554379" w:rsidRDefault="003B7A84" w:rsidP="00DE0C11">
            <w:pPr>
              <w:spacing w:after="0" w:line="240" w:lineRule="auto"/>
              <w:rPr>
                <w:rFonts w:ascii="Calibri" w:eastAsia="Times New Roman" w:hAnsi="Calibri" w:cs="Calibri"/>
                <w:b/>
                <w:bCs/>
              </w:rPr>
            </w:pPr>
            <w:r w:rsidRPr="00554379">
              <w:rPr>
                <w:rFonts w:ascii="Calibri" w:eastAsia="Times New Roman" w:hAnsi="Calibri" w:cs="Calibri"/>
                <w:b/>
                <w:bCs/>
              </w:rPr>
              <w:t>Single Family Household</w:t>
            </w:r>
          </w:p>
        </w:tc>
        <w:tc>
          <w:tcPr>
            <w:tcW w:w="1098" w:type="dxa"/>
            <w:tcBorders>
              <w:top w:val="nil"/>
              <w:left w:val="single" w:sz="4" w:space="0" w:color="FFFFFF"/>
              <w:bottom w:val="nil"/>
              <w:right w:val="single" w:sz="4" w:space="0" w:color="FFFFFF"/>
            </w:tcBorders>
            <w:shd w:val="clear" w:color="000000" w:fill="4B4B4B"/>
            <w:noWrap/>
            <w:vAlign w:val="center"/>
            <w:hideMark/>
          </w:tcPr>
          <w:p w14:paraId="4466ECEE"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75,186</w:t>
            </w:r>
          </w:p>
        </w:tc>
        <w:tc>
          <w:tcPr>
            <w:tcW w:w="1552" w:type="dxa"/>
            <w:tcBorders>
              <w:top w:val="nil"/>
              <w:left w:val="single" w:sz="4" w:space="0" w:color="FFFFFF"/>
              <w:bottom w:val="nil"/>
              <w:right w:val="single" w:sz="4" w:space="0" w:color="FFFFFF"/>
            </w:tcBorders>
            <w:shd w:val="clear" w:color="000000" w:fill="AE91C4"/>
            <w:noWrap/>
            <w:vAlign w:val="center"/>
            <w:hideMark/>
          </w:tcPr>
          <w:p w14:paraId="3B9C35B2"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17,709</w:t>
            </w:r>
          </w:p>
        </w:tc>
        <w:tc>
          <w:tcPr>
            <w:tcW w:w="1413" w:type="dxa"/>
            <w:tcBorders>
              <w:top w:val="nil"/>
              <w:left w:val="single" w:sz="4" w:space="0" w:color="FFFFFF"/>
              <w:bottom w:val="nil"/>
              <w:right w:val="single" w:sz="4" w:space="0" w:color="FFFFFF"/>
            </w:tcBorders>
            <w:shd w:val="clear" w:color="000000" w:fill="477CBF"/>
            <w:noWrap/>
            <w:vAlign w:val="center"/>
            <w:hideMark/>
          </w:tcPr>
          <w:p w14:paraId="72C4AFF9"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34,720</w:t>
            </w:r>
          </w:p>
        </w:tc>
        <w:tc>
          <w:tcPr>
            <w:tcW w:w="1028" w:type="dxa"/>
            <w:tcBorders>
              <w:top w:val="nil"/>
              <w:left w:val="single" w:sz="4" w:space="0" w:color="FFFFFF"/>
              <w:bottom w:val="nil"/>
              <w:right w:val="single" w:sz="4" w:space="0" w:color="FFFFFF"/>
            </w:tcBorders>
            <w:shd w:val="clear" w:color="000000" w:fill="E84599"/>
            <w:noWrap/>
            <w:vAlign w:val="center"/>
            <w:hideMark/>
          </w:tcPr>
          <w:p w14:paraId="7E9FDA24"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27,494</w:t>
            </w:r>
          </w:p>
        </w:tc>
        <w:tc>
          <w:tcPr>
            <w:tcW w:w="1171" w:type="dxa"/>
            <w:tcBorders>
              <w:top w:val="nil"/>
              <w:left w:val="single" w:sz="4" w:space="0" w:color="FFFFFF"/>
              <w:bottom w:val="nil"/>
              <w:right w:val="single" w:sz="4" w:space="0" w:color="FFFFFF"/>
            </w:tcBorders>
            <w:shd w:val="clear" w:color="000000" w:fill="FCB247"/>
            <w:noWrap/>
            <w:vAlign w:val="center"/>
            <w:hideMark/>
          </w:tcPr>
          <w:p w14:paraId="55808C7D"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34,498</w:t>
            </w:r>
          </w:p>
        </w:tc>
        <w:tc>
          <w:tcPr>
            <w:tcW w:w="1071" w:type="dxa"/>
            <w:tcBorders>
              <w:top w:val="nil"/>
              <w:left w:val="single" w:sz="4" w:space="0" w:color="FFFFFF"/>
              <w:bottom w:val="nil"/>
              <w:right w:val="nil"/>
            </w:tcBorders>
            <w:shd w:val="clear" w:color="000000" w:fill="72C48F"/>
            <w:noWrap/>
            <w:vAlign w:val="center"/>
            <w:hideMark/>
          </w:tcPr>
          <w:p w14:paraId="3F9A8987"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35,403</w:t>
            </w:r>
          </w:p>
        </w:tc>
      </w:tr>
      <w:tr w:rsidR="00AA5882" w:rsidRPr="00554379" w14:paraId="5FB46AF5"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1B91BCB4" w14:textId="77777777" w:rsidR="003B7A84" w:rsidRPr="00554379" w:rsidRDefault="003B7A84" w:rsidP="00DE0C11">
            <w:pPr>
              <w:spacing w:after="0" w:line="240" w:lineRule="auto"/>
              <w:ind w:firstLineChars="100" w:firstLine="241"/>
              <w:rPr>
                <w:rFonts w:ascii="Calibri" w:eastAsia="Times New Roman" w:hAnsi="Calibri" w:cs="Calibri"/>
                <w:b/>
                <w:bCs/>
              </w:rPr>
            </w:pPr>
            <w:r w:rsidRPr="00554379">
              <w:rPr>
                <w:rFonts w:ascii="Calibri" w:eastAsia="Times New Roman" w:hAnsi="Calibri" w:cs="Calibri"/>
                <w:b/>
                <w:bCs/>
              </w:rPr>
              <w:t>Lone parent</w:t>
            </w:r>
          </w:p>
        </w:tc>
        <w:tc>
          <w:tcPr>
            <w:tcW w:w="1098" w:type="dxa"/>
            <w:tcBorders>
              <w:top w:val="nil"/>
              <w:left w:val="single" w:sz="4" w:space="0" w:color="FFFFFF"/>
              <w:bottom w:val="nil"/>
              <w:right w:val="single" w:sz="4" w:space="0" w:color="FFFFFF"/>
            </w:tcBorders>
            <w:shd w:val="clear" w:color="000000" w:fill="4B4B4B"/>
            <w:noWrap/>
            <w:vAlign w:val="center"/>
            <w:hideMark/>
          </w:tcPr>
          <w:p w14:paraId="4100F38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17,449</w:t>
            </w:r>
          </w:p>
        </w:tc>
        <w:tc>
          <w:tcPr>
            <w:tcW w:w="1552" w:type="dxa"/>
            <w:tcBorders>
              <w:top w:val="nil"/>
              <w:left w:val="single" w:sz="4" w:space="0" w:color="FFFFFF"/>
              <w:bottom w:val="nil"/>
              <w:right w:val="single" w:sz="4" w:space="0" w:color="FFFFFF"/>
            </w:tcBorders>
            <w:shd w:val="clear" w:color="000000" w:fill="AE91C4"/>
            <w:noWrap/>
            <w:vAlign w:val="center"/>
            <w:hideMark/>
          </w:tcPr>
          <w:p w14:paraId="5C8C178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2,407</w:t>
            </w:r>
          </w:p>
        </w:tc>
        <w:tc>
          <w:tcPr>
            <w:tcW w:w="1413" w:type="dxa"/>
            <w:tcBorders>
              <w:top w:val="nil"/>
              <w:left w:val="single" w:sz="4" w:space="0" w:color="FFFFFF"/>
              <w:bottom w:val="nil"/>
              <w:right w:val="single" w:sz="4" w:space="0" w:color="FFFFFF"/>
            </w:tcBorders>
            <w:shd w:val="clear" w:color="000000" w:fill="477CBF"/>
            <w:noWrap/>
            <w:vAlign w:val="center"/>
            <w:hideMark/>
          </w:tcPr>
          <w:p w14:paraId="056E7AF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5,708</w:t>
            </w:r>
          </w:p>
        </w:tc>
        <w:tc>
          <w:tcPr>
            <w:tcW w:w="1028" w:type="dxa"/>
            <w:tcBorders>
              <w:top w:val="nil"/>
              <w:left w:val="single" w:sz="4" w:space="0" w:color="FFFFFF"/>
              <w:bottom w:val="nil"/>
              <w:right w:val="single" w:sz="4" w:space="0" w:color="FFFFFF"/>
            </w:tcBorders>
            <w:shd w:val="clear" w:color="000000" w:fill="E84599"/>
            <w:noWrap/>
            <w:vAlign w:val="center"/>
            <w:hideMark/>
          </w:tcPr>
          <w:p w14:paraId="7A6F4989"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3,865</w:t>
            </w:r>
          </w:p>
        </w:tc>
        <w:tc>
          <w:tcPr>
            <w:tcW w:w="1171" w:type="dxa"/>
            <w:tcBorders>
              <w:top w:val="nil"/>
              <w:left w:val="single" w:sz="4" w:space="0" w:color="FFFFFF"/>
              <w:bottom w:val="nil"/>
              <w:right w:val="single" w:sz="4" w:space="0" w:color="FFFFFF"/>
            </w:tcBorders>
            <w:shd w:val="clear" w:color="000000" w:fill="FCB247"/>
            <w:noWrap/>
            <w:vAlign w:val="center"/>
            <w:hideMark/>
          </w:tcPr>
          <w:p w14:paraId="1A6512B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4,019</w:t>
            </w:r>
          </w:p>
        </w:tc>
        <w:tc>
          <w:tcPr>
            <w:tcW w:w="1071" w:type="dxa"/>
            <w:tcBorders>
              <w:top w:val="nil"/>
              <w:left w:val="single" w:sz="4" w:space="0" w:color="FFFFFF"/>
              <w:bottom w:val="nil"/>
              <w:right w:val="nil"/>
            </w:tcBorders>
            <w:shd w:val="clear" w:color="000000" w:fill="72C48F"/>
            <w:noWrap/>
            <w:vAlign w:val="center"/>
            <w:hideMark/>
          </w:tcPr>
          <w:p w14:paraId="328CD42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5,053</w:t>
            </w:r>
          </w:p>
        </w:tc>
      </w:tr>
      <w:tr w:rsidR="00AA5882" w:rsidRPr="00554379" w14:paraId="18AFBD71"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27782414"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All children non-dependent</w:t>
            </w:r>
          </w:p>
        </w:tc>
        <w:tc>
          <w:tcPr>
            <w:tcW w:w="1098" w:type="dxa"/>
            <w:tcBorders>
              <w:top w:val="nil"/>
              <w:left w:val="single" w:sz="4" w:space="0" w:color="FFFFFF"/>
              <w:bottom w:val="nil"/>
              <w:right w:val="single" w:sz="4" w:space="0" w:color="FFFFFF"/>
            </w:tcBorders>
            <w:shd w:val="clear" w:color="000000" w:fill="4B4B4B"/>
            <w:noWrap/>
            <w:vAlign w:val="center"/>
            <w:hideMark/>
          </w:tcPr>
          <w:p w14:paraId="470CDC6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5,053</w:t>
            </w:r>
          </w:p>
        </w:tc>
        <w:tc>
          <w:tcPr>
            <w:tcW w:w="1552" w:type="dxa"/>
            <w:tcBorders>
              <w:top w:val="nil"/>
              <w:left w:val="single" w:sz="4" w:space="0" w:color="FFFFFF"/>
              <w:bottom w:val="nil"/>
              <w:right w:val="single" w:sz="4" w:space="0" w:color="FFFFFF"/>
            </w:tcBorders>
            <w:shd w:val="clear" w:color="000000" w:fill="AE91C4"/>
            <w:noWrap/>
            <w:vAlign w:val="center"/>
            <w:hideMark/>
          </w:tcPr>
          <w:p w14:paraId="536FF35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899</w:t>
            </w:r>
          </w:p>
        </w:tc>
        <w:tc>
          <w:tcPr>
            <w:tcW w:w="1413" w:type="dxa"/>
            <w:tcBorders>
              <w:top w:val="nil"/>
              <w:left w:val="single" w:sz="4" w:space="0" w:color="FFFFFF"/>
              <w:bottom w:val="nil"/>
              <w:right w:val="single" w:sz="4" w:space="0" w:color="FFFFFF"/>
            </w:tcBorders>
            <w:shd w:val="clear" w:color="000000" w:fill="477CBF"/>
            <w:noWrap/>
            <w:vAlign w:val="center"/>
            <w:hideMark/>
          </w:tcPr>
          <w:p w14:paraId="08D6687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1,735</w:t>
            </w:r>
          </w:p>
        </w:tc>
        <w:tc>
          <w:tcPr>
            <w:tcW w:w="1028" w:type="dxa"/>
            <w:tcBorders>
              <w:top w:val="nil"/>
              <w:left w:val="single" w:sz="4" w:space="0" w:color="FFFFFF"/>
              <w:bottom w:val="nil"/>
              <w:right w:val="single" w:sz="4" w:space="0" w:color="FFFFFF"/>
            </w:tcBorders>
            <w:shd w:val="clear" w:color="000000" w:fill="E84599"/>
            <w:noWrap/>
            <w:vAlign w:val="center"/>
            <w:hideMark/>
          </w:tcPr>
          <w:p w14:paraId="247217EA"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1,190</w:t>
            </w:r>
          </w:p>
        </w:tc>
        <w:tc>
          <w:tcPr>
            <w:tcW w:w="1171" w:type="dxa"/>
            <w:tcBorders>
              <w:top w:val="nil"/>
              <w:left w:val="single" w:sz="4" w:space="0" w:color="FFFFFF"/>
              <w:bottom w:val="nil"/>
              <w:right w:val="single" w:sz="4" w:space="0" w:color="FFFFFF"/>
            </w:tcBorders>
            <w:shd w:val="clear" w:color="000000" w:fill="FCB247"/>
            <w:noWrap/>
            <w:vAlign w:val="center"/>
            <w:hideMark/>
          </w:tcPr>
          <w:p w14:paraId="480C2374"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1,486</w:t>
            </w:r>
          </w:p>
        </w:tc>
        <w:tc>
          <w:tcPr>
            <w:tcW w:w="1071" w:type="dxa"/>
            <w:tcBorders>
              <w:top w:val="nil"/>
              <w:left w:val="single" w:sz="4" w:space="0" w:color="FFFFFF"/>
              <w:bottom w:val="nil"/>
              <w:right w:val="nil"/>
            </w:tcBorders>
            <w:shd w:val="clear" w:color="000000" w:fill="72C48F"/>
            <w:noWrap/>
            <w:vAlign w:val="center"/>
            <w:hideMark/>
          </w:tcPr>
          <w:p w14:paraId="14B902D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1,705</w:t>
            </w:r>
          </w:p>
        </w:tc>
      </w:tr>
      <w:tr w:rsidR="00AA5882" w:rsidRPr="00554379" w14:paraId="65612D63"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290353C5"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Dependent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7FB17D7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12,396</w:t>
            </w:r>
          </w:p>
        </w:tc>
        <w:tc>
          <w:tcPr>
            <w:tcW w:w="1552" w:type="dxa"/>
            <w:tcBorders>
              <w:top w:val="nil"/>
              <w:left w:val="single" w:sz="4" w:space="0" w:color="FFFFFF"/>
              <w:bottom w:val="nil"/>
              <w:right w:val="single" w:sz="4" w:space="0" w:color="FFFFFF"/>
            </w:tcBorders>
            <w:shd w:val="clear" w:color="000000" w:fill="AE91C4"/>
            <w:noWrap/>
            <w:vAlign w:val="center"/>
            <w:hideMark/>
          </w:tcPr>
          <w:p w14:paraId="572804D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1,508</w:t>
            </w:r>
          </w:p>
        </w:tc>
        <w:tc>
          <w:tcPr>
            <w:tcW w:w="1413" w:type="dxa"/>
            <w:tcBorders>
              <w:top w:val="nil"/>
              <w:left w:val="single" w:sz="4" w:space="0" w:color="FFFFFF"/>
              <w:bottom w:val="nil"/>
              <w:right w:val="single" w:sz="4" w:space="0" w:color="FFFFFF"/>
            </w:tcBorders>
            <w:shd w:val="clear" w:color="000000" w:fill="477CBF"/>
            <w:noWrap/>
            <w:vAlign w:val="center"/>
            <w:hideMark/>
          </w:tcPr>
          <w:p w14:paraId="354EA39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3,973</w:t>
            </w:r>
          </w:p>
        </w:tc>
        <w:tc>
          <w:tcPr>
            <w:tcW w:w="1028" w:type="dxa"/>
            <w:tcBorders>
              <w:top w:val="nil"/>
              <w:left w:val="single" w:sz="4" w:space="0" w:color="FFFFFF"/>
              <w:bottom w:val="nil"/>
              <w:right w:val="single" w:sz="4" w:space="0" w:color="FFFFFF"/>
            </w:tcBorders>
            <w:shd w:val="clear" w:color="000000" w:fill="E84599"/>
            <w:noWrap/>
            <w:vAlign w:val="center"/>
            <w:hideMark/>
          </w:tcPr>
          <w:p w14:paraId="24E7B36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2,675</w:t>
            </w:r>
          </w:p>
        </w:tc>
        <w:tc>
          <w:tcPr>
            <w:tcW w:w="1171" w:type="dxa"/>
            <w:tcBorders>
              <w:top w:val="nil"/>
              <w:left w:val="single" w:sz="4" w:space="0" w:color="FFFFFF"/>
              <w:bottom w:val="nil"/>
              <w:right w:val="single" w:sz="4" w:space="0" w:color="FFFFFF"/>
            </w:tcBorders>
            <w:shd w:val="clear" w:color="000000" w:fill="FCB247"/>
            <w:noWrap/>
            <w:vAlign w:val="center"/>
            <w:hideMark/>
          </w:tcPr>
          <w:p w14:paraId="67D92E9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2,533</w:t>
            </w:r>
          </w:p>
        </w:tc>
        <w:tc>
          <w:tcPr>
            <w:tcW w:w="1071" w:type="dxa"/>
            <w:tcBorders>
              <w:top w:val="nil"/>
              <w:left w:val="single" w:sz="4" w:space="0" w:color="FFFFFF"/>
              <w:bottom w:val="nil"/>
              <w:right w:val="nil"/>
            </w:tcBorders>
            <w:shd w:val="clear" w:color="000000" w:fill="72C48F"/>
            <w:noWrap/>
            <w:vAlign w:val="center"/>
            <w:hideMark/>
          </w:tcPr>
          <w:p w14:paraId="11DCF9A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3,348</w:t>
            </w:r>
          </w:p>
        </w:tc>
      </w:tr>
      <w:tr w:rsidR="00AA5882" w:rsidRPr="00554379" w14:paraId="005AE119"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5C172CFE" w14:textId="0174C180" w:rsidR="003B7A84" w:rsidRPr="00554379" w:rsidRDefault="003B7A84" w:rsidP="00DE0C11">
            <w:pPr>
              <w:spacing w:after="0" w:line="240" w:lineRule="auto"/>
              <w:ind w:firstLineChars="100" w:firstLine="241"/>
              <w:rPr>
                <w:rFonts w:ascii="Calibri" w:eastAsia="Times New Roman" w:hAnsi="Calibri" w:cs="Calibri"/>
                <w:b/>
                <w:bCs/>
              </w:rPr>
            </w:pPr>
            <w:r w:rsidRPr="00554379">
              <w:rPr>
                <w:rFonts w:ascii="Calibri" w:eastAsia="Times New Roman" w:hAnsi="Calibri" w:cs="Calibri"/>
                <w:b/>
                <w:bCs/>
              </w:rPr>
              <w:t>Married or civil partnership couple</w:t>
            </w:r>
          </w:p>
        </w:tc>
        <w:tc>
          <w:tcPr>
            <w:tcW w:w="1098" w:type="dxa"/>
            <w:tcBorders>
              <w:top w:val="nil"/>
              <w:left w:val="single" w:sz="4" w:space="0" w:color="FFFFFF"/>
              <w:bottom w:val="nil"/>
              <w:right w:val="single" w:sz="4" w:space="0" w:color="FFFFFF"/>
            </w:tcBorders>
            <w:shd w:val="clear" w:color="000000" w:fill="4B4B4B"/>
            <w:noWrap/>
            <w:vAlign w:val="center"/>
            <w:hideMark/>
          </w:tcPr>
          <w:p w14:paraId="0025FA0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37,696</w:t>
            </w:r>
          </w:p>
        </w:tc>
        <w:tc>
          <w:tcPr>
            <w:tcW w:w="1552" w:type="dxa"/>
            <w:tcBorders>
              <w:top w:val="nil"/>
              <w:left w:val="single" w:sz="4" w:space="0" w:color="FFFFFF"/>
              <w:bottom w:val="nil"/>
              <w:right w:val="single" w:sz="4" w:space="0" w:color="FFFFFF"/>
            </w:tcBorders>
            <w:shd w:val="clear" w:color="000000" w:fill="AE91C4"/>
            <w:noWrap/>
            <w:vAlign w:val="center"/>
            <w:hideMark/>
          </w:tcPr>
          <w:p w14:paraId="4BF655C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9,904</w:t>
            </w:r>
          </w:p>
        </w:tc>
        <w:tc>
          <w:tcPr>
            <w:tcW w:w="1413" w:type="dxa"/>
            <w:tcBorders>
              <w:top w:val="nil"/>
              <w:left w:val="single" w:sz="4" w:space="0" w:color="FFFFFF"/>
              <w:bottom w:val="nil"/>
              <w:right w:val="single" w:sz="4" w:space="0" w:color="FFFFFF"/>
            </w:tcBorders>
            <w:shd w:val="clear" w:color="000000" w:fill="477CBF"/>
            <w:noWrap/>
            <w:vAlign w:val="center"/>
            <w:hideMark/>
          </w:tcPr>
          <w:p w14:paraId="4446A99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18,939</w:t>
            </w:r>
          </w:p>
        </w:tc>
        <w:tc>
          <w:tcPr>
            <w:tcW w:w="1028" w:type="dxa"/>
            <w:tcBorders>
              <w:top w:val="nil"/>
              <w:left w:val="single" w:sz="4" w:space="0" w:color="FFFFFF"/>
              <w:bottom w:val="nil"/>
              <w:right w:val="single" w:sz="4" w:space="0" w:color="FFFFFF"/>
            </w:tcBorders>
            <w:shd w:val="clear" w:color="000000" w:fill="E84599"/>
            <w:noWrap/>
            <w:vAlign w:val="center"/>
            <w:hideMark/>
          </w:tcPr>
          <w:p w14:paraId="65E3C67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15,243</w:t>
            </w:r>
          </w:p>
        </w:tc>
        <w:tc>
          <w:tcPr>
            <w:tcW w:w="1171" w:type="dxa"/>
            <w:tcBorders>
              <w:top w:val="nil"/>
              <w:left w:val="single" w:sz="4" w:space="0" w:color="FFFFFF"/>
              <w:bottom w:val="nil"/>
              <w:right w:val="single" w:sz="4" w:space="0" w:color="FFFFFF"/>
            </w:tcBorders>
            <w:shd w:val="clear" w:color="000000" w:fill="FCB247"/>
            <w:noWrap/>
            <w:vAlign w:val="center"/>
            <w:hideMark/>
          </w:tcPr>
          <w:p w14:paraId="6E4286B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19,898</w:t>
            </w:r>
          </w:p>
        </w:tc>
        <w:tc>
          <w:tcPr>
            <w:tcW w:w="1071" w:type="dxa"/>
            <w:tcBorders>
              <w:top w:val="nil"/>
              <w:left w:val="single" w:sz="4" w:space="0" w:color="FFFFFF"/>
              <w:bottom w:val="nil"/>
              <w:right w:val="nil"/>
            </w:tcBorders>
            <w:shd w:val="clear" w:color="000000" w:fill="72C48F"/>
            <w:noWrap/>
            <w:vAlign w:val="center"/>
            <w:hideMark/>
          </w:tcPr>
          <w:p w14:paraId="093639FA"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19,657</w:t>
            </w:r>
          </w:p>
        </w:tc>
      </w:tr>
      <w:tr w:rsidR="00AA5882" w:rsidRPr="00554379" w14:paraId="3E6FEC47"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397A352E"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lastRenderedPageBreak/>
              <w:t>All children non-dependent</w:t>
            </w:r>
          </w:p>
        </w:tc>
        <w:tc>
          <w:tcPr>
            <w:tcW w:w="1098" w:type="dxa"/>
            <w:tcBorders>
              <w:top w:val="nil"/>
              <w:left w:val="single" w:sz="4" w:space="0" w:color="FFFFFF"/>
              <w:bottom w:val="nil"/>
              <w:right w:val="single" w:sz="4" w:space="0" w:color="FFFFFF"/>
            </w:tcBorders>
            <w:shd w:val="clear" w:color="000000" w:fill="4B4B4B"/>
            <w:noWrap/>
            <w:vAlign w:val="center"/>
            <w:hideMark/>
          </w:tcPr>
          <w:p w14:paraId="2056E8E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7,204</w:t>
            </w:r>
          </w:p>
        </w:tc>
        <w:tc>
          <w:tcPr>
            <w:tcW w:w="1552" w:type="dxa"/>
            <w:tcBorders>
              <w:top w:val="nil"/>
              <w:left w:val="single" w:sz="4" w:space="0" w:color="FFFFFF"/>
              <w:bottom w:val="nil"/>
              <w:right w:val="single" w:sz="4" w:space="0" w:color="FFFFFF"/>
            </w:tcBorders>
            <w:shd w:val="clear" w:color="000000" w:fill="AE91C4"/>
            <w:noWrap/>
            <w:vAlign w:val="center"/>
            <w:hideMark/>
          </w:tcPr>
          <w:p w14:paraId="41328B5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2,007</w:t>
            </w:r>
          </w:p>
        </w:tc>
        <w:tc>
          <w:tcPr>
            <w:tcW w:w="1413" w:type="dxa"/>
            <w:tcBorders>
              <w:top w:val="nil"/>
              <w:left w:val="single" w:sz="4" w:space="0" w:color="FFFFFF"/>
              <w:bottom w:val="nil"/>
              <w:right w:val="single" w:sz="4" w:space="0" w:color="FFFFFF"/>
            </w:tcBorders>
            <w:shd w:val="clear" w:color="000000" w:fill="477CBF"/>
            <w:noWrap/>
            <w:vAlign w:val="center"/>
            <w:hideMark/>
          </w:tcPr>
          <w:p w14:paraId="4B1847C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3,680</w:t>
            </w:r>
          </w:p>
        </w:tc>
        <w:tc>
          <w:tcPr>
            <w:tcW w:w="1028" w:type="dxa"/>
            <w:tcBorders>
              <w:top w:val="nil"/>
              <w:left w:val="single" w:sz="4" w:space="0" w:color="FFFFFF"/>
              <w:bottom w:val="nil"/>
              <w:right w:val="single" w:sz="4" w:space="0" w:color="FFFFFF"/>
            </w:tcBorders>
            <w:shd w:val="clear" w:color="000000" w:fill="E84599"/>
            <w:noWrap/>
            <w:vAlign w:val="center"/>
            <w:hideMark/>
          </w:tcPr>
          <w:p w14:paraId="7D862F1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2,245</w:t>
            </w:r>
          </w:p>
        </w:tc>
        <w:tc>
          <w:tcPr>
            <w:tcW w:w="1171" w:type="dxa"/>
            <w:tcBorders>
              <w:top w:val="nil"/>
              <w:left w:val="single" w:sz="4" w:space="0" w:color="FFFFFF"/>
              <w:bottom w:val="nil"/>
              <w:right w:val="single" w:sz="4" w:space="0" w:color="FFFFFF"/>
            </w:tcBorders>
            <w:shd w:val="clear" w:color="000000" w:fill="FCB247"/>
            <w:noWrap/>
            <w:vAlign w:val="center"/>
            <w:hideMark/>
          </w:tcPr>
          <w:p w14:paraId="1FCAC14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3,097</w:t>
            </w:r>
          </w:p>
        </w:tc>
        <w:tc>
          <w:tcPr>
            <w:tcW w:w="1071" w:type="dxa"/>
            <w:tcBorders>
              <w:top w:val="nil"/>
              <w:left w:val="single" w:sz="4" w:space="0" w:color="FFFFFF"/>
              <w:bottom w:val="nil"/>
              <w:right w:val="nil"/>
            </w:tcBorders>
            <w:shd w:val="clear" w:color="000000" w:fill="72C48F"/>
            <w:noWrap/>
            <w:vAlign w:val="center"/>
            <w:hideMark/>
          </w:tcPr>
          <w:p w14:paraId="4066AFB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3,077</w:t>
            </w:r>
          </w:p>
        </w:tc>
      </w:tr>
      <w:tr w:rsidR="00AA5882" w:rsidRPr="00554379" w14:paraId="2110BBD9"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66C82FBD"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Dependent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28DC5E99"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18,355</w:t>
            </w:r>
          </w:p>
        </w:tc>
        <w:tc>
          <w:tcPr>
            <w:tcW w:w="1552" w:type="dxa"/>
            <w:tcBorders>
              <w:top w:val="nil"/>
              <w:left w:val="single" w:sz="4" w:space="0" w:color="FFFFFF"/>
              <w:bottom w:val="nil"/>
              <w:right w:val="single" w:sz="4" w:space="0" w:color="FFFFFF"/>
            </w:tcBorders>
            <w:shd w:val="clear" w:color="000000" w:fill="AE91C4"/>
            <w:noWrap/>
            <w:vAlign w:val="center"/>
            <w:hideMark/>
          </w:tcPr>
          <w:p w14:paraId="2925CD81"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3,961</w:t>
            </w:r>
          </w:p>
        </w:tc>
        <w:tc>
          <w:tcPr>
            <w:tcW w:w="1413" w:type="dxa"/>
            <w:tcBorders>
              <w:top w:val="nil"/>
              <w:left w:val="single" w:sz="4" w:space="0" w:color="FFFFFF"/>
              <w:bottom w:val="nil"/>
              <w:right w:val="single" w:sz="4" w:space="0" w:color="FFFFFF"/>
            </w:tcBorders>
            <w:shd w:val="clear" w:color="000000" w:fill="477CBF"/>
            <w:noWrap/>
            <w:vAlign w:val="center"/>
            <w:hideMark/>
          </w:tcPr>
          <w:p w14:paraId="2A49910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8,130</w:t>
            </w:r>
          </w:p>
        </w:tc>
        <w:tc>
          <w:tcPr>
            <w:tcW w:w="1028" w:type="dxa"/>
            <w:tcBorders>
              <w:top w:val="nil"/>
              <w:left w:val="single" w:sz="4" w:space="0" w:color="FFFFFF"/>
              <w:bottom w:val="nil"/>
              <w:right w:val="single" w:sz="4" w:space="0" w:color="FFFFFF"/>
            </w:tcBorders>
            <w:shd w:val="clear" w:color="000000" w:fill="E84599"/>
            <w:noWrap/>
            <w:vAlign w:val="center"/>
            <w:hideMark/>
          </w:tcPr>
          <w:p w14:paraId="634C7D3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7,090</w:t>
            </w:r>
          </w:p>
        </w:tc>
        <w:tc>
          <w:tcPr>
            <w:tcW w:w="1171" w:type="dxa"/>
            <w:tcBorders>
              <w:top w:val="nil"/>
              <w:left w:val="single" w:sz="4" w:space="0" w:color="FFFFFF"/>
              <w:bottom w:val="nil"/>
              <w:right w:val="single" w:sz="4" w:space="0" w:color="FFFFFF"/>
            </w:tcBorders>
            <w:shd w:val="clear" w:color="000000" w:fill="FCB247"/>
            <w:noWrap/>
            <w:vAlign w:val="center"/>
            <w:hideMark/>
          </w:tcPr>
          <w:p w14:paraId="086DC85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8,685</w:t>
            </w:r>
          </w:p>
        </w:tc>
        <w:tc>
          <w:tcPr>
            <w:tcW w:w="1071" w:type="dxa"/>
            <w:tcBorders>
              <w:top w:val="nil"/>
              <w:left w:val="single" w:sz="4" w:space="0" w:color="FFFFFF"/>
              <w:bottom w:val="nil"/>
              <w:right w:val="nil"/>
            </w:tcBorders>
            <w:shd w:val="clear" w:color="000000" w:fill="72C48F"/>
            <w:noWrap/>
            <w:vAlign w:val="center"/>
            <w:hideMark/>
          </w:tcPr>
          <w:p w14:paraId="76AB34A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9,243</w:t>
            </w:r>
          </w:p>
        </w:tc>
      </w:tr>
      <w:tr w:rsidR="00AA5882" w:rsidRPr="00554379" w14:paraId="2A1A96DB"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1A0335FF"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No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083B3A0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12,137</w:t>
            </w:r>
          </w:p>
        </w:tc>
        <w:tc>
          <w:tcPr>
            <w:tcW w:w="1552" w:type="dxa"/>
            <w:tcBorders>
              <w:top w:val="nil"/>
              <w:left w:val="single" w:sz="4" w:space="0" w:color="FFFFFF"/>
              <w:bottom w:val="nil"/>
              <w:right w:val="single" w:sz="4" w:space="0" w:color="FFFFFF"/>
            </w:tcBorders>
            <w:shd w:val="clear" w:color="000000" w:fill="AE91C4"/>
            <w:noWrap/>
            <w:vAlign w:val="center"/>
            <w:hideMark/>
          </w:tcPr>
          <w:p w14:paraId="632DCF7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3,936</w:t>
            </w:r>
          </w:p>
        </w:tc>
        <w:tc>
          <w:tcPr>
            <w:tcW w:w="1413" w:type="dxa"/>
            <w:tcBorders>
              <w:top w:val="nil"/>
              <w:left w:val="single" w:sz="4" w:space="0" w:color="FFFFFF"/>
              <w:bottom w:val="nil"/>
              <w:right w:val="single" w:sz="4" w:space="0" w:color="FFFFFF"/>
            </w:tcBorders>
            <w:shd w:val="clear" w:color="000000" w:fill="477CBF"/>
            <w:noWrap/>
            <w:vAlign w:val="center"/>
            <w:hideMark/>
          </w:tcPr>
          <w:p w14:paraId="6F7D1FE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7,129</w:t>
            </w:r>
          </w:p>
        </w:tc>
        <w:tc>
          <w:tcPr>
            <w:tcW w:w="1028" w:type="dxa"/>
            <w:tcBorders>
              <w:top w:val="nil"/>
              <w:left w:val="single" w:sz="4" w:space="0" w:color="FFFFFF"/>
              <w:bottom w:val="nil"/>
              <w:right w:val="single" w:sz="4" w:space="0" w:color="FFFFFF"/>
            </w:tcBorders>
            <w:shd w:val="clear" w:color="000000" w:fill="E84599"/>
            <w:noWrap/>
            <w:vAlign w:val="center"/>
            <w:hideMark/>
          </w:tcPr>
          <w:p w14:paraId="2E3D138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5,908</w:t>
            </w:r>
          </w:p>
        </w:tc>
        <w:tc>
          <w:tcPr>
            <w:tcW w:w="1171" w:type="dxa"/>
            <w:tcBorders>
              <w:top w:val="nil"/>
              <w:left w:val="single" w:sz="4" w:space="0" w:color="FFFFFF"/>
              <w:bottom w:val="nil"/>
              <w:right w:val="single" w:sz="4" w:space="0" w:color="FFFFFF"/>
            </w:tcBorders>
            <w:shd w:val="clear" w:color="000000" w:fill="FCB247"/>
            <w:noWrap/>
            <w:vAlign w:val="center"/>
            <w:hideMark/>
          </w:tcPr>
          <w:p w14:paraId="782296E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8,116</w:t>
            </w:r>
          </w:p>
        </w:tc>
        <w:tc>
          <w:tcPr>
            <w:tcW w:w="1071" w:type="dxa"/>
            <w:tcBorders>
              <w:top w:val="nil"/>
              <w:left w:val="single" w:sz="4" w:space="0" w:color="FFFFFF"/>
              <w:bottom w:val="nil"/>
              <w:right w:val="nil"/>
            </w:tcBorders>
            <w:shd w:val="clear" w:color="000000" w:fill="72C48F"/>
            <w:noWrap/>
            <w:vAlign w:val="center"/>
            <w:hideMark/>
          </w:tcPr>
          <w:p w14:paraId="62030D1A"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7,337</w:t>
            </w:r>
          </w:p>
        </w:tc>
      </w:tr>
      <w:tr w:rsidR="00AA5882" w:rsidRPr="00554379" w14:paraId="3AA01FB8"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591A256D" w14:textId="77777777" w:rsidR="003B7A84" w:rsidRPr="00554379" w:rsidRDefault="003B7A84" w:rsidP="00DE0C11">
            <w:pPr>
              <w:spacing w:after="0" w:line="240" w:lineRule="auto"/>
              <w:ind w:firstLineChars="100" w:firstLine="241"/>
              <w:rPr>
                <w:rFonts w:ascii="Calibri" w:eastAsia="Times New Roman" w:hAnsi="Calibri" w:cs="Calibri"/>
                <w:b/>
                <w:bCs/>
              </w:rPr>
            </w:pPr>
            <w:r w:rsidRPr="00554379">
              <w:rPr>
                <w:rFonts w:ascii="Calibri" w:eastAsia="Times New Roman" w:hAnsi="Calibri" w:cs="Calibri"/>
                <w:b/>
                <w:bCs/>
              </w:rPr>
              <w:t>Cohabiting couple</w:t>
            </w:r>
          </w:p>
        </w:tc>
        <w:tc>
          <w:tcPr>
            <w:tcW w:w="1098" w:type="dxa"/>
            <w:tcBorders>
              <w:top w:val="nil"/>
              <w:left w:val="single" w:sz="4" w:space="0" w:color="FFFFFF"/>
              <w:bottom w:val="nil"/>
              <w:right w:val="single" w:sz="4" w:space="0" w:color="FFFFFF"/>
            </w:tcBorders>
            <w:shd w:val="clear" w:color="000000" w:fill="4B4B4B"/>
            <w:noWrap/>
            <w:vAlign w:val="center"/>
            <w:hideMark/>
          </w:tcPr>
          <w:p w14:paraId="5B1AA694"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11,071</w:t>
            </w:r>
          </w:p>
        </w:tc>
        <w:tc>
          <w:tcPr>
            <w:tcW w:w="1552" w:type="dxa"/>
            <w:tcBorders>
              <w:top w:val="nil"/>
              <w:left w:val="single" w:sz="4" w:space="0" w:color="FFFFFF"/>
              <w:bottom w:val="nil"/>
              <w:right w:val="single" w:sz="4" w:space="0" w:color="FFFFFF"/>
            </w:tcBorders>
            <w:shd w:val="clear" w:color="000000" w:fill="AE91C4"/>
            <w:noWrap/>
            <w:vAlign w:val="center"/>
            <w:hideMark/>
          </w:tcPr>
          <w:p w14:paraId="28756FC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2,911</w:t>
            </w:r>
          </w:p>
        </w:tc>
        <w:tc>
          <w:tcPr>
            <w:tcW w:w="1413" w:type="dxa"/>
            <w:tcBorders>
              <w:top w:val="nil"/>
              <w:left w:val="single" w:sz="4" w:space="0" w:color="FFFFFF"/>
              <w:bottom w:val="nil"/>
              <w:right w:val="single" w:sz="4" w:space="0" w:color="FFFFFF"/>
            </w:tcBorders>
            <w:shd w:val="clear" w:color="000000" w:fill="477CBF"/>
            <w:noWrap/>
            <w:vAlign w:val="center"/>
            <w:hideMark/>
          </w:tcPr>
          <w:p w14:paraId="3C4D1FD9"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5,492</w:t>
            </w:r>
          </w:p>
        </w:tc>
        <w:tc>
          <w:tcPr>
            <w:tcW w:w="1028" w:type="dxa"/>
            <w:tcBorders>
              <w:top w:val="nil"/>
              <w:left w:val="single" w:sz="4" w:space="0" w:color="FFFFFF"/>
              <w:bottom w:val="nil"/>
              <w:right w:val="single" w:sz="4" w:space="0" w:color="FFFFFF"/>
            </w:tcBorders>
            <w:shd w:val="clear" w:color="000000" w:fill="E84599"/>
            <w:noWrap/>
            <w:vAlign w:val="center"/>
            <w:hideMark/>
          </w:tcPr>
          <w:p w14:paraId="75CB8E69"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4,451</w:t>
            </w:r>
          </w:p>
        </w:tc>
        <w:tc>
          <w:tcPr>
            <w:tcW w:w="1171" w:type="dxa"/>
            <w:tcBorders>
              <w:top w:val="nil"/>
              <w:left w:val="single" w:sz="4" w:space="0" w:color="FFFFFF"/>
              <w:bottom w:val="nil"/>
              <w:right w:val="single" w:sz="4" w:space="0" w:color="FFFFFF"/>
            </w:tcBorders>
            <w:shd w:val="clear" w:color="000000" w:fill="FCB247"/>
            <w:noWrap/>
            <w:vAlign w:val="center"/>
            <w:hideMark/>
          </w:tcPr>
          <w:p w14:paraId="1D23566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4,444</w:t>
            </w:r>
          </w:p>
        </w:tc>
        <w:tc>
          <w:tcPr>
            <w:tcW w:w="1071" w:type="dxa"/>
            <w:tcBorders>
              <w:top w:val="nil"/>
              <w:left w:val="single" w:sz="4" w:space="0" w:color="FFFFFF"/>
              <w:bottom w:val="nil"/>
              <w:right w:val="nil"/>
            </w:tcBorders>
            <w:shd w:val="clear" w:color="000000" w:fill="72C48F"/>
            <w:noWrap/>
            <w:vAlign w:val="center"/>
            <w:hideMark/>
          </w:tcPr>
          <w:p w14:paraId="6FB62B1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5,690</w:t>
            </w:r>
          </w:p>
        </w:tc>
      </w:tr>
      <w:tr w:rsidR="00AA5882" w:rsidRPr="00554379" w14:paraId="43D31F26"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2BEDB42E"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All children non-dependent</w:t>
            </w:r>
          </w:p>
        </w:tc>
        <w:tc>
          <w:tcPr>
            <w:tcW w:w="1098" w:type="dxa"/>
            <w:tcBorders>
              <w:top w:val="nil"/>
              <w:left w:val="single" w:sz="4" w:space="0" w:color="FFFFFF"/>
              <w:bottom w:val="nil"/>
              <w:right w:val="single" w:sz="4" w:space="0" w:color="FFFFFF"/>
            </w:tcBorders>
            <w:shd w:val="clear" w:color="000000" w:fill="4B4B4B"/>
            <w:noWrap/>
            <w:vAlign w:val="center"/>
            <w:hideMark/>
          </w:tcPr>
          <w:p w14:paraId="5926167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587</w:t>
            </w:r>
          </w:p>
        </w:tc>
        <w:tc>
          <w:tcPr>
            <w:tcW w:w="1552" w:type="dxa"/>
            <w:tcBorders>
              <w:top w:val="nil"/>
              <w:left w:val="single" w:sz="4" w:space="0" w:color="FFFFFF"/>
              <w:bottom w:val="nil"/>
              <w:right w:val="single" w:sz="4" w:space="0" w:color="FFFFFF"/>
            </w:tcBorders>
            <w:shd w:val="clear" w:color="000000" w:fill="AE91C4"/>
            <w:noWrap/>
            <w:vAlign w:val="center"/>
            <w:hideMark/>
          </w:tcPr>
          <w:p w14:paraId="253981B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179</w:t>
            </w:r>
          </w:p>
        </w:tc>
        <w:tc>
          <w:tcPr>
            <w:tcW w:w="1413" w:type="dxa"/>
            <w:tcBorders>
              <w:top w:val="nil"/>
              <w:left w:val="single" w:sz="4" w:space="0" w:color="FFFFFF"/>
              <w:bottom w:val="nil"/>
              <w:right w:val="single" w:sz="4" w:space="0" w:color="FFFFFF"/>
            </w:tcBorders>
            <w:shd w:val="clear" w:color="000000" w:fill="477CBF"/>
            <w:noWrap/>
            <w:vAlign w:val="center"/>
            <w:hideMark/>
          </w:tcPr>
          <w:p w14:paraId="2A322E3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263</w:t>
            </w:r>
          </w:p>
        </w:tc>
        <w:tc>
          <w:tcPr>
            <w:tcW w:w="1028" w:type="dxa"/>
            <w:tcBorders>
              <w:top w:val="nil"/>
              <w:left w:val="single" w:sz="4" w:space="0" w:color="FFFFFF"/>
              <w:bottom w:val="nil"/>
              <w:right w:val="single" w:sz="4" w:space="0" w:color="FFFFFF"/>
            </w:tcBorders>
            <w:shd w:val="clear" w:color="000000" w:fill="E84599"/>
            <w:noWrap/>
            <w:vAlign w:val="center"/>
            <w:hideMark/>
          </w:tcPr>
          <w:p w14:paraId="62229FB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183</w:t>
            </w:r>
          </w:p>
        </w:tc>
        <w:tc>
          <w:tcPr>
            <w:tcW w:w="1171" w:type="dxa"/>
            <w:tcBorders>
              <w:top w:val="nil"/>
              <w:left w:val="single" w:sz="4" w:space="0" w:color="FFFFFF"/>
              <w:bottom w:val="nil"/>
              <w:right w:val="single" w:sz="4" w:space="0" w:color="FFFFFF"/>
            </w:tcBorders>
            <w:shd w:val="clear" w:color="000000" w:fill="FCB247"/>
            <w:noWrap/>
            <w:vAlign w:val="center"/>
            <w:hideMark/>
          </w:tcPr>
          <w:p w14:paraId="6555CC6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187</w:t>
            </w:r>
          </w:p>
        </w:tc>
        <w:tc>
          <w:tcPr>
            <w:tcW w:w="1071" w:type="dxa"/>
            <w:tcBorders>
              <w:top w:val="nil"/>
              <w:left w:val="single" w:sz="4" w:space="0" w:color="FFFFFF"/>
              <w:bottom w:val="nil"/>
              <w:right w:val="nil"/>
            </w:tcBorders>
            <w:shd w:val="clear" w:color="000000" w:fill="72C48F"/>
            <w:noWrap/>
            <w:vAlign w:val="center"/>
            <w:hideMark/>
          </w:tcPr>
          <w:p w14:paraId="278F699B"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191</w:t>
            </w:r>
          </w:p>
        </w:tc>
      </w:tr>
      <w:tr w:rsidR="00AA5882" w:rsidRPr="00554379" w14:paraId="470520FF"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155EC55B"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Dependent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6FC5F1A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4,989</w:t>
            </w:r>
          </w:p>
        </w:tc>
        <w:tc>
          <w:tcPr>
            <w:tcW w:w="1552" w:type="dxa"/>
            <w:tcBorders>
              <w:top w:val="nil"/>
              <w:left w:val="single" w:sz="4" w:space="0" w:color="FFFFFF"/>
              <w:bottom w:val="nil"/>
              <w:right w:val="single" w:sz="4" w:space="0" w:color="FFFFFF"/>
            </w:tcBorders>
            <w:shd w:val="clear" w:color="000000" w:fill="AE91C4"/>
            <w:noWrap/>
            <w:vAlign w:val="center"/>
            <w:hideMark/>
          </w:tcPr>
          <w:p w14:paraId="17D452F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1,303</w:t>
            </w:r>
          </w:p>
        </w:tc>
        <w:tc>
          <w:tcPr>
            <w:tcW w:w="1413" w:type="dxa"/>
            <w:tcBorders>
              <w:top w:val="nil"/>
              <w:left w:val="single" w:sz="4" w:space="0" w:color="FFFFFF"/>
              <w:bottom w:val="nil"/>
              <w:right w:val="single" w:sz="4" w:space="0" w:color="FFFFFF"/>
            </w:tcBorders>
            <w:shd w:val="clear" w:color="000000" w:fill="477CBF"/>
            <w:noWrap/>
            <w:vAlign w:val="center"/>
            <w:hideMark/>
          </w:tcPr>
          <w:p w14:paraId="478053C1"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2,648</w:t>
            </w:r>
          </w:p>
        </w:tc>
        <w:tc>
          <w:tcPr>
            <w:tcW w:w="1028" w:type="dxa"/>
            <w:tcBorders>
              <w:top w:val="nil"/>
              <w:left w:val="single" w:sz="4" w:space="0" w:color="FFFFFF"/>
              <w:bottom w:val="nil"/>
              <w:right w:val="single" w:sz="4" w:space="0" w:color="FFFFFF"/>
            </w:tcBorders>
            <w:shd w:val="clear" w:color="000000" w:fill="E84599"/>
            <w:noWrap/>
            <w:vAlign w:val="center"/>
            <w:hideMark/>
          </w:tcPr>
          <w:p w14:paraId="2119F48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1,812</w:t>
            </w:r>
          </w:p>
        </w:tc>
        <w:tc>
          <w:tcPr>
            <w:tcW w:w="1171" w:type="dxa"/>
            <w:tcBorders>
              <w:top w:val="nil"/>
              <w:left w:val="single" w:sz="4" w:space="0" w:color="FFFFFF"/>
              <w:bottom w:val="nil"/>
              <w:right w:val="single" w:sz="4" w:space="0" w:color="FFFFFF"/>
            </w:tcBorders>
            <w:shd w:val="clear" w:color="000000" w:fill="FCB247"/>
            <w:noWrap/>
            <w:vAlign w:val="center"/>
            <w:hideMark/>
          </w:tcPr>
          <w:p w14:paraId="7BC6713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1,612</w:t>
            </w:r>
          </w:p>
        </w:tc>
        <w:tc>
          <w:tcPr>
            <w:tcW w:w="1071" w:type="dxa"/>
            <w:tcBorders>
              <w:top w:val="nil"/>
              <w:left w:val="single" w:sz="4" w:space="0" w:color="FFFFFF"/>
              <w:bottom w:val="nil"/>
              <w:right w:val="nil"/>
            </w:tcBorders>
            <w:shd w:val="clear" w:color="000000" w:fill="72C48F"/>
            <w:noWrap/>
            <w:vAlign w:val="center"/>
            <w:hideMark/>
          </w:tcPr>
          <w:p w14:paraId="06F3836A"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1,791</w:t>
            </w:r>
          </w:p>
        </w:tc>
      </w:tr>
      <w:tr w:rsidR="00AA5882" w:rsidRPr="00554379" w14:paraId="63CD0F41"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2ACFA5EA" w14:textId="77777777" w:rsidR="003B7A84" w:rsidRPr="00554379" w:rsidRDefault="003B7A84" w:rsidP="00DE0C11">
            <w:pPr>
              <w:spacing w:after="0" w:line="240" w:lineRule="auto"/>
              <w:ind w:firstLineChars="200" w:firstLine="480"/>
              <w:rPr>
                <w:rFonts w:ascii="Calibri" w:eastAsia="Times New Roman" w:hAnsi="Calibri" w:cs="Calibri"/>
              </w:rPr>
            </w:pPr>
            <w:r w:rsidRPr="00554379">
              <w:rPr>
                <w:rFonts w:ascii="Calibri" w:eastAsia="Times New Roman" w:hAnsi="Calibri" w:cs="Calibri"/>
              </w:rPr>
              <w:t>No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7B1CBC39"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5,495</w:t>
            </w:r>
          </w:p>
        </w:tc>
        <w:tc>
          <w:tcPr>
            <w:tcW w:w="1552" w:type="dxa"/>
            <w:tcBorders>
              <w:top w:val="nil"/>
              <w:left w:val="single" w:sz="4" w:space="0" w:color="FFFFFF"/>
              <w:bottom w:val="nil"/>
              <w:right w:val="single" w:sz="4" w:space="0" w:color="FFFFFF"/>
            </w:tcBorders>
            <w:shd w:val="clear" w:color="000000" w:fill="AE91C4"/>
            <w:noWrap/>
            <w:vAlign w:val="center"/>
            <w:hideMark/>
          </w:tcPr>
          <w:p w14:paraId="186DDC1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1,429</w:t>
            </w:r>
          </w:p>
        </w:tc>
        <w:tc>
          <w:tcPr>
            <w:tcW w:w="1413" w:type="dxa"/>
            <w:tcBorders>
              <w:top w:val="nil"/>
              <w:left w:val="single" w:sz="4" w:space="0" w:color="FFFFFF"/>
              <w:bottom w:val="nil"/>
              <w:right w:val="single" w:sz="4" w:space="0" w:color="FFFFFF"/>
            </w:tcBorders>
            <w:shd w:val="clear" w:color="000000" w:fill="477CBF"/>
            <w:noWrap/>
            <w:vAlign w:val="center"/>
            <w:hideMark/>
          </w:tcPr>
          <w:p w14:paraId="49A0D16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2,581</w:t>
            </w:r>
          </w:p>
        </w:tc>
        <w:tc>
          <w:tcPr>
            <w:tcW w:w="1028" w:type="dxa"/>
            <w:tcBorders>
              <w:top w:val="nil"/>
              <w:left w:val="single" w:sz="4" w:space="0" w:color="FFFFFF"/>
              <w:bottom w:val="nil"/>
              <w:right w:val="single" w:sz="4" w:space="0" w:color="FFFFFF"/>
            </w:tcBorders>
            <w:shd w:val="clear" w:color="000000" w:fill="E84599"/>
            <w:noWrap/>
            <w:vAlign w:val="center"/>
            <w:hideMark/>
          </w:tcPr>
          <w:p w14:paraId="398DD94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2,456</w:t>
            </w:r>
          </w:p>
        </w:tc>
        <w:tc>
          <w:tcPr>
            <w:tcW w:w="1171" w:type="dxa"/>
            <w:tcBorders>
              <w:top w:val="nil"/>
              <w:left w:val="single" w:sz="4" w:space="0" w:color="FFFFFF"/>
              <w:bottom w:val="nil"/>
              <w:right w:val="single" w:sz="4" w:space="0" w:color="FFFFFF"/>
            </w:tcBorders>
            <w:shd w:val="clear" w:color="000000" w:fill="FCB247"/>
            <w:noWrap/>
            <w:vAlign w:val="center"/>
            <w:hideMark/>
          </w:tcPr>
          <w:p w14:paraId="11D5142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2,645</w:t>
            </w:r>
          </w:p>
        </w:tc>
        <w:tc>
          <w:tcPr>
            <w:tcW w:w="1071" w:type="dxa"/>
            <w:tcBorders>
              <w:top w:val="nil"/>
              <w:left w:val="single" w:sz="4" w:space="0" w:color="FFFFFF"/>
              <w:bottom w:val="nil"/>
              <w:right w:val="nil"/>
            </w:tcBorders>
            <w:shd w:val="clear" w:color="000000" w:fill="72C48F"/>
            <w:noWrap/>
            <w:vAlign w:val="center"/>
            <w:hideMark/>
          </w:tcPr>
          <w:p w14:paraId="36728E6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3,708</w:t>
            </w:r>
          </w:p>
        </w:tc>
      </w:tr>
      <w:tr w:rsidR="00AA5882" w:rsidRPr="00554379" w14:paraId="56C64E5D"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4CCF1FA8" w14:textId="77777777" w:rsidR="003B7A84" w:rsidRPr="00554379" w:rsidRDefault="003B7A84" w:rsidP="00DE0C11">
            <w:pPr>
              <w:spacing w:after="0" w:line="240" w:lineRule="auto"/>
              <w:ind w:firstLineChars="100" w:firstLine="241"/>
              <w:rPr>
                <w:rFonts w:ascii="Calibri" w:eastAsia="Times New Roman" w:hAnsi="Calibri" w:cs="Calibri"/>
                <w:b/>
                <w:bCs/>
              </w:rPr>
            </w:pPr>
            <w:r w:rsidRPr="00554379">
              <w:rPr>
                <w:rFonts w:ascii="Calibri" w:eastAsia="Times New Roman" w:hAnsi="Calibri" w:cs="Calibri"/>
                <w:b/>
                <w:bCs/>
              </w:rPr>
              <w:t>All aged 65 and over</w:t>
            </w:r>
          </w:p>
        </w:tc>
        <w:tc>
          <w:tcPr>
            <w:tcW w:w="1098" w:type="dxa"/>
            <w:tcBorders>
              <w:top w:val="nil"/>
              <w:left w:val="single" w:sz="4" w:space="0" w:color="FFFFFF"/>
              <w:bottom w:val="nil"/>
              <w:right w:val="single" w:sz="4" w:space="0" w:color="FFFFFF"/>
            </w:tcBorders>
            <w:shd w:val="clear" w:color="000000" w:fill="4B4B4B"/>
            <w:noWrap/>
            <w:vAlign w:val="center"/>
            <w:hideMark/>
          </w:tcPr>
          <w:p w14:paraId="40FE513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8,970</w:t>
            </w:r>
          </w:p>
        </w:tc>
        <w:tc>
          <w:tcPr>
            <w:tcW w:w="1552" w:type="dxa"/>
            <w:tcBorders>
              <w:top w:val="nil"/>
              <w:left w:val="single" w:sz="4" w:space="0" w:color="FFFFFF"/>
              <w:bottom w:val="nil"/>
              <w:right w:val="single" w:sz="4" w:space="0" w:color="FFFFFF"/>
            </w:tcBorders>
            <w:shd w:val="clear" w:color="000000" w:fill="AE91C4"/>
            <w:noWrap/>
            <w:vAlign w:val="center"/>
            <w:hideMark/>
          </w:tcPr>
          <w:p w14:paraId="777E750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2,487</w:t>
            </w:r>
          </w:p>
        </w:tc>
        <w:tc>
          <w:tcPr>
            <w:tcW w:w="1413" w:type="dxa"/>
            <w:tcBorders>
              <w:top w:val="nil"/>
              <w:left w:val="single" w:sz="4" w:space="0" w:color="FFFFFF"/>
              <w:bottom w:val="nil"/>
              <w:right w:val="single" w:sz="4" w:space="0" w:color="FFFFFF"/>
            </w:tcBorders>
            <w:shd w:val="clear" w:color="000000" w:fill="477CBF"/>
            <w:noWrap/>
            <w:vAlign w:val="center"/>
            <w:hideMark/>
          </w:tcPr>
          <w:p w14:paraId="495BB94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4,581</w:t>
            </w:r>
          </w:p>
        </w:tc>
        <w:tc>
          <w:tcPr>
            <w:tcW w:w="1028" w:type="dxa"/>
            <w:tcBorders>
              <w:top w:val="nil"/>
              <w:left w:val="single" w:sz="4" w:space="0" w:color="FFFFFF"/>
              <w:bottom w:val="nil"/>
              <w:right w:val="single" w:sz="4" w:space="0" w:color="FFFFFF"/>
            </w:tcBorders>
            <w:shd w:val="clear" w:color="000000" w:fill="E84599"/>
            <w:noWrap/>
            <w:vAlign w:val="center"/>
            <w:hideMark/>
          </w:tcPr>
          <w:p w14:paraId="5EDE98E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3,935</w:t>
            </w:r>
          </w:p>
        </w:tc>
        <w:tc>
          <w:tcPr>
            <w:tcW w:w="1171" w:type="dxa"/>
            <w:tcBorders>
              <w:top w:val="nil"/>
              <w:left w:val="single" w:sz="4" w:space="0" w:color="FFFFFF"/>
              <w:bottom w:val="nil"/>
              <w:right w:val="single" w:sz="4" w:space="0" w:color="FFFFFF"/>
            </w:tcBorders>
            <w:shd w:val="clear" w:color="000000" w:fill="FCB247"/>
            <w:noWrap/>
            <w:vAlign w:val="center"/>
            <w:hideMark/>
          </w:tcPr>
          <w:p w14:paraId="1C9CA8CB"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6,137</w:t>
            </w:r>
          </w:p>
        </w:tc>
        <w:tc>
          <w:tcPr>
            <w:tcW w:w="1071" w:type="dxa"/>
            <w:tcBorders>
              <w:top w:val="nil"/>
              <w:left w:val="single" w:sz="4" w:space="0" w:color="FFFFFF"/>
              <w:bottom w:val="nil"/>
              <w:right w:val="nil"/>
            </w:tcBorders>
            <w:shd w:val="clear" w:color="000000" w:fill="72C48F"/>
            <w:noWrap/>
            <w:vAlign w:val="center"/>
            <w:hideMark/>
          </w:tcPr>
          <w:p w14:paraId="4104232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5,003</w:t>
            </w:r>
          </w:p>
        </w:tc>
      </w:tr>
      <w:tr w:rsidR="00AA5882" w:rsidRPr="00554379" w14:paraId="0D8B9BBB"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10B91789" w14:textId="77777777" w:rsidR="003B7A84" w:rsidRPr="00554379" w:rsidRDefault="003B7A84" w:rsidP="00DE0C11">
            <w:pPr>
              <w:spacing w:after="0" w:line="240" w:lineRule="auto"/>
              <w:rPr>
                <w:rFonts w:ascii="Calibri" w:eastAsia="Times New Roman" w:hAnsi="Calibri" w:cs="Calibri"/>
                <w:b/>
                <w:bCs/>
              </w:rPr>
            </w:pPr>
            <w:r w:rsidRPr="00554379">
              <w:rPr>
                <w:rFonts w:ascii="Calibri" w:eastAsia="Times New Roman" w:hAnsi="Calibri" w:cs="Calibri"/>
                <w:b/>
                <w:bCs/>
              </w:rPr>
              <w:t>One Person Household</w:t>
            </w:r>
          </w:p>
        </w:tc>
        <w:tc>
          <w:tcPr>
            <w:tcW w:w="1098" w:type="dxa"/>
            <w:tcBorders>
              <w:top w:val="nil"/>
              <w:left w:val="single" w:sz="4" w:space="0" w:color="FFFFFF"/>
              <w:bottom w:val="nil"/>
              <w:right w:val="single" w:sz="4" w:space="0" w:color="FFFFFF"/>
            </w:tcBorders>
            <w:shd w:val="clear" w:color="000000" w:fill="4B4B4B"/>
            <w:noWrap/>
            <w:vAlign w:val="center"/>
            <w:hideMark/>
          </w:tcPr>
          <w:p w14:paraId="27C89CC4"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40,148</w:t>
            </w:r>
          </w:p>
        </w:tc>
        <w:tc>
          <w:tcPr>
            <w:tcW w:w="1552" w:type="dxa"/>
            <w:tcBorders>
              <w:top w:val="nil"/>
              <w:left w:val="single" w:sz="4" w:space="0" w:color="FFFFFF"/>
              <w:bottom w:val="nil"/>
              <w:right w:val="single" w:sz="4" w:space="0" w:color="FFFFFF"/>
            </w:tcBorders>
            <w:shd w:val="clear" w:color="000000" w:fill="AE91C4"/>
            <w:noWrap/>
            <w:vAlign w:val="center"/>
            <w:hideMark/>
          </w:tcPr>
          <w:p w14:paraId="5632D54E"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6,776</w:t>
            </w:r>
          </w:p>
        </w:tc>
        <w:tc>
          <w:tcPr>
            <w:tcW w:w="1413" w:type="dxa"/>
            <w:tcBorders>
              <w:top w:val="nil"/>
              <w:left w:val="single" w:sz="4" w:space="0" w:color="FFFFFF"/>
              <w:bottom w:val="nil"/>
              <w:right w:val="single" w:sz="4" w:space="0" w:color="FFFFFF"/>
            </w:tcBorders>
            <w:shd w:val="clear" w:color="000000" w:fill="477CBF"/>
            <w:noWrap/>
            <w:vAlign w:val="center"/>
            <w:hideMark/>
          </w:tcPr>
          <w:p w14:paraId="772E03D3"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15,090</w:t>
            </w:r>
          </w:p>
        </w:tc>
        <w:tc>
          <w:tcPr>
            <w:tcW w:w="1028" w:type="dxa"/>
            <w:tcBorders>
              <w:top w:val="nil"/>
              <w:left w:val="single" w:sz="4" w:space="0" w:color="FFFFFF"/>
              <w:bottom w:val="nil"/>
              <w:right w:val="single" w:sz="4" w:space="0" w:color="FFFFFF"/>
            </w:tcBorders>
            <w:shd w:val="clear" w:color="000000" w:fill="E84599"/>
            <w:noWrap/>
            <w:vAlign w:val="center"/>
            <w:hideMark/>
          </w:tcPr>
          <w:p w14:paraId="3B55A479"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11,784</w:t>
            </w:r>
          </w:p>
        </w:tc>
        <w:tc>
          <w:tcPr>
            <w:tcW w:w="1171" w:type="dxa"/>
            <w:tcBorders>
              <w:top w:val="nil"/>
              <w:left w:val="single" w:sz="4" w:space="0" w:color="FFFFFF"/>
              <w:bottom w:val="nil"/>
              <w:right w:val="single" w:sz="4" w:space="0" w:color="FFFFFF"/>
            </w:tcBorders>
            <w:shd w:val="clear" w:color="000000" w:fill="FCB247"/>
            <w:noWrap/>
            <w:vAlign w:val="center"/>
            <w:hideMark/>
          </w:tcPr>
          <w:p w14:paraId="5F93824F"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14,804</w:t>
            </w:r>
          </w:p>
        </w:tc>
        <w:tc>
          <w:tcPr>
            <w:tcW w:w="1071" w:type="dxa"/>
            <w:tcBorders>
              <w:top w:val="nil"/>
              <w:left w:val="single" w:sz="4" w:space="0" w:color="FFFFFF"/>
              <w:bottom w:val="nil"/>
              <w:right w:val="nil"/>
            </w:tcBorders>
            <w:shd w:val="clear" w:color="000000" w:fill="72C48F"/>
            <w:noWrap/>
            <w:vAlign w:val="center"/>
            <w:hideMark/>
          </w:tcPr>
          <w:p w14:paraId="38FAEE10"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18,600</w:t>
            </w:r>
          </w:p>
        </w:tc>
      </w:tr>
      <w:tr w:rsidR="00AA5882" w:rsidRPr="00554379" w14:paraId="46AD5467"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3FE20616"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Aged 65 and over</w:t>
            </w:r>
          </w:p>
        </w:tc>
        <w:tc>
          <w:tcPr>
            <w:tcW w:w="1098" w:type="dxa"/>
            <w:tcBorders>
              <w:top w:val="nil"/>
              <w:left w:val="single" w:sz="4" w:space="0" w:color="FFFFFF"/>
              <w:bottom w:val="nil"/>
              <w:right w:val="single" w:sz="4" w:space="0" w:color="FFFFFF"/>
            </w:tcBorders>
            <w:shd w:val="clear" w:color="000000" w:fill="4B4B4B"/>
            <w:noWrap/>
            <w:vAlign w:val="center"/>
            <w:hideMark/>
          </w:tcPr>
          <w:p w14:paraId="5D1059D3"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15,353</w:t>
            </w:r>
          </w:p>
        </w:tc>
        <w:tc>
          <w:tcPr>
            <w:tcW w:w="1552" w:type="dxa"/>
            <w:tcBorders>
              <w:top w:val="nil"/>
              <w:left w:val="single" w:sz="4" w:space="0" w:color="FFFFFF"/>
              <w:bottom w:val="nil"/>
              <w:right w:val="single" w:sz="4" w:space="0" w:color="FFFFFF"/>
            </w:tcBorders>
            <w:shd w:val="clear" w:color="000000" w:fill="AE91C4"/>
            <w:noWrap/>
            <w:vAlign w:val="center"/>
            <w:hideMark/>
          </w:tcPr>
          <w:p w14:paraId="5752D9B4"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3,120</w:t>
            </w:r>
          </w:p>
        </w:tc>
        <w:tc>
          <w:tcPr>
            <w:tcW w:w="1413" w:type="dxa"/>
            <w:tcBorders>
              <w:top w:val="nil"/>
              <w:left w:val="single" w:sz="4" w:space="0" w:color="FFFFFF"/>
              <w:bottom w:val="nil"/>
              <w:right w:val="single" w:sz="4" w:space="0" w:color="FFFFFF"/>
            </w:tcBorders>
            <w:shd w:val="clear" w:color="000000" w:fill="477CBF"/>
            <w:noWrap/>
            <w:vAlign w:val="center"/>
            <w:hideMark/>
          </w:tcPr>
          <w:p w14:paraId="2076B75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6,432</w:t>
            </w:r>
          </w:p>
        </w:tc>
        <w:tc>
          <w:tcPr>
            <w:tcW w:w="1028" w:type="dxa"/>
            <w:tcBorders>
              <w:top w:val="nil"/>
              <w:left w:val="single" w:sz="4" w:space="0" w:color="FFFFFF"/>
              <w:bottom w:val="nil"/>
              <w:right w:val="single" w:sz="4" w:space="0" w:color="FFFFFF"/>
            </w:tcBorders>
            <w:shd w:val="clear" w:color="000000" w:fill="E84599"/>
            <w:noWrap/>
            <w:vAlign w:val="center"/>
            <w:hideMark/>
          </w:tcPr>
          <w:p w14:paraId="056556F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4,979</w:t>
            </w:r>
          </w:p>
        </w:tc>
        <w:tc>
          <w:tcPr>
            <w:tcW w:w="1171" w:type="dxa"/>
            <w:tcBorders>
              <w:top w:val="nil"/>
              <w:left w:val="single" w:sz="4" w:space="0" w:color="FFFFFF"/>
              <w:bottom w:val="nil"/>
              <w:right w:val="single" w:sz="4" w:space="0" w:color="FFFFFF"/>
            </w:tcBorders>
            <w:shd w:val="clear" w:color="000000" w:fill="FCB247"/>
            <w:noWrap/>
            <w:vAlign w:val="center"/>
            <w:hideMark/>
          </w:tcPr>
          <w:p w14:paraId="1BC6C01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7,482</w:t>
            </w:r>
          </w:p>
        </w:tc>
        <w:tc>
          <w:tcPr>
            <w:tcW w:w="1071" w:type="dxa"/>
            <w:tcBorders>
              <w:top w:val="nil"/>
              <w:left w:val="single" w:sz="4" w:space="0" w:color="FFFFFF"/>
              <w:bottom w:val="nil"/>
              <w:right w:val="nil"/>
            </w:tcBorders>
            <w:shd w:val="clear" w:color="000000" w:fill="72C48F"/>
            <w:noWrap/>
            <w:vAlign w:val="center"/>
            <w:hideMark/>
          </w:tcPr>
          <w:p w14:paraId="32C4E5B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7,196</w:t>
            </w:r>
          </w:p>
        </w:tc>
      </w:tr>
      <w:tr w:rsidR="00AA5882" w:rsidRPr="00554379" w14:paraId="4119F77D"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028BD2BB"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Other</w:t>
            </w:r>
          </w:p>
        </w:tc>
        <w:tc>
          <w:tcPr>
            <w:tcW w:w="1098" w:type="dxa"/>
            <w:tcBorders>
              <w:top w:val="nil"/>
              <w:left w:val="single" w:sz="4" w:space="0" w:color="FFFFFF"/>
              <w:bottom w:val="nil"/>
              <w:right w:val="single" w:sz="4" w:space="0" w:color="FFFFFF"/>
            </w:tcBorders>
            <w:shd w:val="clear" w:color="000000" w:fill="4B4B4B"/>
            <w:noWrap/>
            <w:vAlign w:val="center"/>
            <w:hideMark/>
          </w:tcPr>
          <w:p w14:paraId="4920053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24,795</w:t>
            </w:r>
          </w:p>
        </w:tc>
        <w:tc>
          <w:tcPr>
            <w:tcW w:w="1552" w:type="dxa"/>
            <w:tcBorders>
              <w:top w:val="nil"/>
              <w:left w:val="single" w:sz="4" w:space="0" w:color="FFFFFF"/>
              <w:bottom w:val="nil"/>
              <w:right w:val="single" w:sz="4" w:space="0" w:color="FFFFFF"/>
            </w:tcBorders>
            <w:shd w:val="clear" w:color="000000" w:fill="AE91C4"/>
            <w:noWrap/>
            <w:vAlign w:val="center"/>
            <w:hideMark/>
          </w:tcPr>
          <w:p w14:paraId="6C74A1B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3,656</w:t>
            </w:r>
          </w:p>
        </w:tc>
        <w:tc>
          <w:tcPr>
            <w:tcW w:w="1413" w:type="dxa"/>
            <w:tcBorders>
              <w:top w:val="nil"/>
              <w:left w:val="single" w:sz="4" w:space="0" w:color="FFFFFF"/>
              <w:bottom w:val="nil"/>
              <w:right w:val="single" w:sz="4" w:space="0" w:color="FFFFFF"/>
            </w:tcBorders>
            <w:shd w:val="clear" w:color="000000" w:fill="477CBF"/>
            <w:noWrap/>
            <w:vAlign w:val="center"/>
            <w:hideMark/>
          </w:tcPr>
          <w:p w14:paraId="516CC3B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8,658</w:t>
            </w:r>
          </w:p>
        </w:tc>
        <w:tc>
          <w:tcPr>
            <w:tcW w:w="1028" w:type="dxa"/>
            <w:tcBorders>
              <w:top w:val="nil"/>
              <w:left w:val="single" w:sz="4" w:space="0" w:color="FFFFFF"/>
              <w:bottom w:val="nil"/>
              <w:right w:val="single" w:sz="4" w:space="0" w:color="FFFFFF"/>
            </w:tcBorders>
            <w:shd w:val="clear" w:color="000000" w:fill="E84599"/>
            <w:noWrap/>
            <w:vAlign w:val="center"/>
            <w:hideMark/>
          </w:tcPr>
          <w:p w14:paraId="549C51D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6,805</w:t>
            </w:r>
          </w:p>
        </w:tc>
        <w:tc>
          <w:tcPr>
            <w:tcW w:w="1171" w:type="dxa"/>
            <w:tcBorders>
              <w:top w:val="nil"/>
              <w:left w:val="single" w:sz="4" w:space="0" w:color="FFFFFF"/>
              <w:bottom w:val="nil"/>
              <w:right w:val="single" w:sz="4" w:space="0" w:color="FFFFFF"/>
            </w:tcBorders>
            <w:shd w:val="clear" w:color="000000" w:fill="FCB247"/>
            <w:noWrap/>
            <w:vAlign w:val="center"/>
            <w:hideMark/>
          </w:tcPr>
          <w:p w14:paraId="0BFB83B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7,322</w:t>
            </w:r>
          </w:p>
        </w:tc>
        <w:tc>
          <w:tcPr>
            <w:tcW w:w="1071" w:type="dxa"/>
            <w:tcBorders>
              <w:top w:val="nil"/>
              <w:left w:val="single" w:sz="4" w:space="0" w:color="FFFFFF"/>
              <w:bottom w:val="nil"/>
              <w:right w:val="nil"/>
            </w:tcBorders>
            <w:shd w:val="clear" w:color="000000" w:fill="72C48F"/>
            <w:noWrap/>
            <w:vAlign w:val="center"/>
            <w:hideMark/>
          </w:tcPr>
          <w:p w14:paraId="4AF8AD3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11,404</w:t>
            </w:r>
          </w:p>
        </w:tc>
      </w:tr>
      <w:tr w:rsidR="00AA5882" w:rsidRPr="00554379" w14:paraId="61DA4C80"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1C384E74" w14:textId="77777777" w:rsidR="003B7A84" w:rsidRPr="00554379" w:rsidRDefault="003B7A84" w:rsidP="00DE0C11">
            <w:pPr>
              <w:spacing w:after="0" w:line="240" w:lineRule="auto"/>
              <w:rPr>
                <w:rFonts w:ascii="Calibri" w:eastAsia="Times New Roman" w:hAnsi="Calibri" w:cs="Calibri"/>
                <w:b/>
                <w:bCs/>
              </w:rPr>
            </w:pPr>
            <w:r w:rsidRPr="00554379">
              <w:rPr>
                <w:rFonts w:ascii="Calibri" w:eastAsia="Times New Roman" w:hAnsi="Calibri" w:cs="Calibri"/>
                <w:b/>
                <w:bCs/>
              </w:rPr>
              <w:t>Other Household Type</w:t>
            </w:r>
          </w:p>
        </w:tc>
        <w:tc>
          <w:tcPr>
            <w:tcW w:w="1098" w:type="dxa"/>
            <w:tcBorders>
              <w:top w:val="nil"/>
              <w:left w:val="single" w:sz="4" w:space="0" w:color="FFFFFF"/>
              <w:bottom w:val="nil"/>
              <w:right w:val="single" w:sz="4" w:space="0" w:color="FFFFFF"/>
            </w:tcBorders>
            <w:shd w:val="clear" w:color="000000" w:fill="4B4B4B"/>
            <w:noWrap/>
            <w:vAlign w:val="center"/>
            <w:hideMark/>
          </w:tcPr>
          <w:p w14:paraId="37267C07"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13,258</w:t>
            </w:r>
          </w:p>
        </w:tc>
        <w:tc>
          <w:tcPr>
            <w:tcW w:w="1552" w:type="dxa"/>
            <w:tcBorders>
              <w:top w:val="nil"/>
              <w:left w:val="single" w:sz="4" w:space="0" w:color="FFFFFF"/>
              <w:bottom w:val="nil"/>
              <w:right w:val="single" w:sz="4" w:space="0" w:color="FFFFFF"/>
            </w:tcBorders>
            <w:shd w:val="clear" w:color="000000" w:fill="AE91C4"/>
            <w:noWrap/>
            <w:vAlign w:val="center"/>
            <w:hideMark/>
          </w:tcPr>
          <w:p w14:paraId="5A70E1BF"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1,327</w:t>
            </w:r>
          </w:p>
        </w:tc>
        <w:tc>
          <w:tcPr>
            <w:tcW w:w="1413" w:type="dxa"/>
            <w:tcBorders>
              <w:top w:val="nil"/>
              <w:left w:val="single" w:sz="4" w:space="0" w:color="FFFFFF"/>
              <w:bottom w:val="nil"/>
              <w:right w:val="single" w:sz="4" w:space="0" w:color="FFFFFF"/>
            </w:tcBorders>
            <w:shd w:val="clear" w:color="000000" w:fill="477CBF"/>
            <w:noWrap/>
            <w:vAlign w:val="center"/>
            <w:hideMark/>
          </w:tcPr>
          <w:p w14:paraId="379147FC"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2,901</w:t>
            </w:r>
          </w:p>
        </w:tc>
        <w:tc>
          <w:tcPr>
            <w:tcW w:w="1028" w:type="dxa"/>
            <w:tcBorders>
              <w:top w:val="nil"/>
              <w:left w:val="single" w:sz="4" w:space="0" w:color="FFFFFF"/>
              <w:bottom w:val="nil"/>
              <w:right w:val="single" w:sz="4" w:space="0" w:color="FFFFFF"/>
            </w:tcBorders>
            <w:shd w:val="clear" w:color="000000" w:fill="E84599"/>
            <w:noWrap/>
            <w:vAlign w:val="center"/>
            <w:hideMark/>
          </w:tcPr>
          <w:p w14:paraId="5B836217"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2,597</w:t>
            </w:r>
          </w:p>
        </w:tc>
        <w:tc>
          <w:tcPr>
            <w:tcW w:w="1171" w:type="dxa"/>
            <w:tcBorders>
              <w:top w:val="nil"/>
              <w:left w:val="single" w:sz="4" w:space="0" w:color="FFFFFF"/>
              <w:bottom w:val="nil"/>
              <w:right w:val="single" w:sz="4" w:space="0" w:color="FFFFFF"/>
            </w:tcBorders>
            <w:shd w:val="clear" w:color="000000" w:fill="FCB247"/>
            <w:noWrap/>
            <w:vAlign w:val="center"/>
            <w:hideMark/>
          </w:tcPr>
          <w:p w14:paraId="5A56FA80"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2,626</w:t>
            </w:r>
          </w:p>
        </w:tc>
        <w:tc>
          <w:tcPr>
            <w:tcW w:w="1071" w:type="dxa"/>
            <w:tcBorders>
              <w:top w:val="nil"/>
              <w:left w:val="single" w:sz="4" w:space="0" w:color="FFFFFF"/>
              <w:bottom w:val="nil"/>
              <w:right w:val="nil"/>
            </w:tcBorders>
            <w:shd w:val="clear" w:color="000000" w:fill="72C48F"/>
            <w:noWrap/>
            <w:vAlign w:val="center"/>
            <w:hideMark/>
          </w:tcPr>
          <w:p w14:paraId="55D4DACA"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4,676</w:t>
            </w:r>
          </w:p>
        </w:tc>
      </w:tr>
      <w:tr w:rsidR="00AA5882" w:rsidRPr="00554379" w14:paraId="58753B60"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0EB5B188"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All aged 65 and over</w:t>
            </w:r>
          </w:p>
        </w:tc>
        <w:tc>
          <w:tcPr>
            <w:tcW w:w="1098" w:type="dxa"/>
            <w:tcBorders>
              <w:top w:val="nil"/>
              <w:left w:val="single" w:sz="4" w:space="0" w:color="FFFFFF"/>
              <w:bottom w:val="nil"/>
              <w:right w:val="single" w:sz="4" w:space="0" w:color="FFFFFF"/>
            </w:tcBorders>
            <w:shd w:val="clear" w:color="000000" w:fill="4B4B4B"/>
            <w:noWrap/>
            <w:vAlign w:val="center"/>
            <w:hideMark/>
          </w:tcPr>
          <w:p w14:paraId="6B685883"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302</w:t>
            </w:r>
          </w:p>
        </w:tc>
        <w:tc>
          <w:tcPr>
            <w:tcW w:w="1552" w:type="dxa"/>
            <w:tcBorders>
              <w:top w:val="nil"/>
              <w:left w:val="single" w:sz="4" w:space="0" w:color="FFFFFF"/>
              <w:bottom w:val="nil"/>
              <w:right w:val="single" w:sz="4" w:space="0" w:color="FFFFFF"/>
            </w:tcBorders>
            <w:shd w:val="clear" w:color="000000" w:fill="AE91C4"/>
            <w:noWrap/>
            <w:vAlign w:val="center"/>
            <w:hideMark/>
          </w:tcPr>
          <w:p w14:paraId="1D189CF1"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66</w:t>
            </w:r>
          </w:p>
        </w:tc>
        <w:tc>
          <w:tcPr>
            <w:tcW w:w="1413" w:type="dxa"/>
            <w:tcBorders>
              <w:top w:val="nil"/>
              <w:left w:val="single" w:sz="4" w:space="0" w:color="FFFFFF"/>
              <w:bottom w:val="nil"/>
              <w:right w:val="single" w:sz="4" w:space="0" w:color="FFFFFF"/>
            </w:tcBorders>
            <w:shd w:val="clear" w:color="000000" w:fill="477CBF"/>
            <w:noWrap/>
            <w:vAlign w:val="center"/>
            <w:hideMark/>
          </w:tcPr>
          <w:p w14:paraId="54498D0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136</w:t>
            </w:r>
          </w:p>
        </w:tc>
        <w:tc>
          <w:tcPr>
            <w:tcW w:w="1028" w:type="dxa"/>
            <w:tcBorders>
              <w:top w:val="nil"/>
              <w:left w:val="single" w:sz="4" w:space="0" w:color="FFFFFF"/>
              <w:bottom w:val="nil"/>
              <w:right w:val="single" w:sz="4" w:space="0" w:color="FFFFFF"/>
            </w:tcBorders>
            <w:shd w:val="clear" w:color="000000" w:fill="E84599"/>
            <w:noWrap/>
            <w:vAlign w:val="center"/>
            <w:hideMark/>
          </w:tcPr>
          <w:p w14:paraId="24B56B8B"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123</w:t>
            </w:r>
          </w:p>
        </w:tc>
        <w:tc>
          <w:tcPr>
            <w:tcW w:w="1171" w:type="dxa"/>
            <w:tcBorders>
              <w:top w:val="nil"/>
              <w:left w:val="single" w:sz="4" w:space="0" w:color="FFFFFF"/>
              <w:bottom w:val="nil"/>
              <w:right w:val="single" w:sz="4" w:space="0" w:color="FFFFFF"/>
            </w:tcBorders>
            <w:shd w:val="clear" w:color="000000" w:fill="FCB247"/>
            <w:noWrap/>
            <w:vAlign w:val="center"/>
            <w:hideMark/>
          </w:tcPr>
          <w:p w14:paraId="5EEB66F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176</w:t>
            </w:r>
          </w:p>
        </w:tc>
        <w:tc>
          <w:tcPr>
            <w:tcW w:w="1071" w:type="dxa"/>
            <w:tcBorders>
              <w:top w:val="nil"/>
              <w:left w:val="single" w:sz="4" w:space="0" w:color="FFFFFF"/>
              <w:bottom w:val="nil"/>
              <w:right w:val="nil"/>
            </w:tcBorders>
            <w:shd w:val="clear" w:color="000000" w:fill="72C48F"/>
            <w:noWrap/>
            <w:vAlign w:val="center"/>
            <w:hideMark/>
          </w:tcPr>
          <w:p w14:paraId="07DA302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138</w:t>
            </w:r>
          </w:p>
        </w:tc>
      </w:tr>
      <w:tr w:rsidR="00AA5882" w:rsidRPr="00554379" w14:paraId="60C6E1F7"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2473C677"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All full-time Students</w:t>
            </w:r>
          </w:p>
        </w:tc>
        <w:tc>
          <w:tcPr>
            <w:tcW w:w="1098" w:type="dxa"/>
            <w:tcBorders>
              <w:top w:val="nil"/>
              <w:left w:val="single" w:sz="4" w:space="0" w:color="FFFFFF"/>
              <w:bottom w:val="nil"/>
              <w:right w:val="single" w:sz="4" w:space="0" w:color="FFFFFF"/>
            </w:tcBorders>
            <w:shd w:val="clear" w:color="000000" w:fill="4B4B4B"/>
            <w:noWrap/>
            <w:vAlign w:val="center"/>
            <w:hideMark/>
          </w:tcPr>
          <w:p w14:paraId="08918EFD"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2,823</w:t>
            </w:r>
          </w:p>
        </w:tc>
        <w:tc>
          <w:tcPr>
            <w:tcW w:w="1552" w:type="dxa"/>
            <w:tcBorders>
              <w:top w:val="nil"/>
              <w:left w:val="single" w:sz="4" w:space="0" w:color="FFFFFF"/>
              <w:bottom w:val="nil"/>
              <w:right w:val="single" w:sz="4" w:space="0" w:color="FFFFFF"/>
            </w:tcBorders>
            <w:shd w:val="clear" w:color="000000" w:fill="AE91C4"/>
            <w:noWrap/>
            <w:vAlign w:val="center"/>
            <w:hideMark/>
          </w:tcPr>
          <w:p w14:paraId="5327258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w:t>
            </w:r>
          </w:p>
        </w:tc>
        <w:tc>
          <w:tcPr>
            <w:tcW w:w="1413" w:type="dxa"/>
            <w:tcBorders>
              <w:top w:val="nil"/>
              <w:left w:val="single" w:sz="4" w:space="0" w:color="FFFFFF"/>
              <w:bottom w:val="nil"/>
              <w:right w:val="single" w:sz="4" w:space="0" w:color="FFFFFF"/>
            </w:tcBorders>
            <w:shd w:val="clear" w:color="000000" w:fill="477CBF"/>
            <w:noWrap/>
            <w:vAlign w:val="center"/>
            <w:hideMark/>
          </w:tcPr>
          <w:p w14:paraId="1FD7669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8</w:t>
            </w:r>
          </w:p>
        </w:tc>
        <w:tc>
          <w:tcPr>
            <w:tcW w:w="1028" w:type="dxa"/>
            <w:tcBorders>
              <w:top w:val="nil"/>
              <w:left w:val="single" w:sz="4" w:space="0" w:color="FFFFFF"/>
              <w:bottom w:val="nil"/>
              <w:right w:val="single" w:sz="4" w:space="0" w:color="FFFFFF"/>
            </w:tcBorders>
            <w:shd w:val="clear" w:color="000000" w:fill="E84599"/>
            <w:noWrap/>
            <w:vAlign w:val="center"/>
            <w:hideMark/>
          </w:tcPr>
          <w:p w14:paraId="258676D5"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13</w:t>
            </w:r>
          </w:p>
        </w:tc>
        <w:tc>
          <w:tcPr>
            <w:tcW w:w="1171" w:type="dxa"/>
            <w:tcBorders>
              <w:top w:val="nil"/>
              <w:left w:val="single" w:sz="4" w:space="0" w:color="FFFFFF"/>
              <w:bottom w:val="nil"/>
              <w:right w:val="single" w:sz="4" w:space="0" w:color="FFFFFF"/>
            </w:tcBorders>
            <w:shd w:val="clear" w:color="000000" w:fill="FCB247"/>
            <w:noWrap/>
            <w:vAlign w:val="center"/>
            <w:hideMark/>
          </w:tcPr>
          <w:p w14:paraId="32899F0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40</w:t>
            </w:r>
          </w:p>
        </w:tc>
        <w:tc>
          <w:tcPr>
            <w:tcW w:w="1071" w:type="dxa"/>
            <w:tcBorders>
              <w:top w:val="nil"/>
              <w:left w:val="single" w:sz="4" w:space="0" w:color="FFFFFF"/>
              <w:bottom w:val="nil"/>
              <w:right w:val="nil"/>
            </w:tcBorders>
            <w:shd w:val="clear" w:color="000000" w:fill="72C48F"/>
            <w:noWrap/>
            <w:vAlign w:val="center"/>
            <w:hideMark/>
          </w:tcPr>
          <w:p w14:paraId="64A6744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977</w:t>
            </w:r>
          </w:p>
        </w:tc>
      </w:tr>
      <w:tr w:rsidR="00AA5882" w:rsidRPr="00554379" w14:paraId="1B09EC77"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48D7A057"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Other</w:t>
            </w:r>
          </w:p>
        </w:tc>
        <w:tc>
          <w:tcPr>
            <w:tcW w:w="1098" w:type="dxa"/>
            <w:tcBorders>
              <w:top w:val="nil"/>
              <w:left w:val="single" w:sz="4" w:space="0" w:color="FFFFFF"/>
              <w:bottom w:val="nil"/>
              <w:right w:val="single" w:sz="4" w:space="0" w:color="FFFFFF"/>
            </w:tcBorders>
            <w:shd w:val="clear" w:color="000000" w:fill="4B4B4B"/>
            <w:noWrap/>
            <w:vAlign w:val="center"/>
            <w:hideMark/>
          </w:tcPr>
          <w:p w14:paraId="132EFAC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6,009</w:t>
            </w:r>
          </w:p>
        </w:tc>
        <w:tc>
          <w:tcPr>
            <w:tcW w:w="1552" w:type="dxa"/>
            <w:tcBorders>
              <w:top w:val="nil"/>
              <w:left w:val="single" w:sz="4" w:space="0" w:color="FFFFFF"/>
              <w:bottom w:val="nil"/>
              <w:right w:val="single" w:sz="4" w:space="0" w:color="FFFFFF"/>
            </w:tcBorders>
            <w:shd w:val="clear" w:color="000000" w:fill="AE91C4"/>
            <w:noWrap/>
            <w:vAlign w:val="center"/>
            <w:hideMark/>
          </w:tcPr>
          <w:p w14:paraId="0C568D1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708</w:t>
            </w:r>
          </w:p>
        </w:tc>
        <w:tc>
          <w:tcPr>
            <w:tcW w:w="1413" w:type="dxa"/>
            <w:tcBorders>
              <w:top w:val="nil"/>
              <w:left w:val="single" w:sz="4" w:space="0" w:color="FFFFFF"/>
              <w:bottom w:val="nil"/>
              <w:right w:val="single" w:sz="4" w:space="0" w:color="FFFFFF"/>
            </w:tcBorders>
            <w:shd w:val="clear" w:color="000000" w:fill="477CBF"/>
            <w:noWrap/>
            <w:vAlign w:val="center"/>
            <w:hideMark/>
          </w:tcPr>
          <w:p w14:paraId="6F6F7010"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1,570</w:t>
            </w:r>
          </w:p>
        </w:tc>
        <w:tc>
          <w:tcPr>
            <w:tcW w:w="1028" w:type="dxa"/>
            <w:tcBorders>
              <w:top w:val="nil"/>
              <w:left w:val="single" w:sz="4" w:space="0" w:color="FFFFFF"/>
              <w:bottom w:val="nil"/>
              <w:right w:val="single" w:sz="4" w:space="0" w:color="FFFFFF"/>
            </w:tcBorders>
            <w:shd w:val="clear" w:color="000000" w:fill="E84599"/>
            <w:noWrap/>
            <w:vAlign w:val="center"/>
            <w:hideMark/>
          </w:tcPr>
          <w:p w14:paraId="212B054F"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1,558</w:t>
            </w:r>
          </w:p>
        </w:tc>
        <w:tc>
          <w:tcPr>
            <w:tcW w:w="1171" w:type="dxa"/>
            <w:tcBorders>
              <w:top w:val="nil"/>
              <w:left w:val="single" w:sz="4" w:space="0" w:color="FFFFFF"/>
              <w:bottom w:val="nil"/>
              <w:right w:val="single" w:sz="4" w:space="0" w:color="FFFFFF"/>
            </w:tcBorders>
            <w:shd w:val="clear" w:color="000000" w:fill="FCB247"/>
            <w:noWrap/>
            <w:vAlign w:val="center"/>
            <w:hideMark/>
          </w:tcPr>
          <w:p w14:paraId="0A7765F8"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1,621</w:t>
            </w:r>
          </w:p>
        </w:tc>
        <w:tc>
          <w:tcPr>
            <w:tcW w:w="1071" w:type="dxa"/>
            <w:tcBorders>
              <w:top w:val="nil"/>
              <w:left w:val="single" w:sz="4" w:space="0" w:color="FFFFFF"/>
              <w:bottom w:val="nil"/>
              <w:right w:val="nil"/>
            </w:tcBorders>
            <w:shd w:val="clear" w:color="000000" w:fill="72C48F"/>
            <w:noWrap/>
            <w:vAlign w:val="center"/>
            <w:hideMark/>
          </w:tcPr>
          <w:p w14:paraId="218F8C66"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2,331</w:t>
            </w:r>
          </w:p>
        </w:tc>
      </w:tr>
      <w:tr w:rsidR="00AA5882" w:rsidRPr="00554379" w14:paraId="4DBD782D"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66C148AD" w14:textId="77777777" w:rsidR="003B7A84" w:rsidRPr="00554379" w:rsidRDefault="003B7A84" w:rsidP="00DE0C11">
            <w:pPr>
              <w:spacing w:after="0" w:line="240" w:lineRule="auto"/>
              <w:ind w:firstLineChars="100" w:firstLine="240"/>
              <w:rPr>
                <w:rFonts w:ascii="Calibri" w:eastAsia="Times New Roman" w:hAnsi="Calibri" w:cs="Calibri"/>
              </w:rPr>
            </w:pPr>
            <w:r w:rsidRPr="00554379">
              <w:rPr>
                <w:rFonts w:ascii="Calibri" w:eastAsia="Times New Roman" w:hAnsi="Calibri" w:cs="Calibri"/>
              </w:rPr>
              <w:t>With dependent children</w:t>
            </w:r>
          </w:p>
        </w:tc>
        <w:tc>
          <w:tcPr>
            <w:tcW w:w="1098" w:type="dxa"/>
            <w:tcBorders>
              <w:top w:val="nil"/>
              <w:left w:val="single" w:sz="4" w:space="0" w:color="FFFFFF"/>
              <w:bottom w:val="nil"/>
              <w:right w:val="single" w:sz="4" w:space="0" w:color="FFFFFF"/>
            </w:tcBorders>
            <w:shd w:val="clear" w:color="000000" w:fill="4B4B4B"/>
            <w:noWrap/>
            <w:vAlign w:val="center"/>
            <w:hideMark/>
          </w:tcPr>
          <w:p w14:paraId="200DFE93"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4,124</w:t>
            </w:r>
          </w:p>
        </w:tc>
        <w:tc>
          <w:tcPr>
            <w:tcW w:w="1552" w:type="dxa"/>
            <w:tcBorders>
              <w:top w:val="nil"/>
              <w:left w:val="single" w:sz="4" w:space="0" w:color="FFFFFF"/>
              <w:bottom w:val="nil"/>
              <w:right w:val="single" w:sz="4" w:space="0" w:color="FFFFFF"/>
            </w:tcBorders>
            <w:shd w:val="clear" w:color="000000" w:fill="AE91C4"/>
            <w:noWrap/>
            <w:vAlign w:val="center"/>
            <w:hideMark/>
          </w:tcPr>
          <w:p w14:paraId="53EC0C31"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552</w:t>
            </w:r>
          </w:p>
        </w:tc>
        <w:tc>
          <w:tcPr>
            <w:tcW w:w="1413" w:type="dxa"/>
            <w:tcBorders>
              <w:top w:val="nil"/>
              <w:left w:val="single" w:sz="4" w:space="0" w:color="FFFFFF"/>
              <w:bottom w:val="nil"/>
              <w:right w:val="single" w:sz="4" w:space="0" w:color="FFFFFF"/>
            </w:tcBorders>
            <w:shd w:val="clear" w:color="000000" w:fill="477CBF"/>
            <w:noWrap/>
            <w:vAlign w:val="center"/>
            <w:hideMark/>
          </w:tcPr>
          <w:p w14:paraId="219C95E2"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1,187</w:t>
            </w:r>
          </w:p>
        </w:tc>
        <w:tc>
          <w:tcPr>
            <w:tcW w:w="1028" w:type="dxa"/>
            <w:tcBorders>
              <w:top w:val="nil"/>
              <w:left w:val="single" w:sz="4" w:space="0" w:color="FFFFFF"/>
              <w:bottom w:val="nil"/>
              <w:right w:val="single" w:sz="4" w:space="0" w:color="FFFFFF"/>
            </w:tcBorders>
            <w:shd w:val="clear" w:color="000000" w:fill="E84599"/>
            <w:noWrap/>
            <w:vAlign w:val="center"/>
            <w:hideMark/>
          </w:tcPr>
          <w:p w14:paraId="0F2ED007"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903</w:t>
            </w:r>
          </w:p>
        </w:tc>
        <w:tc>
          <w:tcPr>
            <w:tcW w:w="1171" w:type="dxa"/>
            <w:tcBorders>
              <w:top w:val="nil"/>
              <w:left w:val="single" w:sz="4" w:space="0" w:color="FFFFFF"/>
              <w:bottom w:val="nil"/>
              <w:right w:val="single" w:sz="4" w:space="0" w:color="FFFFFF"/>
            </w:tcBorders>
            <w:shd w:val="clear" w:color="000000" w:fill="FCB247"/>
            <w:noWrap/>
            <w:vAlign w:val="center"/>
            <w:hideMark/>
          </w:tcPr>
          <w:p w14:paraId="11EF569E"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789</w:t>
            </w:r>
          </w:p>
        </w:tc>
        <w:tc>
          <w:tcPr>
            <w:tcW w:w="1071" w:type="dxa"/>
            <w:tcBorders>
              <w:top w:val="nil"/>
              <w:left w:val="single" w:sz="4" w:space="0" w:color="FFFFFF"/>
              <w:bottom w:val="nil"/>
              <w:right w:val="nil"/>
            </w:tcBorders>
            <w:shd w:val="clear" w:color="000000" w:fill="72C48F"/>
            <w:noWrap/>
            <w:vAlign w:val="center"/>
            <w:hideMark/>
          </w:tcPr>
          <w:p w14:paraId="25DA961C" w14:textId="77777777" w:rsidR="003B7A84" w:rsidRPr="00554379" w:rsidRDefault="003B7A84" w:rsidP="00DE0C11">
            <w:pPr>
              <w:spacing w:after="0" w:line="240" w:lineRule="auto"/>
              <w:jc w:val="center"/>
              <w:rPr>
                <w:rFonts w:ascii="Calibri" w:eastAsia="Times New Roman" w:hAnsi="Calibri" w:cs="Calibri"/>
                <w:color w:val="FFFFFF"/>
              </w:rPr>
            </w:pPr>
            <w:r w:rsidRPr="00554379">
              <w:rPr>
                <w:rFonts w:ascii="Calibri" w:eastAsia="Times New Roman" w:hAnsi="Calibri" w:cs="Calibri"/>
                <w:color w:val="FFFFFF"/>
              </w:rPr>
              <w:t>1,230</w:t>
            </w:r>
          </w:p>
        </w:tc>
      </w:tr>
      <w:tr w:rsidR="00AA5882" w:rsidRPr="00554379" w14:paraId="38C4B769" w14:textId="77777777" w:rsidTr="00446348">
        <w:trPr>
          <w:trHeight w:val="235"/>
        </w:trPr>
        <w:tc>
          <w:tcPr>
            <w:tcW w:w="4213" w:type="dxa"/>
            <w:tcBorders>
              <w:top w:val="nil"/>
              <w:left w:val="nil"/>
              <w:bottom w:val="nil"/>
              <w:right w:val="single" w:sz="4" w:space="0" w:color="FFFFFF"/>
            </w:tcBorders>
            <w:shd w:val="clear" w:color="000000" w:fill="E7E6E6"/>
            <w:noWrap/>
            <w:vAlign w:val="bottom"/>
            <w:hideMark/>
          </w:tcPr>
          <w:p w14:paraId="78B8458A" w14:textId="77777777" w:rsidR="003B7A84" w:rsidRPr="00554379" w:rsidRDefault="003B7A84" w:rsidP="00DE0C11">
            <w:pPr>
              <w:spacing w:after="0" w:line="240" w:lineRule="auto"/>
              <w:jc w:val="right"/>
              <w:rPr>
                <w:rFonts w:ascii="Calibri" w:eastAsia="Times New Roman" w:hAnsi="Calibri" w:cs="Calibri"/>
                <w:b/>
                <w:bCs/>
              </w:rPr>
            </w:pPr>
            <w:r w:rsidRPr="00554379">
              <w:rPr>
                <w:rFonts w:ascii="Calibri" w:eastAsia="Times New Roman" w:hAnsi="Calibri" w:cs="Calibri"/>
                <w:b/>
                <w:bCs/>
              </w:rPr>
              <w:t>Grand Total</w:t>
            </w:r>
          </w:p>
        </w:tc>
        <w:tc>
          <w:tcPr>
            <w:tcW w:w="1098" w:type="dxa"/>
            <w:tcBorders>
              <w:top w:val="nil"/>
              <w:left w:val="single" w:sz="4" w:space="0" w:color="FFFFFF"/>
              <w:bottom w:val="nil"/>
              <w:right w:val="single" w:sz="4" w:space="0" w:color="FFFFFF"/>
            </w:tcBorders>
            <w:shd w:val="clear" w:color="000000" w:fill="4B4B4B"/>
            <w:noWrap/>
            <w:vAlign w:val="center"/>
            <w:hideMark/>
          </w:tcPr>
          <w:p w14:paraId="5050AE40"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128,592</w:t>
            </w:r>
          </w:p>
        </w:tc>
        <w:tc>
          <w:tcPr>
            <w:tcW w:w="1552" w:type="dxa"/>
            <w:tcBorders>
              <w:top w:val="nil"/>
              <w:left w:val="single" w:sz="4" w:space="0" w:color="FFFFFF"/>
              <w:bottom w:val="nil"/>
              <w:right w:val="single" w:sz="4" w:space="0" w:color="FFFFFF"/>
            </w:tcBorders>
            <w:shd w:val="clear" w:color="000000" w:fill="AE91C4"/>
            <w:noWrap/>
            <w:vAlign w:val="center"/>
            <w:hideMark/>
          </w:tcPr>
          <w:p w14:paraId="4239B57A"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25,812</w:t>
            </w:r>
          </w:p>
        </w:tc>
        <w:tc>
          <w:tcPr>
            <w:tcW w:w="1413" w:type="dxa"/>
            <w:tcBorders>
              <w:top w:val="nil"/>
              <w:left w:val="single" w:sz="4" w:space="0" w:color="FFFFFF"/>
              <w:bottom w:val="nil"/>
              <w:right w:val="single" w:sz="4" w:space="0" w:color="FFFFFF"/>
            </w:tcBorders>
            <w:shd w:val="clear" w:color="000000" w:fill="477CBF"/>
            <w:noWrap/>
            <w:vAlign w:val="center"/>
            <w:hideMark/>
          </w:tcPr>
          <w:p w14:paraId="3AF3D633"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52,711</w:t>
            </w:r>
          </w:p>
        </w:tc>
        <w:tc>
          <w:tcPr>
            <w:tcW w:w="1028" w:type="dxa"/>
            <w:tcBorders>
              <w:top w:val="nil"/>
              <w:left w:val="single" w:sz="4" w:space="0" w:color="FFFFFF"/>
              <w:bottom w:val="nil"/>
              <w:right w:val="single" w:sz="4" w:space="0" w:color="FFFFFF"/>
            </w:tcBorders>
            <w:shd w:val="clear" w:color="000000" w:fill="E84599"/>
            <w:noWrap/>
            <w:vAlign w:val="center"/>
            <w:hideMark/>
          </w:tcPr>
          <w:p w14:paraId="376D23F1"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41,875</w:t>
            </w:r>
          </w:p>
        </w:tc>
        <w:tc>
          <w:tcPr>
            <w:tcW w:w="1171" w:type="dxa"/>
            <w:tcBorders>
              <w:top w:val="nil"/>
              <w:left w:val="single" w:sz="4" w:space="0" w:color="FFFFFF"/>
              <w:bottom w:val="nil"/>
              <w:right w:val="single" w:sz="4" w:space="0" w:color="FFFFFF"/>
            </w:tcBorders>
            <w:shd w:val="clear" w:color="000000" w:fill="FCB247"/>
            <w:noWrap/>
            <w:vAlign w:val="center"/>
            <w:hideMark/>
          </w:tcPr>
          <w:p w14:paraId="71089DFA"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51,928</w:t>
            </w:r>
          </w:p>
        </w:tc>
        <w:tc>
          <w:tcPr>
            <w:tcW w:w="1071" w:type="dxa"/>
            <w:tcBorders>
              <w:top w:val="nil"/>
              <w:left w:val="single" w:sz="4" w:space="0" w:color="FFFFFF"/>
              <w:bottom w:val="nil"/>
              <w:right w:val="nil"/>
            </w:tcBorders>
            <w:shd w:val="clear" w:color="000000" w:fill="72C48F"/>
            <w:noWrap/>
            <w:vAlign w:val="center"/>
            <w:hideMark/>
          </w:tcPr>
          <w:p w14:paraId="72A18052" w14:textId="77777777" w:rsidR="003B7A84" w:rsidRPr="00554379" w:rsidRDefault="003B7A84" w:rsidP="00DE0C11">
            <w:pPr>
              <w:spacing w:after="0" w:line="240" w:lineRule="auto"/>
              <w:jc w:val="center"/>
              <w:rPr>
                <w:rFonts w:ascii="Calibri" w:eastAsia="Times New Roman" w:hAnsi="Calibri" w:cs="Calibri"/>
                <w:b/>
                <w:bCs/>
                <w:color w:val="FFFFFF"/>
              </w:rPr>
            </w:pPr>
            <w:r w:rsidRPr="00554379">
              <w:rPr>
                <w:rFonts w:ascii="Calibri" w:eastAsia="Times New Roman" w:hAnsi="Calibri" w:cs="Calibri"/>
                <w:b/>
                <w:bCs/>
                <w:color w:val="FFFFFF"/>
              </w:rPr>
              <w:t>58,679</w:t>
            </w:r>
          </w:p>
        </w:tc>
      </w:tr>
    </w:tbl>
    <w:p w14:paraId="3DB7D431" w14:textId="45726708" w:rsidR="06E32598" w:rsidRDefault="00851E11" w:rsidP="00851E11">
      <w:pPr>
        <w:pStyle w:val="Caption"/>
        <w:rPr>
          <w:rFonts w:eastAsia="Arial" w:cs="Arial"/>
        </w:rPr>
      </w:pPr>
      <w:r>
        <w:t xml:space="preserve">Table </w:t>
      </w:r>
      <w:r>
        <w:fldChar w:fldCharType="begin"/>
      </w:r>
      <w:r>
        <w:instrText>SEQ Table \* ARABIC</w:instrText>
      </w:r>
      <w:r>
        <w:fldChar w:fldCharType="separate"/>
      </w:r>
      <w:r w:rsidR="00AC4C6D">
        <w:rPr>
          <w:noProof/>
        </w:rPr>
        <w:t>4</w:t>
      </w:r>
      <w:r>
        <w:fldChar w:fldCharType="end"/>
      </w:r>
      <w:r>
        <w:t>: Types of Household by Locality</w:t>
      </w:r>
      <w:r>
        <w:br/>
        <w:t xml:space="preserve">Source: </w:t>
      </w:r>
      <w:r w:rsidR="00A4421F">
        <w:t>Census 2011</w:t>
      </w:r>
    </w:p>
    <w:p w14:paraId="395938CC" w14:textId="49562D25" w:rsidR="00E94CF3" w:rsidRDefault="00E94CF3" w:rsidP="06E32598">
      <w:pPr>
        <w:rPr>
          <w:rFonts w:eastAsia="Arial" w:cs="Arial"/>
        </w:rPr>
      </w:pPr>
      <w:r>
        <w:rPr>
          <w:rFonts w:eastAsia="Arial" w:cs="Arial"/>
        </w:rPr>
        <w:t xml:space="preserve">Figure </w:t>
      </w:r>
      <w:r w:rsidR="00890743">
        <w:rPr>
          <w:rFonts w:eastAsia="Arial" w:cs="Arial"/>
        </w:rPr>
        <w:t>16</w:t>
      </w:r>
      <w:r>
        <w:rPr>
          <w:rFonts w:eastAsia="Arial" w:cs="Arial"/>
        </w:rPr>
        <w:t xml:space="preserve"> </w:t>
      </w:r>
      <w:r w:rsidR="009601F0">
        <w:rPr>
          <w:rFonts w:eastAsia="Arial" w:cs="Arial"/>
        </w:rPr>
        <w:t xml:space="preserve">shows </w:t>
      </w:r>
      <w:r w:rsidR="008A014C">
        <w:rPr>
          <w:rFonts w:eastAsia="Arial" w:cs="Arial"/>
        </w:rPr>
        <w:t xml:space="preserve">the net housing completions by Fiscal Year and Local Authority since the last PNA in 2018. </w:t>
      </w:r>
      <w:r w:rsidR="00172C62">
        <w:rPr>
          <w:rFonts w:eastAsia="Arial" w:cs="Arial"/>
        </w:rPr>
        <w:t>A</w:t>
      </w:r>
      <w:r w:rsidR="00A1792A">
        <w:rPr>
          <w:rFonts w:eastAsia="Arial" w:cs="Arial"/>
        </w:rPr>
        <w:t xml:space="preserve"> high</w:t>
      </w:r>
      <w:r w:rsidR="00FB04C5">
        <w:rPr>
          <w:rFonts w:eastAsia="Arial" w:cs="Arial"/>
        </w:rPr>
        <w:t xml:space="preserve"> </w:t>
      </w:r>
      <w:r w:rsidR="003F324F">
        <w:rPr>
          <w:rFonts w:eastAsia="Arial" w:cs="Arial"/>
        </w:rPr>
        <w:t>number</w:t>
      </w:r>
      <w:r w:rsidR="00FB04C5">
        <w:rPr>
          <w:rFonts w:eastAsia="Arial" w:cs="Arial"/>
        </w:rPr>
        <w:t xml:space="preserve"> of completions can be seen in </w:t>
      </w:r>
      <w:r w:rsidR="00940D4B">
        <w:rPr>
          <w:rFonts w:eastAsia="Arial" w:cs="Arial"/>
        </w:rPr>
        <w:t xml:space="preserve">Coventry and </w:t>
      </w:r>
      <w:r w:rsidR="003F324F">
        <w:rPr>
          <w:rFonts w:eastAsia="Arial" w:cs="Arial"/>
        </w:rPr>
        <w:t>Stratford-on-Avon, with the lowest being in North Warwickshire.</w:t>
      </w:r>
    </w:p>
    <w:p w14:paraId="4A472C84" w14:textId="6F21B8E5" w:rsidR="181A1297" w:rsidRDefault="00F93DB2" w:rsidP="181A1297">
      <w:pPr>
        <w:rPr>
          <w:rFonts w:eastAsia="Arial" w:cs="Arial"/>
        </w:rPr>
      </w:pPr>
      <w:r>
        <w:rPr>
          <w:noProof/>
        </w:rPr>
        <w:lastRenderedPageBreak/>
        <w:drawing>
          <wp:anchor distT="0" distB="0" distL="114300" distR="114300" simplePos="0" relativeHeight="251658249" behindDoc="0" locked="0" layoutInCell="1" allowOverlap="1" wp14:anchorId="7EBCE453" wp14:editId="427F2E22">
            <wp:simplePos x="0" y="0"/>
            <wp:positionH relativeFrom="column">
              <wp:posOffset>-358140</wp:posOffset>
            </wp:positionH>
            <wp:positionV relativeFrom="paragraph">
              <wp:posOffset>-230505</wp:posOffset>
            </wp:positionV>
            <wp:extent cx="7249795" cy="3876675"/>
            <wp:effectExtent l="0" t="0" r="8255" b="9525"/>
            <wp:wrapTopAndBottom/>
            <wp:docPr id="9" name="Chart 9">
              <a:extLst xmlns:a="http://schemas.openxmlformats.org/drawingml/2006/main">
                <a:ext uri="{FF2B5EF4-FFF2-40B4-BE49-F238E27FC236}">
                  <a16:creationId xmlns:a16="http://schemas.microsoft.com/office/drawing/2014/main" id="{46DFCFE1-96E1-4753-B133-FDA59AD2A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42B83857" w14:textId="3D28AE19" w:rsidR="00851E11" w:rsidRDefault="00851E11" w:rsidP="00851E11">
      <w:pPr>
        <w:pStyle w:val="Caption"/>
        <w:rPr>
          <w:rFonts w:eastAsia="Arial" w:cs="Arial"/>
        </w:rPr>
      </w:pPr>
      <w:r>
        <w:t xml:space="preserve">Figure </w:t>
      </w:r>
      <w:r>
        <w:fldChar w:fldCharType="begin"/>
      </w:r>
      <w:r>
        <w:instrText>SEQ Figure \* ARABIC</w:instrText>
      </w:r>
      <w:r>
        <w:fldChar w:fldCharType="separate"/>
      </w:r>
      <w:r w:rsidR="006553F7">
        <w:rPr>
          <w:noProof/>
        </w:rPr>
        <w:t>16</w:t>
      </w:r>
      <w:r>
        <w:fldChar w:fldCharType="end"/>
      </w:r>
      <w:r>
        <w:t>: Net Housing Completions by Fiscal Year and Local Authority</w:t>
      </w:r>
      <w:r>
        <w:br/>
        <w:t xml:space="preserve">Source: </w:t>
      </w:r>
      <w:r w:rsidR="00583558">
        <w:t xml:space="preserve">Authority monitoring reports from Warwickshire </w:t>
      </w:r>
      <w:r w:rsidR="0033178D">
        <w:t>Boroughs and Districts</w:t>
      </w:r>
      <w:r w:rsidR="00583558">
        <w:t xml:space="preserve"> &amp; Coventry City Council website</w:t>
      </w:r>
    </w:p>
    <w:p w14:paraId="6EC60BBC" w14:textId="01C94F59" w:rsidR="02CA020E" w:rsidRDefault="003F324F" w:rsidP="02CA020E">
      <w:pPr>
        <w:rPr>
          <w:noProof/>
          <w:color w:val="2B579A"/>
          <w:shd w:val="clear" w:color="auto" w:fill="E6E6E6"/>
        </w:rPr>
      </w:pPr>
      <w:r>
        <w:t xml:space="preserve">Figure </w:t>
      </w:r>
      <w:r w:rsidR="0066203C">
        <w:t>17</w:t>
      </w:r>
      <w:r>
        <w:t xml:space="preserve"> shows the projected housing completions by Fiscal Year and Local Authority</w:t>
      </w:r>
      <w:r w:rsidR="00145D8A">
        <w:t xml:space="preserve"> until 20</w:t>
      </w:r>
      <w:r w:rsidR="006B6F69">
        <w:t>28</w:t>
      </w:r>
      <w:r w:rsidR="00145D8A">
        <w:t>/</w:t>
      </w:r>
      <w:r w:rsidR="00B95B3B">
        <w:t>29</w:t>
      </w:r>
      <w:r w:rsidR="00145D8A">
        <w:t xml:space="preserve">. Over the next 3 years there is </w:t>
      </w:r>
      <w:r w:rsidR="00AD29AF">
        <w:t>a noticeable increase in completions in</w:t>
      </w:r>
      <w:r w:rsidR="008C2376">
        <w:t xml:space="preserve"> Coventry, and</w:t>
      </w:r>
      <w:r w:rsidR="00AD29AF">
        <w:t xml:space="preserve"> Nuneaton and </w:t>
      </w:r>
      <w:r w:rsidR="00080F30">
        <w:t xml:space="preserve">Bedworth, whilst the number of completions in Stratford-on-Avon </w:t>
      </w:r>
      <w:r w:rsidR="00D630EC">
        <w:t>decreases over the next 3 years.</w:t>
      </w:r>
      <w:r w:rsidR="0066203C" w:rsidRPr="0066203C">
        <w:rPr>
          <w:noProof/>
          <w:color w:val="2B579A"/>
          <w:shd w:val="clear" w:color="auto" w:fill="E6E6E6"/>
        </w:rPr>
        <w:t xml:space="preserve"> </w:t>
      </w:r>
    </w:p>
    <w:p w14:paraId="72F7DB78" w14:textId="77777777" w:rsidR="008C2376" w:rsidRDefault="008C2376" w:rsidP="02CA020E">
      <w:pPr>
        <w:rPr>
          <w:noProof/>
          <w:color w:val="2B579A"/>
          <w:shd w:val="clear" w:color="auto" w:fill="E6E6E6"/>
        </w:rPr>
      </w:pPr>
    </w:p>
    <w:p w14:paraId="7776433C" w14:textId="383C1235" w:rsidR="008C2376" w:rsidRDefault="008C2376" w:rsidP="02CA020E">
      <w:r>
        <w:rPr>
          <w:noProof/>
          <w:color w:val="2B579A"/>
          <w:shd w:val="clear" w:color="auto" w:fill="E6E6E6"/>
        </w:rPr>
        <w:lastRenderedPageBreak/>
        <w:drawing>
          <wp:inline distT="0" distB="0" distL="0" distR="0" wp14:anchorId="7393577D" wp14:editId="62840EC0">
            <wp:extent cx="6332220" cy="30148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32220" cy="3014844"/>
                    </a:xfrm>
                    <a:prstGeom prst="rect">
                      <a:avLst/>
                    </a:prstGeom>
                    <a:noFill/>
                  </pic:spPr>
                </pic:pic>
              </a:graphicData>
            </a:graphic>
          </wp:inline>
        </w:drawing>
      </w:r>
    </w:p>
    <w:p w14:paraId="7AC7C3C5" w14:textId="5CC56491" w:rsidR="0066203C" w:rsidRPr="0033178D" w:rsidRDefault="0066203C" w:rsidP="0066203C">
      <w:pPr>
        <w:pStyle w:val="Caption"/>
        <w:rPr>
          <w:rFonts w:eastAsia="Arial" w:cs="Arial"/>
        </w:rPr>
      </w:pPr>
      <w:r>
        <w:t xml:space="preserve">Figure </w:t>
      </w:r>
      <w:r>
        <w:fldChar w:fldCharType="begin"/>
      </w:r>
      <w:r>
        <w:instrText>SEQ Figure \* ARABIC</w:instrText>
      </w:r>
      <w:r>
        <w:fldChar w:fldCharType="separate"/>
      </w:r>
      <w:r w:rsidR="006553F7">
        <w:rPr>
          <w:noProof/>
        </w:rPr>
        <w:t>17</w:t>
      </w:r>
      <w:r>
        <w:fldChar w:fldCharType="end"/>
      </w:r>
      <w:r>
        <w:t>: Projected Housing Completions by Fiscal Year and Local Authority</w:t>
      </w:r>
      <w:r>
        <w:br/>
        <w:t xml:space="preserve">Source: </w:t>
      </w:r>
      <w:r w:rsidR="0033178D">
        <w:t>Warwickshire Boroughs and Districts &amp; Coventry City Council</w:t>
      </w:r>
    </w:p>
    <w:p w14:paraId="40A15663" w14:textId="77777777" w:rsidR="00D630EC" w:rsidRDefault="00D630EC" w:rsidP="02CA020E"/>
    <w:p w14:paraId="13761F7F" w14:textId="350F013F" w:rsidR="00D630EC" w:rsidRDefault="00D630EC" w:rsidP="02CA020E">
      <w:r>
        <w:t xml:space="preserve">Figure </w:t>
      </w:r>
      <w:r w:rsidR="0066203C">
        <w:t>18</w:t>
      </w:r>
      <w:r>
        <w:t xml:space="preserve"> maps the housing construction sites in Warwickshire and Coventry with 300 dwellings or more that have planning permission granted, or are to be started, to continue, or to be completed in the next five years. </w:t>
      </w:r>
      <w:r w:rsidR="00F00D87">
        <w:t xml:space="preserve">The </w:t>
      </w:r>
      <w:r w:rsidR="00194747">
        <w:t xml:space="preserve">circles map where these sites are, and the size and colour correlate to the size of the site. </w:t>
      </w:r>
      <w:r w:rsidR="00E87669">
        <w:t xml:space="preserve">The largest site is located to </w:t>
      </w:r>
      <w:r w:rsidR="009B1BC8">
        <w:t>the East of Rugby, with the next largest sites in the North West of Coventry</w:t>
      </w:r>
      <w:r w:rsidR="00EA5CEA">
        <w:t xml:space="preserve">, </w:t>
      </w:r>
      <w:r w:rsidR="00AC78A1">
        <w:t xml:space="preserve">Lighthorne Heath in Stratford-on-Avon, and </w:t>
      </w:r>
      <w:r w:rsidR="007E0DCB">
        <w:t>Lower Quinton in Stratford-on-Avon.</w:t>
      </w:r>
    </w:p>
    <w:p w14:paraId="7F03863B" w14:textId="09C36B4E" w:rsidR="00C27ED0" w:rsidRDefault="006A2FDB" w:rsidP="00C27ED0">
      <w:pPr>
        <w:jc w:val="center"/>
      </w:pPr>
      <w:r>
        <w:rPr>
          <w:noProof/>
        </w:rPr>
        <w:lastRenderedPageBreak/>
        <w:drawing>
          <wp:inline distT="0" distB="0" distL="0" distR="0" wp14:anchorId="2661BA12" wp14:editId="4A9045B8">
            <wp:extent cx="5542535" cy="7839074"/>
            <wp:effectExtent l="0" t="0" r="1270" b="0"/>
            <wp:docPr id="292678417" name="Picture 29267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7841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42535" cy="7839074"/>
                    </a:xfrm>
                    <a:prstGeom prst="rect">
                      <a:avLst/>
                    </a:prstGeom>
                  </pic:spPr>
                </pic:pic>
              </a:graphicData>
            </a:graphic>
          </wp:inline>
        </w:drawing>
      </w:r>
    </w:p>
    <w:p w14:paraId="087037D3" w14:textId="3BDB86A9" w:rsidR="0066203C" w:rsidRDefault="0066203C" w:rsidP="0066203C">
      <w:pPr>
        <w:pStyle w:val="Caption"/>
      </w:pPr>
      <w:r>
        <w:t xml:space="preserve">Figure </w:t>
      </w:r>
      <w:r>
        <w:fldChar w:fldCharType="begin"/>
      </w:r>
      <w:r>
        <w:instrText>SEQ Figure \* ARABIC</w:instrText>
      </w:r>
      <w:r>
        <w:fldChar w:fldCharType="separate"/>
      </w:r>
      <w:r w:rsidR="006553F7">
        <w:rPr>
          <w:noProof/>
        </w:rPr>
        <w:t>18</w:t>
      </w:r>
      <w:r>
        <w:fldChar w:fldCharType="end"/>
      </w:r>
      <w:r>
        <w:t>: Housing Construction sites in Warwickshire and Coventry</w:t>
      </w:r>
      <w:r w:rsidR="00454257">
        <w:t xml:space="preserve"> with 300 dwellings or more that have planning permission granted, or are to be started, to continue, </w:t>
      </w:r>
      <w:r w:rsidR="00F860E0">
        <w:t>or to be completed in the next five years</w:t>
      </w:r>
      <w:r w:rsidR="00F860E0">
        <w:br/>
        <w:t xml:space="preserve">Source: </w:t>
      </w:r>
      <w:r w:rsidR="00551788">
        <w:t>Warwickshire Districts &amp; Boroughs and Coventry City Council</w:t>
      </w:r>
    </w:p>
    <w:p w14:paraId="5C3C0ABF" w14:textId="73D26E7C" w:rsidR="003C0056" w:rsidRDefault="00E32434" w:rsidP="003C0056">
      <w:pPr>
        <w:pStyle w:val="Heading2"/>
      </w:pPr>
      <w:bookmarkStart w:id="43" w:name="_Toc113628600"/>
      <w:r>
        <w:rPr>
          <w:rFonts w:eastAsia="Arial" w:cs="Arial"/>
          <w:color w:val="000000" w:themeColor="text1"/>
        </w:rPr>
        <w:lastRenderedPageBreak/>
        <w:t>C</w:t>
      </w:r>
      <w:r w:rsidR="00410C50">
        <w:rPr>
          <w:rFonts w:eastAsia="Arial" w:cs="Arial"/>
          <w:color w:val="000000" w:themeColor="text1"/>
        </w:rPr>
        <w:t xml:space="preserve">ost of </w:t>
      </w:r>
      <w:r>
        <w:rPr>
          <w:rFonts w:eastAsia="Arial" w:cs="Arial"/>
          <w:color w:val="000000" w:themeColor="text1"/>
        </w:rPr>
        <w:t>L</w:t>
      </w:r>
      <w:r w:rsidR="00410C50">
        <w:rPr>
          <w:rFonts w:eastAsia="Arial" w:cs="Arial"/>
          <w:color w:val="000000" w:themeColor="text1"/>
        </w:rPr>
        <w:t>iving</w:t>
      </w:r>
      <w:r w:rsidR="00FD5CAD" w:rsidRPr="2C0B737B">
        <w:rPr>
          <w:rFonts w:eastAsia="Arial" w:cs="Arial"/>
          <w:color w:val="000000" w:themeColor="text1"/>
        </w:rPr>
        <w:t xml:space="preserve"> </w:t>
      </w:r>
      <w:r w:rsidR="0044586E" w:rsidRPr="2C0B737B">
        <w:rPr>
          <w:rFonts w:eastAsia="Arial" w:cs="Arial"/>
          <w:color w:val="000000" w:themeColor="text1"/>
        </w:rPr>
        <w:t>C</w:t>
      </w:r>
      <w:r w:rsidR="00FD5CAD" w:rsidRPr="2C0B737B">
        <w:rPr>
          <w:rFonts w:eastAsia="Arial" w:cs="Arial"/>
          <w:color w:val="000000" w:themeColor="text1"/>
        </w:rPr>
        <w:t>risis</w:t>
      </w:r>
      <w:bookmarkEnd w:id="43"/>
    </w:p>
    <w:p w14:paraId="15E9C490" w14:textId="6808B51A" w:rsidR="00912F86" w:rsidRDefault="00980FFD" w:rsidP="003C0056">
      <w:pPr>
        <w:spacing w:line="276" w:lineRule="auto"/>
      </w:pPr>
      <w:r>
        <w:t>A</w:t>
      </w:r>
      <w:r w:rsidR="003C3DEC">
        <w:t xml:space="preserve"> cost of living</w:t>
      </w:r>
      <w:r>
        <w:t xml:space="preserve"> crisis started in </w:t>
      </w:r>
      <w:r w:rsidR="00853658">
        <w:t>the second half o</w:t>
      </w:r>
      <w:r w:rsidR="00FE171C">
        <w:t>f 2021</w:t>
      </w:r>
      <w:r w:rsidR="00D330B3">
        <w:t xml:space="preserve"> and is rapidly accelerating in </w:t>
      </w:r>
      <w:r w:rsidR="00FE171C">
        <w:t>first half of 2022</w:t>
      </w:r>
      <w:r w:rsidR="009B7163">
        <w:t xml:space="preserve">. </w:t>
      </w:r>
      <w:r w:rsidR="00331D97">
        <w:t xml:space="preserve">There is no </w:t>
      </w:r>
      <w:r w:rsidR="007903AF">
        <w:t>indication that the</w:t>
      </w:r>
      <w:r w:rsidR="0099346E">
        <w:t xml:space="preserve"> </w:t>
      </w:r>
      <w:r w:rsidR="006B2855">
        <w:t>cost of living</w:t>
      </w:r>
      <w:r w:rsidR="0099346E">
        <w:t xml:space="preserve"> crisis </w:t>
      </w:r>
      <w:r w:rsidR="007903AF">
        <w:t>will be full</w:t>
      </w:r>
      <w:r w:rsidR="00886866">
        <w:t>y resolved within the</w:t>
      </w:r>
      <w:r w:rsidR="0099346E">
        <w:t xml:space="preserve"> duration of this PNA period. </w:t>
      </w:r>
      <w:r w:rsidR="000A4B70">
        <w:t xml:space="preserve">While this is </w:t>
      </w:r>
      <w:r w:rsidR="002F4A0E">
        <w:t xml:space="preserve">primarily around home energy, </w:t>
      </w:r>
      <w:r w:rsidR="00991385">
        <w:t>fuel for vehicles, and food</w:t>
      </w:r>
      <w:r w:rsidR="001A5417">
        <w:t>,</w:t>
      </w:r>
      <w:r w:rsidR="00991385">
        <w:t xml:space="preserve"> </w:t>
      </w:r>
      <w:r w:rsidR="003C13B9">
        <w:t xml:space="preserve">it is </w:t>
      </w:r>
      <w:r w:rsidR="0097751D">
        <w:t xml:space="preserve">affecting </w:t>
      </w:r>
      <w:r w:rsidR="007C7B74">
        <w:t xml:space="preserve">all areas of spending and </w:t>
      </w:r>
      <w:r w:rsidR="00490DA5">
        <w:t xml:space="preserve">debt levels. </w:t>
      </w:r>
      <w:r w:rsidR="00BC5747">
        <w:t>Other a</w:t>
      </w:r>
      <w:r w:rsidR="007C56BC">
        <w:t xml:space="preserve">reas of concern that have already been noted </w:t>
      </w:r>
      <w:r w:rsidR="008A0CE3">
        <w:t xml:space="preserve">by </w:t>
      </w:r>
      <w:r w:rsidR="0094046D">
        <w:t xml:space="preserve">the local branch of Citizens Advice </w:t>
      </w:r>
      <w:r w:rsidR="007C56BC">
        <w:t xml:space="preserve">are the cost of </w:t>
      </w:r>
      <w:r w:rsidR="00BC5747">
        <w:t xml:space="preserve">public transportation and the cost of </w:t>
      </w:r>
      <w:r w:rsidR="008A21B1">
        <w:t xml:space="preserve">prescriptions. </w:t>
      </w:r>
      <w:r w:rsidR="00044B70">
        <w:t xml:space="preserve">There is a </w:t>
      </w:r>
      <w:r w:rsidR="00F513B4">
        <w:t>reported reduction in subscriptions to</w:t>
      </w:r>
      <w:r w:rsidR="00C03825">
        <w:t xml:space="preserve"> online services</w:t>
      </w:r>
      <w:r w:rsidR="004D1F6D" w:rsidRPr="2289A1FF">
        <w:rPr>
          <w:rStyle w:val="FootnoteReference"/>
        </w:rPr>
        <w:footnoteReference w:id="8"/>
      </w:r>
      <w:r w:rsidR="00C03825">
        <w:t xml:space="preserve">, as well as anecdotal reports of </w:t>
      </w:r>
      <w:r w:rsidR="007D4D0E">
        <w:t>some cancellations of</w:t>
      </w:r>
      <w:r w:rsidR="00C03825">
        <w:t xml:space="preserve"> </w:t>
      </w:r>
      <w:r w:rsidR="00E3778B">
        <w:t xml:space="preserve">home Internet </w:t>
      </w:r>
      <w:r w:rsidR="00056B9E">
        <w:t>services.</w:t>
      </w:r>
    </w:p>
    <w:p w14:paraId="067531B6" w14:textId="575D2A37" w:rsidR="003C0056" w:rsidRDefault="008B4C4F" w:rsidP="003C0056">
      <w:pPr>
        <w:spacing w:line="276" w:lineRule="auto"/>
      </w:pPr>
      <w:r>
        <w:t>T</w:t>
      </w:r>
      <w:r w:rsidR="00B83298">
        <w:t>herefore, t</w:t>
      </w:r>
      <w:r>
        <w:t xml:space="preserve">here </w:t>
      </w:r>
      <w:r w:rsidR="000D0B92">
        <w:t>are</w:t>
      </w:r>
      <w:r w:rsidR="00BA234C">
        <w:t xml:space="preserve"> </w:t>
      </w:r>
      <w:r w:rsidR="00912F86">
        <w:t>ongoing</w:t>
      </w:r>
      <w:r w:rsidR="00D76029">
        <w:t xml:space="preserve"> </w:t>
      </w:r>
      <w:r w:rsidR="00BA234C">
        <w:t>risk</w:t>
      </w:r>
      <w:r w:rsidR="000D0B92">
        <w:t>s</w:t>
      </w:r>
      <w:r w:rsidR="00BA234C">
        <w:t xml:space="preserve"> to</w:t>
      </w:r>
      <w:r w:rsidR="00912F86">
        <w:t xml:space="preserve"> </w:t>
      </w:r>
      <w:r w:rsidR="00BA234C">
        <w:t xml:space="preserve">access to pharmaceutical services </w:t>
      </w:r>
      <w:r w:rsidR="00703036">
        <w:t>via</w:t>
      </w:r>
      <w:r w:rsidR="00912F86">
        <w:t>:</w:t>
      </w:r>
      <w:r w:rsidR="00703036">
        <w:t xml:space="preserve"> the direct cost of prescriptions, the </w:t>
      </w:r>
      <w:r w:rsidR="005B05AF">
        <w:t xml:space="preserve">cost of physical access via car or public transport, as well as the cost of digital access to </w:t>
      </w:r>
      <w:r w:rsidR="00912F86">
        <w:t>online pharmacies.</w:t>
      </w:r>
    </w:p>
    <w:p w14:paraId="5900B668" w14:textId="77777777" w:rsidR="003C0056" w:rsidRDefault="003C0056" w:rsidP="003C0056">
      <w:pPr>
        <w:spacing w:line="276" w:lineRule="auto"/>
      </w:pPr>
    </w:p>
    <w:p w14:paraId="097A761B" w14:textId="7B467B83" w:rsidR="181A1297" w:rsidRDefault="181A1297" w:rsidP="181A1297">
      <w:pPr>
        <w:pStyle w:val="Heading2"/>
      </w:pPr>
      <w:bookmarkStart w:id="44" w:name="_Toc113628601"/>
      <w:r w:rsidRPr="02CA020E">
        <w:rPr>
          <w:rFonts w:eastAsia="Arial" w:cs="Arial"/>
          <w:color w:val="000000" w:themeColor="text1"/>
        </w:rPr>
        <w:t>Car Ownership</w:t>
      </w:r>
      <w:bookmarkEnd w:id="44"/>
    </w:p>
    <w:p w14:paraId="0BDCE61B" w14:textId="6B43E73C" w:rsidR="00A12371" w:rsidRDefault="006F2A7B" w:rsidP="00A12371">
      <w:r>
        <w:t xml:space="preserve">Consideration regarding car ownership </w:t>
      </w:r>
      <w:r w:rsidR="00631BB3">
        <w:t xml:space="preserve">is important due to </w:t>
      </w:r>
      <w:r w:rsidR="006D6F84">
        <w:t>accessibility of community pharmacy and</w:t>
      </w:r>
      <w:r w:rsidR="615CCB99" w:rsidRPr="00FE3C30">
        <w:t xml:space="preserve"> </w:t>
      </w:r>
      <w:r w:rsidR="615CCB99">
        <w:t xml:space="preserve">the </w:t>
      </w:r>
      <w:r w:rsidR="006D6F84">
        <w:t>rising pressure of cost of living, including fuel prices.</w:t>
      </w:r>
      <w:r w:rsidR="615CCB99" w:rsidRPr="00FE3C30">
        <w:t xml:space="preserve">  Our survey showed that 46.5% of respondents use cars</w:t>
      </w:r>
      <w:r w:rsidR="615CCB99">
        <w:t>/motorbike/van transportation</w:t>
      </w:r>
      <w:r w:rsidR="615CCB99" w:rsidRPr="00FE3C30">
        <w:t xml:space="preserve">, whilst 42% walk. </w:t>
      </w:r>
      <w:r w:rsidR="006D6F84">
        <w:t xml:space="preserve">This may certainly have an impact on how </w:t>
      </w:r>
      <w:r w:rsidR="00DF3C24">
        <w:t>residents access pharmacies.</w:t>
      </w:r>
      <w:r w:rsidR="615CCB99">
        <w:t xml:space="preserve"> </w:t>
      </w:r>
      <w:r w:rsidR="00A12371">
        <w:t>Almost all of Warwickshire is within a 15-minute drive to a pharmacy, the exceptions being in South and Southeast of Stratford-on-Avon District, which are rural areas</w:t>
      </w:r>
      <w:r w:rsidR="00661EA2">
        <w:t xml:space="preserve"> with low population densit</w:t>
      </w:r>
      <w:r w:rsidR="00EB1D34">
        <w:t>y</w:t>
      </w:r>
      <w:r w:rsidR="00A12371">
        <w:t>. The majority of Coventry is within a 5-minute drive to a pharmacy and all of Coventry is within a 15- minute drive.</w:t>
      </w:r>
      <w:r w:rsidR="00820F0E">
        <w:t xml:space="preserve"> In addition to this most of these deprived areas in Coventry and Warwickshire are covered within a 16-minute cycle time.</w:t>
      </w:r>
    </w:p>
    <w:p w14:paraId="6316B650" w14:textId="5A62B73B" w:rsidR="615CCB99" w:rsidRPr="00820F0E" w:rsidRDefault="000106B0" w:rsidP="00820F0E">
      <w:r>
        <w:t>With rising fuel prices, 44%</w:t>
      </w:r>
      <w:r w:rsidR="615CCB99">
        <w:t xml:space="preserve"> of </w:t>
      </w:r>
      <w:r>
        <w:t>people have already driven their</w:t>
      </w:r>
      <w:r w:rsidR="615CCB99">
        <w:t xml:space="preserve"> car </w:t>
      </w:r>
      <w:r>
        <w:t xml:space="preserve">less, and this is projected to </w:t>
      </w:r>
      <w:r w:rsidR="00AE1D26">
        <w:t>increase.</w:t>
      </w:r>
      <w:r w:rsidR="615CCB99">
        <w:t xml:space="preserve"> It is important to note that the 40-year high of inflation in April 2022 and the increase in petrol prices may lead the public to prefer to walk or take public transport</w:t>
      </w:r>
      <w:r w:rsidR="615CCB99" w:rsidRPr="2289A1FF">
        <w:rPr>
          <w:rStyle w:val="FootnoteReference"/>
        </w:rPr>
        <w:footnoteReference w:id="9"/>
      </w:r>
      <w:r w:rsidR="615CCB99">
        <w:t>.</w:t>
      </w:r>
      <w:r w:rsidR="00A83950">
        <w:t xml:space="preserve"> </w:t>
      </w:r>
      <w:r w:rsidR="00F6368D">
        <w:t>72</w:t>
      </w:r>
      <w:r w:rsidR="005D0799">
        <w:t>% of respondents i</w:t>
      </w:r>
      <w:r w:rsidR="00A83950">
        <w:t xml:space="preserve">n a Savanta survey of 4,011 UK adults on </w:t>
      </w:r>
      <w:r w:rsidR="002A7CC4">
        <w:t xml:space="preserve">10 June 2022 </w:t>
      </w:r>
      <w:r w:rsidR="005D0799">
        <w:t>said that they had cut down on car journeys to save money in the previous 6 months</w:t>
      </w:r>
      <w:r w:rsidR="007F1984" w:rsidRPr="2289A1FF">
        <w:rPr>
          <w:rStyle w:val="FootnoteReference"/>
        </w:rPr>
        <w:footnoteReference w:id="10"/>
      </w:r>
      <w:r w:rsidR="005D0799">
        <w:t>.</w:t>
      </w:r>
    </w:p>
    <w:p w14:paraId="41A74A76" w14:textId="77777777" w:rsidR="00F860E0" w:rsidRDefault="02CA020E" w:rsidP="003F389B">
      <w:pPr>
        <w:spacing w:line="276" w:lineRule="auto"/>
        <w:rPr>
          <w:rFonts w:eastAsia="Arial" w:cs="Arial"/>
        </w:rPr>
      </w:pPr>
      <w:r>
        <w:rPr>
          <w:noProof/>
          <w:color w:val="2B579A"/>
          <w:shd w:val="clear" w:color="auto" w:fill="E6E6E6"/>
        </w:rPr>
        <w:lastRenderedPageBreak/>
        <w:drawing>
          <wp:inline distT="0" distB="0" distL="0" distR="0" wp14:anchorId="4D4A127D" wp14:editId="28B3A8BD">
            <wp:extent cx="5693134" cy="3060060"/>
            <wp:effectExtent l="0" t="0" r="3175" b="7620"/>
            <wp:docPr id="745632119" name="Picture 74563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5702667" cy="3065184"/>
                    </a:xfrm>
                    <a:prstGeom prst="rect">
                      <a:avLst/>
                    </a:prstGeom>
                  </pic:spPr>
                </pic:pic>
              </a:graphicData>
            </a:graphic>
          </wp:inline>
        </w:drawing>
      </w:r>
      <w:r w:rsidR="11260C78" w:rsidRPr="02CA020E">
        <w:rPr>
          <w:rFonts w:eastAsia="Arial" w:cs="Arial"/>
        </w:rPr>
        <w:t xml:space="preserve"> </w:t>
      </w:r>
    </w:p>
    <w:p w14:paraId="76B6791E" w14:textId="123629EE" w:rsidR="00DD536C" w:rsidRPr="003F389B" w:rsidRDefault="00F860E0" w:rsidP="00F860E0">
      <w:pPr>
        <w:pStyle w:val="Caption"/>
        <w:rPr>
          <w:rFonts w:eastAsia="Arial" w:cs="Arial"/>
          <w:highlight w:val="yellow"/>
        </w:rPr>
      </w:pPr>
      <w:r>
        <w:t xml:space="preserve">Figure </w:t>
      </w:r>
      <w:r>
        <w:fldChar w:fldCharType="begin"/>
      </w:r>
      <w:r>
        <w:instrText>SEQ Figure \* ARABIC</w:instrText>
      </w:r>
      <w:r>
        <w:fldChar w:fldCharType="separate"/>
      </w:r>
      <w:r w:rsidR="006553F7">
        <w:rPr>
          <w:noProof/>
        </w:rPr>
        <w:t>19</w:t>
      </w:r>
      <w:r>
        <w:fldChar w:fldCharType="end"/>
      </w:r>
      <w:r>
        <w:t>: Percentage of households by access to a car or van and Local Authority</w:t>
      </w:r>
      <w:r>
        <w:br/>
        <w:t>Source: Census 2011</w:t>
      </w:r>
      <w:r w:rsidR="00DD536C">
        <w:br w:type="page"/>
      </w:r>
    </w:p>
    <w:p w14:paraId="3A1CBB02" w14:textId="660CAE97" w:rsidR="00DD536C" w:rsidRDefault="0581E653" w:rsidP="00DD536C">
      <w:pPr>
        <w:pStyle w:val="Heading1"/>
      </w:pPr>
      <w:bookmarkStart w:id="45" w:name="_Toc113628602"/>
      <w:r>
        <w:lastRenderedPageBreak/>
        <w:t>General Health Needs</w:t>
      </w:r>
      <w:bookmarkEnd w:id="45"/>
    </w:p>
    <w:p w14:paraId="44D42BB5" w14:textId="4B58FE6A" w:rsidR="00BB45EE" w:rsidRDefault="00BB45EE" w:rsidP="00BB45EE">
      <w:pPr>
        <w:pStyle w:val="Heading2"/>
      </w:pPr>
      <w:bookmarkStart w:id="46" w:name="_Toc113628603"/>
      <w:r>
        <w:t>Physical Health</w:t>
      </w:r>
      <w:bookmarkEnd w:id="46"/>
    </w:p>
    <w:p w14:paraId="5EEB8926" w14:textId="4C624A96" w:rsidR="00513FB8" w:rsidRPr="004507B5" w:rsidRDefault="00513FB8" w:rsidP="00513FB8">
      <w:r w:rsidRPr="004507B5">
        <w:t xml:space="preserve">There are five conditions referenced within this section. How pharmacy supports these conditions is detailed in the </w:t>
      </w:r>
      <w:r w:rsidR="00761962">
        <w:t>“</w:t>
      </w:r>
      <w:r>
        <w:t>Pharmacy</w:t>
      </w:r>
      <w:r w:rsidRPr="004507B5">
        <w:t xml:space="preserve"> Provisions and </w:t>
      </w:r>
      <w:r>
        <w:t>Access</w:t>
      </w:r>
      <w:r w:rsidR="00761962">
        <w:t xml:space="preserve">” and “Pharmacy </w:t>
      </w:r>
      <w:r w:rsidRPr="004507B5">
        <w:t>Services</w:t>
      </w:r>
      <w:r w:rsidR="00761962">
        <w:t>”</w:t>
      </w:r>
      <w:r w:rsidRPr="004507B5">
        <w:t xml:space="preserve"> </w:t>
      </w:r>
      <w:r>
        <w:t>chapters.</w:t>
      </w:r>
      <w:r w:rsidRPr="004507B5">
        <w:t xml:space="preserve"> What follows here is an overview of these conditions and the local rates across Coventry and Warwickshire. </w:t>
      </w:r>
    </w:p>
    <w:p w14:paraId="1D1448F0" w14:textId="3D895798" w:rsidR="006916BA" w:rsidRDefault="006916BA" w:rsidP="006916BA">
      <w:pPr>
        <w:rPr>
          <w:color w:val="477CBF"/>
        </w:rPr>
      </w:pPr>
      <w:r>
        <w:rPr>
          <w:color w:val="477CBF"/>
        </w:rPr>
        <w:t>Smoking</w:t>
      </w:r>
    </w:p>
    <w:p w14:paraId="1AB5AD9A" w14:textId="7176BD2D" w:rsidR="006916BA" w:rsidRDefault="001E4E2C" w:rsidP="006916BA">
      <w:r>
        <w:t>Smoking</w:t>
      </w:r>
      <w:r w:rsidR="00793DE1">
        <w:t xml:space="preserve"> is the biggest cause of preventable deaths in England, accounting for more than 80,000 </w:t>
      </w:r>
      <w:r w:rsidR="00241AF5">
        <w:t>premature</w:t>
      </w:r>
      <w:r w:rsidR="00793DE1">
        <w:t xml:space="preserve"> deaths each year</w:t>
      </w:r>
      <w:r w:rsidR="00241AF5">
        <w:t>.</w:t>
      </w:r>
      <w:r w:rsidR="00E54BCB">
        <w:rPr>
          <w:rStyle w:val="FootnoteReference"/>
        </w:rPr>
        <w:footnoteReference w:id="11"/>
      </w:r>
      <w:r w:rsidR="000B7F52">
        <w:t xml:space="preserve"> </w:t>
      </w:r>
      <w:r w:rsidR="00DF17A5">
        <w:t xml:space="preserve">Smoking prevalence in adults aged 18+ </w:t>
      </w:r>
      <w:r w:rsidR="008453BA">
        <w:t>has been falling nationally</w:t>
      </w:r>
      <w:r w:rsidR="007474FC">
        <w:t xml:space="preserve">. </w:t>
      </w:r>
      <w:r w:rsidR="001E4901">
        <w:t>In 2020</w:t>
      </w:r>
      <w:r w:rsidR="000C4039">
        <w:t xml:space="preserve"> </w:t>
      </w:r>
      <w:r w:rsidR="00C6512A">
        <w:t>in England smoking prevalence was at</w:t>
      </w:r>
      <w:r w:rsidR="000D63E5">
        <w:t xml:space="preserve"> 12.1% of adults aged 18+</w:t>
      </w:r>
      <w:r w:rsidR="00F76743">
        <w:t xml:space="preserve">. Warwickshire is the same as the England rate (12.1%) whilst Coventry </w:t>
      </w:r>
      <w:r w:rsidR="00641110">
        <w:t>is slightly higher</w:t>
      </w:r>
      <w:r w:rsidR="00A83F3B">
        <w:t xml:space="preserve"> at 13.1% of adults aged 18+</w:t>
      </w:r>
      <w:r w:rsidR="0071309B">
        <w:rPr>
          <w:rStyle w:val="FootnoteReference"/>
        </w:rPr>
        <w:footnoteReference w:id="12"/>
      </w:r>
      <w:r w:rsidR="0082321B">
        <w:t xml:space="preserve">. </w:t>
      </w:r>
    </w:p>
    <w:p w14:paraId="1773F99F" w14:textId="1CE92B5A" w:rsidR="00D43226" w:rsidRDefault="00D43226" w:rsidP="006916BA">
      <w:r>
        <w:t xml:space="preserve">There is a clear relationship between smoking prevalence and affluence. People living in the most deprived areas are more likely to smoke than those living in the least deprived areas. Smoking prevalence is higher for those in routine and manual, as opposed to managerial and professional occupations. </w:t>
      </w:r>
      <w:r w:rsidR="00935E09">
        <w:t>Most marginalised populations have very high rates of smoking – those who access services for drug and alcohol dependency usually also smoke tobacco.</w:t>
      </w:r>
    </w:p>
    <w:p w14:paraId="5843A653" w14:textId="5F48EE69" w:rsidR="00D43226" w:rsidRDefault="00562E6D" w:rsidP="006916BA">
      <w:r>
        <w:t xml:space="preserve">Smoking in pregnancy results in an increased risk of complications during labour and risk of miscarriage, premature birth, stillbirth, low birth weight, sudden unexpected death in infancy, and infant mortality. </w:t>
      </w:r>
      <w:r w:rsidR="00C017E9">
        <w:t xml:space="preserve">Table </w:t>
      </w:r>
      <w:r w:rsidR="00BC1715">
        <w:t>5</w:t>
      </w:r>
      <w:r w:rsidR="00C017E9">
        <w:t xml:space="preserve"> shows </w:t>
      </w:r>
      <w:r w:rsidR="00A450C4">
        <w:t xml:space="preserve">the percentage of women smoking at </w:t>
      </w:r>
      <w:r w:rsidR="00F439EB">
        <w:t xml:space="preserve">the time of booking an appointment with </w:t>
      </w:r>
      <w:r w:rsidR="007F5E8B">
        <w:t xml:space="preserve">their midwife. </w:t>
      </w:r>
      <w:r w:rsidR="003E04B0">
        <w:t xml:space="preserve">Compared to the England average, Coventry </w:t>
      </w:r>
      <w:r w:rsidR="00FC320E">
        <w:t>has a higher percentage and Warwickshire has a lower percentage.</w:t>
      </w:r>
      <w:r w:rsidR="003E04B0">
        <w:t xml:space="preserve"> </w:t>
      </w:r>
    </w:p>
    <w:p w14:paraId="1799C3D5" w14:textId="119690F4" w:rsidR="00562E6D" w:rsidRDefault="00E22B1D" w:rsidP="006916BA">
      <w:r>
        <w:rPr>
          <w:noProof/>
          <w:color w:val="2B579A"/>
          <w:shd w:val="clear" w:color="auto" w:fill="E6E6E6"/>
        </w:rPr>
        <w:lastRenderedPageBreak/>
        <w:drawing>
          <wp:inline distT="0" distB="0" distL="0" distR="0" wp14:anchorId="392ACD15" wp14:editId="0B70C786">
            <wp:extent cx="6321425" cy="3244215"/>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21425" cy="3244215"/>
                    </a:xfrm>
                    <a:prstGeom prst="rect">
                      <a:avLst/>
                    </a:prstGeom>
                    <a:noFill/>
                    <a:ln>
                      <a:noFill/>
                    </a:ln>
                  </pic:spPr>
                </pic:pic>
              </a:graphicData>
            </a:graphic>
          </wp:inline>
        </w:drawing>
      </w:r>
    </w:p>
    <w:p w14:paraId="612EB17E" w14:textId="117E7342" w:rsidR="00EA31AF" w:rsidRDefault="00EA31AF" w:rsidP="00EA31AF">
      <w:pPr>
        <w:pStyle w:val="Caption"/>
      </w:pPr>
      <w:r>
        <w:t xml:space="preserve">Table </w:t>
      </w:r>
      <w:r>
        <w:fldChar w:fldCharType="begin"/>
      </w:r>
      <w:r>
        <w:instrText>SEQ Table \* ARABIC</w:instrText>
      </w:r>
      <w:r>
        <w:fldChar w:fldCharType="separate"/>
      </w:r>
      <w:r w:rsidR="00AC4C6D">
        <w:rPr>
          <w:noProof/>
        </w:rPr>
        <w:t>5</w:t>
      </w:r>
      <w:r>
        <w:fldChar w:fldCharType="end"/>
      </w:r>
      <w:r>
        <w:t xml:space="preserve">: </w:t>
      </w:r>
      <w:r w:rsidR="00BC1715">
        <w:t>Percentage smoking in early pregnancy</w:t>
      </w:r>
      <w:r w:rsidR="00BC1715">
        <w:br/>
        <w:t>Source: Fingertips</w:t>
      </w:r>
    </w:p>
    <w:p w14:paraId="14E55DB9" w14:textId="3FE33175" w:rsidR="00194C03" w:rsidRPr="00AA0BD9" w:rsidRDefault="112407F7" w:rsidP="112407F7">
      <w:pPr>
        <w:rPr>
          <w:rFonts w:eastAsia="MS Mincho" w:cs="Arial"/>
          <w:szCs w:val="24"/>
        </w:rPr>
      </w:pPr>
      <w:r w:rsidRPr="112407F7">
        <w:rPr>
          <w:rFonts w:eastAsia="MS Mincho" w:cs="Arial"/>
        </w:rPr>
        <w:t>In 2019/20 smoking was responsible for 506,100 hospital admissions</w:t>
      </w:r>
      <w:r w:rsidR="00C634B9">
        <w:rPr>
          <w:rStyle w:val="FootnoteReference"/>
          <w:rFonts w:eastAsia="MS Mincho" w:cs="Arial"/>
        </w:rPr>
        <w:footnoteReference w:id="13"/>
      </w:r>
      <w:r w:rsidRPr="112407F7">
        <w:rPr>
          <w:rFonts w:eastAsia="MS Mincho" w:cs="Arial"/>
        </w:rPr>
        <w:t xml:space="preserve">. This represents 4% of all hospital admissions during that time period. As smoking has an impact on various systems of the body it can be attributable to many diseases such as respiratory, circulatory and cancer. There are many methods to stop smoking, prescriptions being one of them. During 2019/20, 710 thousand prescription items were dispensed to help people stop smoking. Currently there is ongoing work to encourage people to stop smoking in hospitals and to support them in the community. </w:t>
      </w:r>
    </w:p>
    <w:p w14:paraId="21F6FFB1" w14:textId="0D81994F" w:rsidR="00194C03" w:rsidRPr="00AA0BD9" w:rsidRDefault="00194C03" w:rsidP="006916BA">
      <w:pPr>
        <w:rPr>
          <w:rFonts w:eastAsia="MS Mincho" w:cs="Arial"/>
          <w:szCs w:val="24"/>
        </w:rPr>
      </w:pPr>
    </w:p>
    <w:p w14:paraId="76CCD552" w14:textId="53DED007" w:rsidR="006916BA" w:rsidRDefault="006916BA" w:rsidP="006916BA">
      <w:pPr>
        <w:rPr>
          <w:color w:val="477CBF"/>
        </w:rPr>
      </w:pPr>
      <w:r>
        <w:rPr>
          <w:color w:val="477CBF"/>
        </w:rPr>
        <w:t>Alcohol</w:t>
      </w:r>
    </w:p>
    <w:p w14:paraId="0CE7C0FD" w14:textId="397AE135" w:rsidR="00F15D1F" w:rsidRDefault="00F15D1F" w:rsidP="006916BA">
      <w:r>
        <w:t>Alcohol misu</w:t>
      </w:r>
      <w:r w:rsidR="001C2EC1">
        <w:t xml:space="preserve">se is when you drink in a harmful way or when you are </w:t>
      </w:r>
      <w:r w:rsidR="00012F6B">
        <w:t>dependent</w:t>
      </w:r>
      <w:r w:rsidR="001C2EC1">
        <w:t xml:space="preserve"> on alcohol. Men and women are advised not to drink more than 14 units of alcohol a week on a regular basis. Short term risks of alcohol misuse include accidents and injuries, violent behaviour, unprotected sex, loss of personal possessions and alcohol </w:t>
      </w:r>
      <w:r w:rsidR="00DE686D">
        <w:t>poi</w:t>
      </w:r>
      <w:r w:rsidR="00050B11">
        <w:t>soning</w:t>
      </w:r>
      <w:r w:rsidR="001C2EC1">
        <w:t>. Long term effects</w:t>
      </w:r>
      <w:r w:rsidR="009A287D">
        <w:t xml:space="preserve"> increase your risk for heart disease, stroke, liver disease, liver cancer, bowel cancer, mouth cancer, </w:t>
      </w:r>
      <w:r w:rsidR="00441466">
        <w:t>breast</w:t>
      </w:r>
      <w:r w:rsidR="009A287D">
        <w:t xml:space="preserve"> cancer and pancreatitis. As well as these serious problems, long-term alcohol </w:t>
      </w:r>
      <w:r w:rsidR="009A287D">
        <w:lastRenderedPageBreak/>
        <w:t>misuse can lead to other problems such as unemployment, divorce, domestic abuse</w:t>
      </w:r>
      <w:r w:rsidR="00D871C0">
        <w:t>,</w:t>
      </w:r>
      <w:r w:rsidR="009A287D">
        <w:t xml:space="preserve"> and homelessness</w:t>
      </w:r>
      <w:r w:rsidR="00441466">
        <w:rPr>
          <w:rStyle w:val="FootnoteReference"/>
        </w:rPr>
        <w:footnoteReference w:id="14"/>
      </w:r>
      <w:r w:rsidR="009A287D">
        <w:t>.</w:t>
      </w:r>
    </w:p>
    <w:p w14:paraId="08BC200E" w14:textId="3590BE78" w:rsidR="006916BA" w:rsidRPr="00825BD0" w:rsidRDefault="00083179" w:rsidP="006916BA">
      <w:r>
        <w:t xml:space="preserve">The </w:t>
      </w:r>
      <w:r w:rsidR="004A7FE2">
        <w:t xml:space="preserve">rate for admission episodes for alcohol-related conditions per 100,000 has risen nationally from </w:t>
      </w:r>
      <w:r w:rsidR="008C437C">
        <w:t>473.2 per 100,000 in 2016/17 to 494.4 in 2018/19</w:t>
      </w:r>
      <w:r w:rsidR="00EB64EB">
        <w:t xml:space="preserve">. Larger increases have been seen in both Coventry and Warwickshire over that period, with Coventry increasing from </w:t>
      </w:r>
      <w:r w:rsidR="008E738F">
        <w:t>578.9 per 100,000 in 2016/17 to 691.8 in 2018/19</w:t>
      </w:r>
      <w:r w:rsidR="006803DB">
        <w:t xml:space="preserve">, and Warwickshire increasing from 452.1 per 100,000 in 2016/17 to 525.4 in 2018/19. </w:t>
      </w:r>
    </w:p>
    <w:p w14:paraId="7626FB09" w14:textId="77777777" w:rsidR="00795F8E" w:rsidRDefault="00795F8E" w:rsidP="006916BA">
      <w:pPr>
        <w:rPr>
          <w:color w:val="477CBF"/>
        </w:rPr>
      </w:pPr>
    </w:p>
    <w:p w14:paraId="3F033A4C" w14:textId="61F35433" w:rsidR="006916BA" w:rsidRDefault="006916BA" w:rsidP="006916BA">
      <w:pPr>
        <w:rPr>
          <w:color w:val="477CBF"/>
        </w:rPr>
      </w:pPr>
      <w:r>
        <w:rPr>
          <w:color w:val="477CBF"/>
        </w:rPr>
        <w:t>Substance Misuse</w:t>
      </w:r>
    </w:p>
    <w:p w14:paraId="3F7E0B97" w14:textId="3E6D3C3F" w:rsidR="00D65810" w:rsidRDefault="00D65810" w:rsidP="006916BA">
      <w:r>
        <w:t>Substance misuse develop</w:t>
      </w:r>
      <w:r w:rsidR="006D7E51">
        <w:t>s when a person continually takes a substance that changes the way that person thinks and feels. This includes drugs, alcohol, and food</w:t>
      </w:r>
      <w:r w:rsidR="00DD78B8">
        <w:t>. The most commonly misused substances are stimulants, opiates, cigarettes, alcohol, and food. Misusing substances can affect both your physical and mental health, and can affect the way you behave, causing problems with relationships, jobs, and daily life</w:t>
      </w:r>
      <w:r w:rsidR="00DD78B8">
        <w:rPr>
          <w:rStyle w:val="FootnoteReference"/>
        </w:rPr>
        <w:footnoteReference w:id="15"/>
      </w:r>
      <w:r w:rsidR="00DD78B8">
        <w:t xml:space="preserve">. </w:t>
      </w:r>
    </w:p>
    <w:p w14:paraId="3A39C94E" w14:textId="37FEA7F4" w:rsidR="006916BA" w:rsidRDefault="004568B0" w:rsidP="006916BA">
      <w:r>
        <w:t xml:space="preserve">The </w:t>
      </w:r>
      <w:r w:rsidR="007472D0">
        <w:t xml:space="preserve">rate for hospital admissions due to substance misuse in 15-24-year-olds </w:t>
      </w:r>
      <w:r w:rsidR="00CE3AE4">
        <w:t xml:space="preserve">in England for </w:t>
      </w:r>
      <w:r w:rsidR="002D4902">
        <w:t>2018/19 to 2020/21 is 81.2 per 100,000</w:t>
      </w:r>
      <w:r w:rsidR="00E2030E">
        <w:t xml:space="preserve">. Coventry has a lower rate at 66.5 per 100,000, and Warwickshire has a similar rate of </w:t>
      </w:r>
      <w:r w:rsidR="00F620F6">
        <w:t xml:space="preserve">83.8 per 100,000. </w:t>
      </w:r>
    </w:p>
    <w:p w14:paraId="5EDA347C" w14:textId="1648C324" w:rsidR="00F620F6" w:rsidRPr="004568B0" w:rsidRDefault="1D6F4AB8" w:rsidP="006916BA">
      <w:r>
        <w:t xml:space="preserve">The number of people living with chronic </w:t>
      </w:r>
      <w:r w:rsidR="56A47A1B">
        <w:t>Hepatitis</w:t>
      </w:r>
      <w:r>
        <w:t xml:space="preserve"> C virus infection in England has fallen dramatically by 37% since 2015 to 81,000 in 2020, with many of those drawn from marginalised and </w:t>
      </w:r>
      <w:r w:rsidR="00050B11">
        <w:t>underserved</w:t>
      </w:r>
      <w:r>
        <w:t xml:space="preserve"> groups in society such as those who inject drugs. </w:t>
      </w:r>
      <w:r w:rsidR="006816FA">
        <w:t>In Coventry and Warwickshire t</w:t>
      </w:r>
      <w:r w:rsidR="00937DE7">
        <w:t>his decrease is largely driven by new treatments</w:t>
      </w:r>
      <w:r w:rsidR="00F92FF1">
        <w:t xml:space="preserve"> worked on by </w:t>
      </w:r>
      <w:r w:rsidR="005E7812">
        <w:t>Change Grow Live</w:t>
      </w:r>
      <w:r w:rsidR="00F92FF1">
        <w:t xml:space="preserve"> </w:t>
      </w:r>
      <w:r w:rsidR="005E7812">
        <w:t>(</w:t>
      </w:r>
      <w:r w:rsidR="00F92FF1">
        <w:t>CGL</w:t>
      </w:r>
      <w:r w:rsidR="005E7812">
        <w:t>)</w:t>
      </w:r>
      <w:r w:rsidR="00F92FF1">
        <w:t xml:space="preserve"> and </w:t>
      </w:r>
      <w:r w:rsidR="005E7812">
        <w:t>University Hospital Coventry &amp; Warwickshire (</w:t>
      </w:r>
      <w:r w:rsidR="00F92FF1">
        <w:t>UHCW</w:t>
      </w:r>
      <w:r w:rsidR="005E7812">
        <w:t>)</w:t>
      </w:r>
      <w:r w:rsidR="00F92FF1">
        <w:t xml:space="preserve"> to get</w:t>
      </w:r>
      <w:r w:rsidR="006816FA">
        <w:t xml:space="preserve"> </w:t>
      </w:r>
      <w:r w:rsidR="001761CE">
        <w:t xml:space="preserve">drug users into treatment and completing their drug regimen. Despite this decrease it is still important to retain focus to control and minimise community transmission. </w:t>
      </w:r>
    </w:p>
    <w:p w14:paraId="46099FD1" w14:textId="77777777" w:rsidR="00935E09" w:rsidRPr="004568B0" w:rsidRDefault="00935E09" w:rsidP="006916BA"/>
    <w:p w14:paraId="6F7FA00B" w14:textId="24E4233E" w:rsidR="006916BA" w:rsidRDefault="006916BA" w:rsidP="006916BA">
      <w:pPr>
        <w:rPr>
          <w:color w:val="477CBF"/>
        </w:rPr>
      </w:pPr>
      <w:r>
        <w:rPr>
          <w:color w:val="477CBF"/>
        </w:rPr>
        <w:t>Healthy Weight</w:t>
      </w:r>
    </w:p>
    <w:p w14:paraId="4E8B6EBA" w14:textId="1AC17296" w:rsidR="005B6464" w:rsidRDefault="005B6464" w:rsidP="006916BA">
      <w:r>
        <w:t>Being overweight or obese can increase the risk of developing a range of health problems such as coronary heart disease (CHD), type 2 diabetes, some cancers, stroke</w:t>
      </w:r>
      <w:r w:rsidR="00CE05B7">
        <w:t xml:space="preserve">, as well as </w:t>
      </w:r>
      <w:r w:rsidR="00CE05B7">
        <w:lastRenderedPageBreak/>
        <w:t>reducing life expectancy.</w:t>
      </w:r>
      <w:r w:rsidR="00F04817">
        <w:t xml:space="preserve"> The </w:t>
      </w:r>
      <w:r w:rsidR="00842FB7">
        <w:t>consequences of obesity can also have adverse</w:t>
      </w:r>
      <w:r w:rsidR="00840086">
        <w:t xml:space="preserve"> social effects through discrimination and social exclusion. </w:t>
      </w:r>
    </w:p>
    <w:p w14:paraId="47DBC8C3" w14:textId="0B1C89B3" w:rsidR="00C607D9" w:rsidRDefault="00E00307" w:rsidP="006916BA">
      <w:r>
        <w:t>The percentage of adults 18+ who are classified as overweight or obese</w:t>
      </w:r>
      <w:r w:rsidR="00D8396D">
        <w:t xml:space="preserve"> </w:t>
      </w:r>
      <w:r w:rsidR="00645332">
        <w:t xml:space="preserve">in England </w:t>
      </w:r>
      <w:r w:rsidR="00870A56">
        <w:t xml:space="preserve">has remained level over time, from 72.7% in 2016/17 to </w:t>
      </w:r>
      <w:r w:rsidR="007C2451">
        <w:t xml:space="preserve">72.1% in 2019/20. In Coventry </w:t>
      </w:r>
      <w:r w:rsidR="0065091A">
        <w:t xml:space="preserve">it has also remained level, from 64.3% in 2016/17 to </w:t>
      </w:r>
      <w:r w:rsidR="004B0FFE">
        <w:t xml:space="preserve">65.4% in 2019/20, however in Warwickshire there has been a rise in levels, from 58.6% in 2016/17 to </w:t>
      </w:r>
      <w:r w:rsidR="00BB340B">
        <w:t xml:space="preserve">63% in 2019/20. </w:t>
      </w:r>
    </w:p>
    <w:p w14:paraId="2B5E3AFB" w14:textId="34AF3A7D" w:rsidR="006916BA" w:rsidRDefault="006916BA" w:rsidP="006916BA">
      <w:pPr>
        <w:rPr>
          <w:color w:val="477CBF"/>
        </w:rPr>
      </w:pPr>
      <w:r>
        <w:rPr>
          <w:color w:val="477CBF"/>
        </w:rPr>
        <w:t>Sexual Health</w:t>
      </w:r>
    </w:p>
    <w:p w14:paraId="628E6FBE" w14:textId="27625BF8" w:rsidR="00512BC4" w:rsidRDefault="00512BC4" w:rsidP="006916BA">
      <w:r>
        <w:t xml:space="preserve">Teenage pregnancy and early motherhood have been associated with poor education attainment, poor physical and mental health, and deprivation. </w:t>
      </w:r>
      <w:r w:rsidR="00C1536E">
        <w:t xml:space="preserve">In England the under 18s conception rate per 1,000 </w:t>
      </w:r>
      <w:r w:rsidR="009A73E7">
        <w:t xml:space="preserve">females aged 15-17 </w:t>
      </w:r>
      <w:r w:rsidR="00C1536E">
        <w:t>is 13.</w:t>
      </w:r>
      <w:r w:rsidR="007F74B4">
        <w:t xml:space="preserve"> In Coventry this is higher at </w:t>
      </w:r>
      <w:r w:rsidR="00AF1CF7">
        <w:t>19.5</w:t>
      </w:r>
      <w:r w:rsidR="00D47252">
        <w:t xml:space="preserve">, and in Warwickshire </w:t>
      </w:r>
      <w:r w:rsidR="001411FA">
        <w:t xml:space="preserve">it is a similar level at 13.2. </w:t>
      </w:r>
    </w:p>
    <w:p w14:paraId="2400775C" w14:textId="2A503859" w:rsidR="006916BA" w:rsidRDefault="00A55777" w:rsidP="006916BA">
      <w:r>
        <w:t xml:space="preserve">The England rate for New STI diagnoses </w:t>
      </w:r>
      <w:r w:rsidR="00025C83">
        <w:t>was increasing from 817 per 100,000 in 2016 to 917 per 100,000 in 2019. It then had a sudden fall in 2020 to 619 per 100,000</w:t>
      </w:r>
      <w:r w:rsidR="00BF378E">
        <w:t xml:space="preserve"> (possibly impacted by the pandemic). </w:t>
      </w:r>
      <w:r w:rsidR="0027664E">
        <w:t xml:space="preserve">Warwickshire has seen a decrease from 651 per 100,000 in </w:t>
      </w:r>
      <w:r w:rsidR="004458C4">
        <w:t>2016 to 625 per 100,000 in 2019 before a similar fall to 422 per 100,000 in 2020.</w:t>
      </w:r>
      <w:r w:rsidR="00EF20B2">
        <w:t xml:space="preserve"> Coventry has also seen a decrease from 866 per 100,000 in 2016 to 786 per 100,00 in 2019</w:t>
      </w:r>
      <w:r w:rsidR="004C1F26">
        <w:t xml:space="preserve"> before a similar fall to 619 per 100,000 in 2020. </w:t>
      </w:r>
      <w:r w:rsidR="004458C4">
        <w:t xml:space="preserve"> </w:t>
      </w:r>
      <w:r>
        <w:t xml:space="preserve"> </w:t>
      </w:r>
    </w:p>
    <w:p w14:paraId="36E03C6D" w14:textId="77777777" w:rsidR="00A55777" w:rsidRPr="00A55777" w:rsidRDefault="00A55777" w:rsidP="006916BA"/>
    <w:p w14:paraId="49DBA84B" w14:textId="6E42C8BB" w:rsidR="006916BA" w:rsidRDefault="006916BA" w:rsidP="006916BA">
      <w:pPr>
        <w:pStyle w:val="Heading2"/>
      </w:pPr>
      <w:bookmarkStart w:id="47" w:name="_Toc113628604"/>
      <w:r>
        <w:t>Long Term Conditions</w:t>
      </w:r>
      <w:bookmarkEnd w:id="47"/>
    </w:p>
    <w:p w14:paraId="588E6F7C" w14:textId="4A6D7B0D" w:rsidR="33E976CB" w:rsidRPr="004507B5" w:rsidRDefault="33E976CB" w:rsidP="33E976CB">
      <w:r w:rsidRPr="004507B5">
        <w:t xml:space="preserve">There are five </w:t>
      </w:r>
      <w:r w:rsidR="00E8523B">
        <w:t>l</w:t>
      </w:r>
      <w:r w:rsidRPr="004507B5">
        <w:t xml:space="preserve">ong </w:t>
      </w:r>
      <w:r w:rsidR="00E8523B">
        <w:t>t</w:t>
      </w:r>
      <w:r w:rsidRPr="004507B5">
        <w:t xml:space="preserve">erm </w:t>
      </w:r>
      <w:r w:rsidR="00BA1550" w:rsidRPr="004507B5">
        <w:t>conditions</w:t>
      </w:r>
      <w:r w:rsidRPr="004507B5">
        <w:t xml:space="preserve"> referenced </w:t>
      </w:r>
      <w:r w:rsidR="00BA1550" w:rsidRPr="004507B5">
        <w:t xml:space="preserve">within </w:t>
      </w:r>
      <w:r w:rsidRPr="004507B5">
        <w:t>this section</w:t>
      </w:r>
      <w:r w:rsidR="00BA1550" w:rsidRPr="004507B5">
        <w:t xml:space="preserve">. </w:t>
      </w:r>
      <w:r w:rsidR="0098367B" w:rsidRPr="004507B5">
        <w:t xml:space="preserve">How pharmacy supports these conditions is </w:t>
      </w:r>
      <w:r w:rsidR="00A412E4" w:rsidRPr="004507B5">
        <w:t>detailed in the Current Provisions</w:t>
      </w:r>
      <w:r w:rsidRPr="004507B5">
        <w:t xml:space="preserve"> and </w:t>
      </w:r>
      <w:r w:rsidR="00A412E4" w:rsidRPr="004507B5">
        <w:t xml:space="preserve">Services chapter. </w:t>
      </w:r>
      <w:r w:rsidR="008A7717" w:rsidRPr="004507B5">
        <w:t>What follows here is an overview</w:t>
      </w:r>
      <w:r w:rsidR="00513FB8" w:rsidRPr="004507B5">
        <w:t xml:space="preserve"> of these conditions and the local rates across Coventry and Warwickshire.</w:t>
      </w:r>
      <w:r w:rsidRPr="004507B5">
        <w:t xml:space="preserve"> </w:t>
      </w:r>
    </w:p>
    <w:p w14:paraId="28953F39" w14:textId="3D7898BD" w:rsidR="006916BA" w:rsidRDefault="0058517A" w:rsidP="006916BA">
      <w:pPr>
        <w:rPr>
          <w:color w:val="477CBF"/>
        </w:rPr>
      </w:pPr>
      <w:r>
        <w:rPr>
          <w:color w:val="477CBF"/>
        </w:rPr>
        <w:t>Cancer</w:t>
      </w:r>
    </w:p>
    <w:p w14:paraId="3DFC90B7" w14:textId="7A2AFD47" w:rsidR="00B35C1D" w:rsidRDefault="00ED6C2F" w:rsidP="006916BA">
      <w:r>
        <w:t xml:space="preserve">One in every two people in England will be told they have cancer at some point in their lives. </w:t>
      </w:r>
      <w:r w:rsidR="00B35C1D">
        <w:t>The NHS Long Term Plan</w:t>
      </w:r>
      <w:r w:rsidR="00B422EB">
        <w:rPr>
          <w:rStyle w:val="FootnoteReference"/>
        </w:rPr>
        <w:footnoteReference w:id="16"/>
      </w:r>
      <w:r w:rsidR="00B35C1D">
        <w:t xml:space="preserve"> </w:t>
      </w:r>
      <w:r w:rsidR="00CB3515">
        <w:t xml:space="preserve">aims to </w:t>
      </w:r>
      <w:r w:rsidR="00B70426">
        <w:t xml:space="preserve">help an extra 55,000 people each year to survive </w:t>
      </w:r>
      <w:r w:rsidR="00B422EB">
        <w:t>for five years or more following their cancer diagnosis by 2028.</w:t>
      </w:r>
      <w:r w:rsidR="007561EB">
        <w:t xml:space="preserve"> This will include improving national screening programmes, giving faster access to diagnostic tests, investing in cutting edge treatments and technologies, and making sure more patients can quickly benefit from precise, highly personalised treatments as medical science advances. </w:t>
      </w:r>
    </w:p>
    <w:p w14:paraId="49229892" w14:textId="09C4931E" w:rsidR="0058517A" w:rsidRDefault="00EE41A9" w:rsidP="006916BA">
      <w:r>
        <w:lastRenderedPageBreak/>
        <w:t xml:space="preserve">The percentage of deaths with underlying cause </w:t>
      </w:r>
      <w:r w:rsidR="00E8523B">
        <w:t xml:space="preserve">of </w:t>
      </w:r>
      <w:r>
        <w:t xml:space="preserve">cancer in all ages </w:t>
      </w:r>
      <w:r w:rsidR="002548C2">
        <w:t xml:space="preserve">has </w:t>
      </w:r>
      <w:r w:rsidR="004C3967">
        <w:t>stayed at a similar level</w:t>
      </w:r>
      <w:r w:rsidR="31FB2ED1">
        <w:t xml:space="preserve"> nationally</w:t>
      </w:r>
      <w:r w:rsidR="004C3967">
        <w:t xml:space="preserve">, with </w:t>
      </w:r>
      <w:r w:rsidR="00AB3CDD">
        <w:t xml:space="preserve">the percentage </w:t>
      </w:r>
      <w:r w:rsidR="0093017C">
        <w:t xml:space="preserve">in 2016 being </w:t>
      </w:r>
      <w:r w:rsidR="00991127">
        <w:t xml:space="preserve">28% and in 2019 27.9%. In 2020 this saw a decrease to 24.3%, perhaps due to access to health services during the pandemic. </w:t>
      </w:r>
      <w:r w:rsidR="00AA1563">
        <w:t>Warwickshire has shown a slight increase between 2016 (</w:t>
      </w:r>
      <w:r w:rsidR="00102349">
        <w:t xml:space="preserve">26.7%) to 2019 (28.1%) before seeing a similar drop </w:t>
      </w:r>
      <w:r w:rsidR="00AA2770">
        <w:t>in 2020</w:t>
      </w:r>
      <w:r w:rsidR="00102349">
        <w:t xml:space="preserve"> to 2</w:t>
      </w:r>
      <w:r w:rsidR="00F530D8">
        <w:t xml:space="preserve">4.3%. </w:t>
      </w:r>
      <w:r w:rsidR="00AA2770">
        <w:t>Coventry has stayed at a similar level, with 27.1% in 2016 and 27.2% in 2019, before a similar drop in 2020 to 22.5%</w:t>
      </w:r>
      <w:r w:rsidR="00DF7517">
        <w:t>.</w:t>
      </w:r>
    </w:p>
    <w:p w14:paraId="3FAB4540" w14:textId="5059B07C" w:rsidR="00DF7517" w:rsidRDefault="00DF7517" w:rsidP="006916BA">
      <w:r>
        <w:t>The Cancer in Coventry &amp; Warwickshire report (2016)</w:t>
      </w:r>
      <w:r w:rsidR="00B5062B">
        <w:rPr>
          <w:rStyle w:val="FootnoteReference"/>
        </w:rPr>
        <w:footnoteReference w:id="17"/>
      </w:r>
      <w:r>
        <w:t xml:space="preserve"> highlighted that improved access to smoking cessation services particularly among vulnerable groups, the delivery of alcohol brief interventions in primary care and through commissioned services, and consideration of primary care services can improve access to screening programmes, particularly for vulnerable groups. </w:t>
      </w:r>
    </w:p>
    <w:p w14:paraId="65CDBA72" w14:textId="77777777" w:rsidR="00394070" w:rsidRPr="009E5953" w:rsidRDefault="00394070" w:rsidP="006916BA"/>
    <w:p w14:paraId="7AB88B34" w14:textId="0829CAC9" w:rsidR="0058517A" w:rsidRDefault="0058517A" w:rsidP="006916BA">
      <w:pPr>
        <w:rPr>
          <w:color w:val="477CBF"/>
        </w:rPr>
      </w:pPr>
      <w:r>
        <w:rPr>
          <w:color w:val="477CBF"/>
        </w:rPr>
        <w:t>Cardiovascular Disease (CVD)</w:t>
      </w:r>
    </w:p>
    <w:p w14:paraId="4082B638" w14:textId="74659D9E" w:rsidR="00D66CA5" w:rsidRDefault="00D66CA5" w:rsidP="006916BA">
      <w:r>
        <w:t xml:space="preserve">Cardiovascular disease (CVD) is an overarching term to describe all diseases affecting the heart and circulatory system, including coronary heart disease (CHD), angina, heart attack, congenital heart disease and stroke. </w:t>
      </w:r>
    </w:p>
    <w:p w14:paraId="4C08721D" w14:textId="42E75A5F" w:rsidR="0058517A" w:rsidRDefault="00A46BEC" w:rsidP="006916BA">
      <w:r>
        <w:t>The England rate for under 75 mortality from all cardiovascular diseases in 2020 was 73.8 per 100,000</w:t>
      </w:r>
      <w:r w:rsidR="001A0A53">
        <w:t xml:space="preserve"> population</w:t>
      </w:r>
      <w:r w:rsidR="00C34F94">
        <w:t xml:space="preserve">. The Coventry rate was higher at 107.2 per 100,000 whilst the Warwickshire rate was similar to the England rate at 78.5 per 100,000. </w:t>
      </w:r>
    </w:p>
    <w:p w14:paraId="48AF2C12" w14:textId="1D55FE95" w:rsidR="00CF571C" w:rsidRDefault="00CF571C" w:rsidP="006916BA">
      <w:r>
        <w:t>CVD risk increases with age and men are more likely to develop CVD at an earlier age. The more CVD risk factors an individual has the higher their risk of developing CVD</w:t>
      </w:r>
      <w:r w:rsidR="00D5029D">
        <w:t>. There have been significant advancements in treating CVD and understanding the importance of lifestyle in CVD development. However, for a continued reduction in the rate of premature mortality from CVD, there must be a focus on prevention.</w:t>
      </w:r>
      <w:r w:rsidR="002A265E">
        <w:rPr>
          <w:rStyle w:val="FootnoteReference"/>
        </w:rPr>
        <w:footnoteReference w:id="18"/>
      </w:r>
    </w:p>
    <w:p w14:paraId="46DE434B" w14:textId="77777777" w:rsidR="005E4E49" w:rsidRPr="00A46BEC" w:rsidRDefault="005E4E49" w:rsidP="006916BA"/>
    <w:p w14:paraId="79BA4A3E" w14:textId="5E5F77E1" w:rsidR="0058517A" w:rsidRDefault="0058517A" w:rsidP="006916BA">
      <w:pPr>
        <w:rPr>
          <w:color w:val="477CBF"/>
        </w:rPr>
      </w:pPr>
      <w:r>
        <w:rPr>
          <w:color w:val="477CBF"/>
        </w:rPr>
        <w:t>Diabetes</w:t>
      </w:r>
    </w:p>
    <w:p w14:paraId="69D69C01" w14:textId="6E4F5479" w:rsidR="000A5D7C" w:rsidRDefault="000A5D7C" w:rsidP="006916BA">
      <w:r>
        <w:t xml:space="preserve">Diabetes </w:t>
      </w:r>
      <w:r w:rsidR="005B3960">
        <w:t xml:space="preserve">is </w:t>
      </w:r>
      <w:r w:rsidR="00B972C3">
        <w:t xml:space="preserve">one of the UK’s biggest health </w:t>
      </w:r>
      <w:r w:rsidR="001C2D7D">
        <w:t>issues and</w:t>
      </w:r>
      <w:r w:rsidR="00DF230A">
        <w:t xml:space="preserve"> is currently rising. </w:t>
      </w:r>
      <w:r w:rsidR="001C2D7D">
        <w:t xml:space="preserve">The impact and complications of diabetes can include blindness, amputations, and early death. </w:t>
      </w:r>
      <w:r w:rsidR="00A2289F">
        <w:t xml:space="preserve">Diabetes </w:t>
      </w:r>
      <w:r w:rsidR="00A2289F">
        <w:lastRenderedPageBreak/>
        <w:t xml:space="preserve">costs the NHS nearly £10 </w:t>
      </w:r>
      <w:r w:rsidR="004B67BB">
        <w:t>b</w:t>
      </w:r>
      <w:r w:rsidR="00A2289F">
        <w:t>illion a year,</w:t>
      </w:r>
      <w:r w:rsidR="00E7232F">
        <w:t xml:space="preserve"> 80% of which </w:t>
      </w:r>
      <w:r w:rsidR="004441BC">
        <w:t xml:space="preserve">is </w:t>
      </w:r>
      <w:r w:rsidR="00A86E9A">
        <w:t>spent trying to manage avoidable complications</w:t>
      </w:r>
      <w:r w:rsidR="00805D52">
        <w:rPr>
          <w:rStyle w:val="FootnoteReference"/>
        </w:rPr>
        <w:footnoteReference w:id="19"/>
      </w:r>
      <w:r w:rsidR="00A86E9A">
        <w:t>.</w:t>
      </w:r>
    </w:p>
    <w:p w14:paraId="418B59A1" w14:textId="2CAFA841" w:rsidR="0058517A" w:rsidRDefault="002E2F99" w:rsidP="006916BA">
      <w:r>
        <w:t>Nationally the prevalence of diabetes in</w:t>
      </w:r>
      <w:r w:rsidR="00CE7625">
        <w:t xml:space="preserve"> people 17+ </w:t>
      </w:r>
      <w:r w:rsidR="003D26B5">
        <w:t>has been increasing from 6.7%</w:t>
      </w:r>
      <w:r w:rsidR="009A0363">
        <w:t xml:space="preserve"> in 2016/17 to 7.1% in 2020/21. That pattern can be seen on a local level, with Warwickshire increasing from 6.4% in 2016/17 to 6.8% in 2020/21 and Coventry increasing from </w:t>
      </w:r>
      <w:r w:rsidR="00E801A0">
        <w:t xml:space="preserve">6.7% in 2016/17 to 7% in 2020/21. </w:t>
      </w:r>
    </w:p>
    <w:p w14:paraId="48F6C847" w14:textId="77777777" w:rsidR="00F269D7" w:rsidRPr="002E2F99" w:rsidRDefault="00F269D7" w:rsidP="006916BA"/>
    <w:p w14:paraId="2FCB3D55" w14:textId="5B174DD0" w:rsidR="0058517A" w:rsidRDefault="0058517A" w:rsidP="006916BA">
      <w:pPr>
        <w:rPr>
          <w:color w:val="477CBF"/>
        </w:rPr>
      </w:pPr>
      <w:r>
        <w:rPr>
          <w:color w:val="477CBF"/>
        </w:rPr>
        <w:t>Mental Health</w:t>
      </w:r>
    </w:p>
    <w:p w14:paraId="5D082806" w14:textId="76A40D2D" w:rsidR="00F92BD3" w:rsidRDefault="00674279" w:rsidP="006916BA">
      <w:r>
        <w:t>Improved</w:t>
      </w:r>
      <w:r w:rsidR="0075523C">
        <w:t xml:space="preserve"> mental health and wellbeing is associated with a range of better outcomes for people of all ages and backgrounds. These include improved physical health, life expectancy and better educational achievement. </w:t>
      </w:r>
      <w:r w:rsidR="00A160E7">
        <w:t xml:space="preserve">Coventry and </w:t>
      </w:r>
      <w:r w:rsidR="0075523C">
        <w:t xml:space="preserve">Warwickshire Child and Adolescent Mental Health Services </w:t>
      </w:r>
      <w:r w:rsidR="009802D6">
        <w:t>(CAMHS)</w:t>
      </w:r>
      <w:r w:rsidR="00A160E7">
        <w:rPr>
          <w:rStyle w:val="FootnoteReference"/>
        </w:rPr>
        <w:footnoteReference w:id="20"/>
      </w:r>
      <w:r w:rsidR="00486C3F">
        <w:t xml:space="preserve"> </w:t>
      </w:r>
      <w:r w:rsidR="000F62E1">
        <w:t>offers a comprehensive range of services that provide help and treatment to children and young people experiencing emotional or behavioural difficulties. Coventry and Warwickshire Partnership Trust, as well as other organisations across the area, offer a range of support for people aged 16+.</w:t>
      </w:r>
    </w:p>
    <w:p w14:paraId="30A5F3F3" w14:textId="1BC2B1C1" w:rsidR="0058517A" w:rsidRPr="009E6DEA" w:rsidRDefault="009E6DEA" w:rsidP="006916BA">
      <w:r>
        <w:t xml:space="preserve">The estimated prevalence of common mental disorders of the population aged 16 and over </w:t>
      </w:r>
      <w:r w:rsidR="00762C5A">
        <w:t xml:space="preserve">in England is 16.9%. Coventry is higher than the England rate at 19.1%, whereas Warwickshire is lower at 14.8%. </w:t>
      </w:r>
    </w:p>
    <w:p w14:paraId="5344DB8A" w14:textId="77777777" w:rsidR="009E6DEA" w:rsidRDefault="009E6DEA" w:rsidP="006916BA">
      <w:pPr>
        <w:rPr>
          <w:color w:val="477CBF"/>
        </w:rPr>
      </w:pPr>
    </w:p>
    <w:p w14:paraId="5046099F" w14:textId="22F96C6D" w:rsidR="0058517A" w:rsidRDefault="0058517A" w:rsidP="006916BA">
      <w:pPr>
        <w:rPr>
          <w:color w:val="477CBF"/>
        </w:rPr>
      </w:pPr>
      <w:r>
        <w:rPr>
          <w:color w:val="477CBF"/>
        </w:rPr>
        <w:t>Respiratory</w:t>
      </w:r>
    </w:p>
    <w:p w14:paraId="0F8214C7" w14:textId="5EC80035" w:rsidR="00D10644" w:rsidRDefault="00464814" w:rsidP="006916BA">
      <w:r>
        <w:t>Respiratory disease affects one in five people in England and is the 3</w:t>
      </w:r>
      <w:r w:rsidRPr="00464814">
        <w:rPr>
          <w:vertAlign w:val="superscript"/>
        </w:rPr>
        <w:t>rd</w:t>
      </w:r>
      <w:r>
        <w:t xml:space="preserve"> biggest cause of death after cancer and cardiovascular disease. </w:t>
      </w:r>
      <w:r w:rsidR="00897949">
        <w:t>Both incidence and mortality rates are highest in more disadvantaged groups and areas of social deprivation</w:t>
      </w:r>
      <w:r w:rsidR="00CD4C0A">
        <w:t>, with this gap continuing to grow and leading to worse health outcomes.</w:t>
      </w:r>
      <w:r w:rsidR="00AD268F">
        <w:t xml:space="preserve"> This in part is due to the most deprived communities </w:t>
      </w:r>
      <w:r w:rsidR="00FA6EA4">
        <w:t>having higher smoking rates, exposure to air pollution, poor housing conditions and more exposure to occupation</w:t>
      </w:r>
      <w:r w:rsidR="002261AF">
        <w:t>al</w:t>
      </w:r>
      <w:r w:rsidR="00FA6EA4">
        <w:t xml:space="preserve"> hazards</w:t>
      </w:r>
      <w:r w:rsidR="003E3FD6">
        <w:rPr>
          <w:rStyle w:val="FootnoteReference"/>
        </w:rPr>
        <w:footnoteReference w:id="21"/>
      </w:r>
      <w:r w:rsidR="00FA6EA4">
        <w:t xml:space="preserve">. </w:t>
      </w:r>
    </w:p>
    <w:p w14:paraId="74CB4151" w14:textId="20C3B84D" w:rsidR="0058517A" w:rsidRDefault="00C86CCE" w:rsidP="006916BA">
      <w:r>
        <w:lastRenderedPageBreak/>
        <w:t>The under 75 mortality rate from respiratory disease in 2020</w:t>
      </w:r>
      <w:r w:rsidR="007A296D">
        <w:t xml:space="preserve"> for England was 29.4 per 100,000</w:t>
      </w:r>
      <w:r w:rsidR="00E77747">
        <w:t xml:space="preserve"> population. Coventry had a higher rate of 41 per 100,000 population, </w:t>
      </w:r>
      <w:r w:rsidR="00AD1D67">
        <w:t xml:space="preserve">Warwickshire had a lower rate of 24 per 100,000 population. </w:t>
      </w:r>
    </w:p>
    <w:p w14:paraId="7429620A" w14:textId="77777777" w:rsidR="00AD1D67" w:rsidRPr="00ED69EE" w:rsidRDefault="00AD1D67" w:rsidP="006916BA"/>
    <w:p w14:paraId="71170621" w14:textId="7E4DA3F9" w:rsidR="0058517A" w:rsidRDefault="0058517A" w:rsidP="0058517A">
      <w:pPr>
        <w:pStyle w:val="Heading2"/>
      </w:pPr>
      <w:bookmarkStart w:id="48" w:name="_Toc113628605"/>
      <w:r>
        <w:t>COVID-19</w:t>
      </w:r>
      <w:bookmarkEnd w:id="48"/>
    </w:p>
    <w:p w14:paraId="2AC852AC" w14:textId="77777777" w:rsidR="0031150D" w:rsidRDefault="0031150D" w:rsidP="0031150D">
      <w:pPr>
        <w:spacing w:line="276" w:lineRule="auto"/>
      </w:pPr>
      <w:r w:rsidRPr="2289A1FF">
        <w:rPr>
          <w:rFonts w:eastAsia="Arial" w:cs="Arial"/>
        </w:rPr>
        <w:t>In December 2019 a case of pneumonia from a new strain of coronavirus termed COVID-19 was detected. By March 2020 this virus had spread to 114 countries, led to 4291 deaths and</w:t>
      </w:r>
      <w:r>
        <w:rPr>
          <w:rFonts w:eastAsia="Arial" w:cs="Arial"/>
        </w:rPr>
        <w:t xml:space="preserve"> a pandemic was declared</w:t>
      </w:r>
      <w:r w:rsidRPr="2289A1FF">
        <w:rPr>
          <w:rStyle w:val="FootnoteReference"/>
          <w:rFonts w:eastAsia="Arial" w:cs="Arial"/>
        </w:rPr>
        <w:footnoteReference w:id="22"/>
      </w:r>
      <w:r w:rsidRPr="2289A1FF">
        <w:rPr>
          <w:rFonts w:eastAsia="Arial" w:cs="Arial"/>
        </w:rPr>
        <w:t xml:space="preserve">. </w:t>
      </w:r>
    </w:p>
    <w:p w14:paraId="621865FA" w14:textId="77777777" w:rsidR="0031150D" w:rsidRDefault="0031150D" w:rsidP="0031150D">
      <w:pPr>
        <w:spacing w:line="276" w:lineRule="auto"/>
      </w:pPr>
      <w:r w:rsidRPr="2289A1FF">
        <w:rPr>
          <w:rFonts w:eastAsia="Arial" w:cs="Arial"/>
        </w:rPr>
        <w:t>In order to limit the spread</w:t>
      </w:r>
      <w:r>
        <w:rPr>
          <w:rFonts w:eastAsia="Arial" w:cs="Arial"/>
        </w:rPr>
        <w:t xml:space="preserve"> of the virus,</w:t>
      </w:r>
      <w:r w:rsidRPr="2289A1FF">
        <w:rPr>
          <w:rFonts w:eastAsia="Arial" w:cs="Arial"/>
        </w:rPr>
        <w:t xml:space="preserve"> the Government implemented </w:t>
      </w:r>
      <w:r>
        <w:rPr>
          <w:rFonts w:eastAsia="Arial" w:cs="Arial"/>
        </w:rPr>
        <w:t xml:space="preserve">a range of infection control measures including isolation of cases and close contacts, </w:t>
      </w:r>
      <w:r w:rsidRPr="2289A1FF">
        <w:rPr>
          <w:rFonts w:eastAsia="Arial" w:cs="Arial"/>
        </w:rPr>
        <w:t xml:space="preserve">closure of schools, </w:t>
      </w:r>
      <w:r>
        <w:rPr>
          <w:rFonts w:eastAsia="Arial" w:cs="Arial"/>
        </w:rPr>
        <w:t xml:space="preserve">as well as requiring </w:t>
      </w:r>
      <w:r w:rsidRPr="2289A1FF">
        <w:rPr>
          <w:rFonts w:eastAsia="Arial" w:cs="Arial"/>
        </w:rPr>
        <w:t xml:space="preserve">restaurants, pubs and </w:t>
      </w:r>
      <w:r>
        <w:rPr>
          <w:rFonts w:eastAsia="Arial" w:cs="Arial"/>
        </w:rPr>
        <w:t xml:space="preserve">a range of </w:t>
      </w:r>
      <w:r w:rsidRPr="2289A1FF">
        <w:rPr>
          <w:rFonts w:eastAsia="Arial" w:cs="Arial"/>
        </w:rPr>
        <w:t xml:space="preserve">other </w:t>
      </w:r>
      <w:r>
        <w:rPr>
          <w:rFonts w:eastAsia="Arial" w:cs="Arial"/>
        </w:rPr>
        <w:t xml:space="preserve">“close contact” </w:t>
      </w:r>
      <w:r w:rsidRPr="2289A1FF">
        <w:rPr>
          <w:rFonts w:eastAsia="Arial" w:cs="Arial"/>
        </w:rPr>
        <w:t>businesses</w:t>
      </w:r>
      <w:r>
        <w:rPr>
          <w:rFonts w:eastAsia="Arial" w:cs="Arial"/>
        </w:rPr>
        <w:t xml:space="preserve"> to close</w:t>
      </w:r>
      <w:r w:rsidRPr="2289A1FF">
        <w:rPr>
          <w:rFonts w:eastAsia="Arial" w:cs="Arial"/>
        </w:rPr>
        <w:t>. There was also a limitation of gatherings of more than two people from separate households, and mandatory wearing of face coverings. The above came into effect in March 2020</w:t>
      </w:r>
      <w:r w:rsidRPr="2289A1FF">
        <w:rPr>
          <w:rStyle w:val="FootnoteReference"/>
          <w:rFonts w:eastAsia="Arial" w:cs="Arial"/>
        </w:rPr>
        <w:footnoteReference w:id="23"/>
      </w:r>
      <w:r w:rsidRPr="2289A1FF">
        <w:rPr>
          <w:rFonts w:eastAsia="Arial" w:cs="Arial"/>
        </w:rPr>
        <w:t xml:space="preserve">. </w:t>
      </w:r>
    </w:p>
    <w:p w14:paraId="5D0D0B53" w14:textId="77777777" w:rsidR="0031150D" w:rsidRDefault="0031150D" w:rsidP="0031150D">
      <w:pPr>
        <w:spacing w:line="276" w:lineRule="auto"/>
      </w:pPr>
      <w:r>
        <w:rPr>
          <w:rFonts w:eastAsia="Arial" w:cs="Arial"/>
        </w:rPr>
        <w:t xml:space="preserve">Throughout the pandemic these control measures were increased and relaxed over the course of a number of waves, before being </w:t>
      </w:r>
      <w:r w:rsidRPr="2289A1FF">
        <w:rPr>
          <w:rFonts w:eastAsia="Arial" w:cs="Arial"/>
        </w:rPr>
        <w:t>gradually lifted</w:t>
      </w:r>
      <w:r>
        <w:rPr>
          <w:rFonts w:eastAsia="Arial" w:cs="Arial"/>
        </w:rPr>
        <w:t xml:space="preserve">. At the time of writing, national policy has </w:t>
      </w:r>
      <w:r w:rsidRPr="2289A1FF">
        <w:rPr>
          <w:rFonts w:eastAsia="Arial" w:cs="Arial"/>
        </w:rPr>
        <w:t>shift</w:t>
      </w:r>
      <w:r>
        <w:rPr>
          <w:rFonts w:eastAsia="Arial" w:cs="Arial"/>
        </w:rPr>
        <w:t>ed</w:t>
      </w:r>
      <w:r w:rsidRPr="2289A1FF">
        <w:rPr>
          <w:rFonts w:eastAsia="Arial" w:cs="Arial"/>
        </w:rPr>
        <w:t xml:space="preserve"> to an approach of </w:t>
      </w:r>
      <w:r>
        <w:rPr>
          <w:rFonts w:eastAsia="Arial" w:cs="Arial"/>
        </w:rPr>
        <w:t>“</w:t>
      </w:r>
      <w:r w:rsidRPr="2289A1FF">
        <w:rPr>
          <w:rFonts w:eastAsia="Arial" w:cs="Arial"/>
        </w:rPr>
        <w:t>living</w:t>
      </w:r>
      <w:r>
        <w:rPr>
          <w:rFonts w:eastAsia="Arial" w:cs="Arial"/>
        </w:rPr>
        <w:t xml:space="preserve"> safely</w:t>
      </w:r>
      <w:r w:rsidRPr="2289A1FF">
        <w:rPr>
          <w:rFonts w:eastAsia="Arial" w:cs="Arial"/>
        </w:rPr>
        <w:t xml:space="preserve"> with COVID-19</w:t>
      </w:r>
      <w:r>
        <w:rPr>
          <w:rFonts w:eastAsia="Arial" w:cs="Arial"/>
        </w:rPr>
        <w:t>”, with ongoing recommendations to: remain at home and avoid contact with others when unwell, wear a face covering in indoor public places and ensure they are well ventilated, and get fully vaccinated against COVID-19</w:t>
      </w:r>
      <w:r w:rsidRPr="2289A1FF">
        <w:rPr>
          <w:rStyle w:val="FootnoteReference"/>
          <w:rFonts w:eastAsia="Arial" w:cs="Arial"/>
        </w:rPr>
        <w:footnoteReference w:id="24"/>
      </w:r>
      <w:r w:rsidRPr="2289A1FF">
        <w:rPr>
          <w:rFonts w:eastAsia="Arial" w:cs="Arial"/>
        </w:rPr>
        <w:t>.</w:t>
      </w:r>
    </w:p>
    <w:p w14:paraId="58785162" w14:textId="77777777" w:rsidR="0031150D" w:rsidRDefault="0031150D" w:rsidP="0031150D">
      <w:pPr>
        <w:spacing w:line="276" w:lineRule="auto"/>
      </w:pPr>
      <w:r w:rsidRPr="00766AA4">
        <w:rPr>
          <w:rFonts w:eastAsia="Arial" w:cs="Arial"/>
          <w:szCs w:val="24"/>
        </w:rPr>
        <w:t xml:space="preserve">It is important to recognise how Community Pharmacies have supported the public during the COVID-19 pandemic; this includes remaining open and offering a face-to-face service throughout, supporting the testing and vaccination programme and offering advice to people who were not able to make a GP appointment. </w:t>
      </w:r>
    </w:p>
    <w:p w14:paraId="1AD6FB77" w14:textId="77777777" w:rsidR="0031150D" w:rsidRDefault="0031150D" w:rsidP="0031150D">
      <w:pPr>
        <w:spacing w:line="276" w:lineRule="auto"/>
        <w:rPr>
          <w:rFonts w:eastAsia="Arial" w:cs="Arial"/>
          <w:szCs w:val="24"/>
        </w:rPr>
      </w:pPr>
      <w:r w:rsidRPr="2289A1FF">
        <w:rPr>
          <w:rFonts w:eastAsia="Arial" w:cs="Arial"/>
        </w:rPr>
        <w:t xml:space="preserve">COVID-19 has led to an increase in workload as there has been a significant increase in requests for healthcare advice. This has also been compounded by the decrease in workforce with the main cause being sickness from COVID-19 and self-isolation. This combination has led to increased pressure on staff and having to reduce services provided and at times </w:t>
      </w:r>
      <w:r w:rsidRPr="2289A1FF">
        <w:rPr>
          <w:rFonts w:eastAsia="Arial" w:cs="Arial"/>
        </w:rPr>
        <w:lastRenderedPageBreak/>
        <w:t>opening hours. The above has caused a negative impact on pharmacy team members</w:t>
      </w:r>
      <w:r>
        <w:rPr>
          <w:rFonts w:eastAsia="Arial" w:cs="Arial"/>
        </w:rPr>
        <w:t>’</w:t>
      </w:r>
      <w:r w:rsidRPr="2289A1FF">
        <w:rPr>
          <w:rFonts w:eastAsia="Arial" w:cs="Arial"/>
        </w:rPr>
        <w:t xml:space="preserve"> wellbeing</w:t>
      </w:r>
      <w:r w:rsidRPr="2289A1FF">
        <w:rPr>
          <w:rStyle w:val="FootnoteReference"/>
          <w:rFonts w:eastAsia="Arial" w:cs="Arial"/>
        </w:rPr>
        <w:footnoteReference w:id="25"/>
      </w:r>
      <w:r w:rsidRPr="2289A1FF">
        <w:rPr>
          <w:rFonts w:eastAsia="Arial" w:cs="Arial"/>
        </w:rPr>
        <w:t xml:space="preserve">. This is important to bear in mind when the public depend so heavily on community pharmacies. </w:t>
      </w:r>
    </w:p>
    <w:p w14:paraId="4479B60F" w14:textId="77777777" w:rsidR="0031150D" w:rsidRDefault="0031150D" w:rsidP="0031150D">
      <w:pPr>
        <w:spacing w:line="276" w:lineRule="auto"/>
      </w:pPr>
      <w:r w:rsidRPr="10AFC29C">
        <w:rPr>
          <w:rFonts w:eastAsia="Arial" w:cs="Arial"/>
          <w:color w:val="477CBF" w:themeColor="accent1"/>
          <w:szCs w:val="24"/>
        </w:rPr>
        <w:t xml:space="preserve">Vaccinations </w:t>
      </w:r>
    </w:p>
    <w:p w14:paraId="0C4A2F46" w14:textId="77777777" w:rsidR="0031150D" w:rsidRDefault="0031150D" w:rsidP="0031150D">
      <w:pPr>
        <w:spacing w:line="276" w:lineRule="auto"/>
      </w:pPr>
      <w:r w:rsidRPr="2289A1FF">
        <w:rPr>
          <w:rFonts w:eastAsia="Arial" w:cs="Arial"/>
        </w:rPr>
        <w:t xml:space="preserve">The UK was the first country in the world to authorise the use of </w:t>
      </w:r>
      <w:r w:rsidRPr="2289A1FF">
        <w:rPr>
          <w:rFonts w:eastAsia="Arial" w:cs="Arial"/>
          <w:color w:val="0B0C0C"/>
        </w:rPr>
        <w:t>Pfizer and Oxford / AstraZeneca COVID-19 vaccines. The first ever COVID-19 vaccination outside clinical trials was administered at University Hospital of Coventry and Warwickshire on 8</w:t>
      </w:r>
      <w:r w:rsidRPr="2289A1FF">
        <w:rPr>
          <w:rFonts w:eastAsia="Arial" w:cs="Arial"/>
          <w:color w:val="0B0C0C"/>
          <w:vertAlign w:val="superscript"/>
        </w:rPr>
        <w:t>th</w:t>
      </w:r>
      <w:r w:rsidRPr="2289A1FF">
        <w:rPr>
          <w:rFonts w:eastAsia="Arial" w:cs="Arial"/>
          <w:color w:val="0B0C0C"/>
        </w:rPr>
        <w:t xml:space="preserve"> December 2020</w:t>
      </w:r>
      <w:r w:rsidRPr="2289A1FF">
        <w:rPr>
          <w:rStyle w:val="FootnoteReference"/>
          <w:rFonts w:eastAsia="Arial" w:cs="Arial"/>
          <w:color w:val="0B0C0C"/>
        </w:rPr>
        <w:footnoteReference w:id="26"/>
      </w:r>
      <w:r w:rsidRPr="2289A1FF">
        <w:rPr>
          <w:rFonts w:eastAsia="Arial" w:cs="Arial"/>
          <w:color w:val="0B0C0C"/>
        </w:rPr>
        <w:t>.</w:t>
      </w:r>
    </w:p>
    <w:p w14:paraId="15045165" w14:textId="74127173" w:rsidR="0031150D" w:rsidRDefault="0031150D" w:rsidP="0031150D">
      <w:pPr>
        <w:spacing w:line="276" w:lineRule="auto"/>
        <w:rPr>
          <w:rFonts w:eastAsia="Arial" w:cs="Arial"/>
        </w:rPr>
      </w:pPr>
      <w:r w:rsidRPr="6F3E9920">
        <w:rPr>
          <w:rFonts w:eastAsia="Arial" w:cs="Arial"/>
        </w:rPr>
        <w:t xml:space="preserve">From our survey only </w:t>
      </w:r>
      <w:r w:rsidR="00F640A4" w:rsidRPr="6F3E9920">
        <w:rPr>
          <w:rFonts w:eastAsia="Arial" w:cs="Arial"/>
        </w:rPr>
        <w:t>15</w:t>
      </w:r>
      <w:r w:rsidRPr="6F3E9920">
        <w:rPr>
          <w:rFonts w:eastAsia="Arial" w:cs="Arial"/>
        </w:rPr>
        <w:t xml:space="preserve"> of our 161 pharmacies that responded offer the COVID-19 vaccination. However, if commissioned an additional 104 pharmacies would provide this service. </w:t>
      </w:r>
      <w:r w:rsidR="00F640A4" w:rsidRPr="6F3E9920">
        <w:rPr>
          <w:rFonts w:eastAsia="Arial" w:cs="Arial"/>
        </w:rPr>
        <w:t xml:space="preserve">At the height of the pandemic, 24 </w:t>
      </w:r>
      <w:r w:rsidR="00640C05" w:rsidRPr="6F3E9920">
        <w:rPr>
          <w:rFonts w:eastAsia="Arial" w:cs="Arial"/>
        </w:rPr>
        <w:t>pharmacies</w:t>
      </w:r>
      <w:r w:rsidR="00F640A4" w:rsidRPr="6F3E9920">
        <w:rPr>
          <w:rFonts w:eastAsia="Arial" w:cs="Arial"/>
        </w:rPr>
        <w:t xml:space="preserve"> were delivering vaccination</w:t>
      </w:r>
      <w:r w:rsidR="00640C05" w:rsidRPr="6F3E9920">
        <w:rPr>
          <w:rFonts w:eastAsia="Arial" w:cs="Arial"/>
        </w:rPr>
        <w:t>s.</w:t>
      </w:r>
    </w:p>
    <w:p w14:paraId="61B355AC" w14:textId="77777777" w:rsidR="0031150D" w:rsidRDefault="0031150D" w:rsidP="0031150D">
      <w:pPr>
        <w:spacing w:line="276" w:lineRule="auto"/>
        <w:rPr>
          <w:rFonts w:eastAsia="Arial" w:cs="Arial"/>
        </w:rPr>
      </w:pPr>
      <w:r w:rsidRPr="112407F7">
        <w:rPr>
          <w:rFonts w:eastAsia="Arial" w:cs="Arial"/>
        </w:rPr>
        <w:t>Currently the vaccination scheme is expanding to include those aged 5-11 years old.</w:t>
      </w:r>
    </w:p>
    <w:p w14:paraId="37EA9A5A" w14:textId="3FD79EEF" w:rsidR="0031150D" w:rsidRDefault="0031150D" w:rsidP="0031150D">
      <w:pPr>
        <w:spacing w:line="276" w:lineRule="auto"/>
        <w:rPr>
          <w:rFonts w:eastAsia="Arial" w:cs="Arial"/>
        </w:rPr>
      </w:pPr>
      <w:r>
        <w:rPr>
          <w:rFonts w:eastAsia="Arial" w:cs="Arial"/>
        </w:rPr>
        <w:t xml:space="preserve">Figure </w:t>
      </w:r>
      <w:r w:rsidR="00611E9E">
        <w:rPr>
          <w:rFonts w:eastAsia="Arial" w:cs="Arial"/>
        </w:rPr>
        <w:t>20</w:t>
      </w:r>
      <w:r>
        <w:rPr>
          <w:rFonts w:eastAsia="Arial" w:cs="Arial"/>
        </w:rPr>
        <w:t xml:space="preserve"> shows the count of the population ages 16+ who have not had any doses of a COVID vaccine</w:t>
      </w:r>
      <w:r w:rsidR="009C43EB">
        <w:rPr>
          <w:rFonts w:eastAsia="Arial" w:cs="Arial"/>
        </w:rPr>
        <w:t>, from GP registration data linked to NIMS, last updated 17</w:t>
      </w:r>
      <w:r w:rsidR="009C43EB" w:rsidRPr="009C43EB">
        <w:rPr>
          <w:rFonts w:eastAsia="Arial" w:cs="Arial"/>
          <w:vertAlign w:val="superscript"/>
        </w:rPr>
        <w:t>th</w:t>
      </w:r>
      <w:r w:rsidR="009C43EB">
        <w:rPr>
          <w:rFonts w:eastAsia="Arial" w:cs="Arial"/>
        </w:rPr>
        <w:t xml:space="preserve"> June 2022</w:t>
      </w:r>
      <w:r>
        <w:rPr>
          <w:rFonts w:eastAsia="Arial" w:cs="Arial"/>
        </w:rPr>
        <w:t>. The darker the area, the more people have not had any doses of a COVID vaccine, with the red areas being the highest 10% of areas.</w:t>
      </w:r>
    </w:p>
    <w:p w14:paraId="17B60CEF" w14:textId="1CDBDE4D" w:rsidR="10AFC29C" w:rsidRDefault="00FD7B5C" w:rsidP="003E376F">
      <w:pPr>
        <w:spacing w:line="276" w:lineRule="auto"/>
      </w:pPr>
      <w:r>
        <w:rPr>
          <w:rFonts w:eastAsia="Arial" w:cs="Arial"/>
          <w:noProof/>
        </w:rPr>
        <w:lastRenderedPageBreak/>
        <w:drawing>
          <wp:inline distT="0" distB="0" distL="0" distR="0" wp14:anchorId="0F376B5A" wp14:editId="2B9BB081">
            <wp:extent cx="4825219" cy="719780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42266" cy="7223229"/>
                    </a:xfrm>
                    <a:prstGeom prst="rect">
                      <a:avLst/>
                    </a:prstGeom>
                    <a:noFill/>
                    <a:ln>
                      <a:noFill/>
                    </a:ln>
                  </pic:spPr>
                </pic:pic>
              </a:graphicData>
            </a:graphic>
          </wp:inline>
        </w:drawing>
      </w:r>
    </w:p>
    <w:p w14:paraId="71A7DACC" w14:textId="558F5CFA" w:rsidR="00BC1715" w:rsidRDefault="00BC1715" w:rsidP="00BC1715">
      <w:pPr>
        <w:pStyle w:val="Caption"/>
      </w:pPr>
      <w:r>
        <w:t xml:space="preserve">Figure </w:t>
      </w:r>
      <w:r>
        <w:fldChar w:fldCharType="begin"/>
      </w:r>
      <w:r>
        <w:instrText>SEQ Figure \* ARABIC</w:instrText>
      </w:r>
      <w:r>
        <w:fldChar w:fldCharType="separate"/>
      </w:r>
      <w:r w:rsidR="006553F7">
        <w:rPr>
          <w:noProof/>
        </w:rPr>
        <w:t>20</w:t>
      </w:r>
      <w:r>
        <w:fldChar w:fldCharType="end"/>
      </w:r>
      <w:r>
        <w:t>:</w:t>
      </w:r>
      <w:r w:rsidR="00D24467">
        <w:t xml:space="preserve"> Count of population 16+ who have not received any doses of a COVID-19 vaccine</w:t>
      </w:r>
      <w:r w:rsidR="00D24467">
        <w:br/>
        <w:t>Source: SHAPE</w:t>
      </w:r>
    </w:p>
    <w:p w14:paraId="0DE689B1" w14:textId="29AB8B19" w:rsidR="10AFC29C" w:rsidRDefault="10AFC29C" w:rsidP="003E376F">
      <w:pPr>
        <w:spacing w:line="276" w:lineRule="auto"/>
        <w:rPr>
          <w:rFonts w:eastAsia="Arial" w:cs="Arial"/>
          <w:color w:val="0B0C0C"/>
          <w:sz w:val="29"/>
          <w:szCs w:val="29"/>
        </w:rPr>
      </w:pPr>
      <w:r w:rsidRPr="4B33C68C">
        <w:rPr>
          <w:rFonts w:eastAsia="Arial" w:cs="Arial"/>
          <w:color w:val="477CBF" w:themeColor="accent1"/>
        </w:rPr>
        <w:t xml:space="preserve">Testing </w:t>
      </w:r>
    </w:p>
    <w:p w14:paraId="25D81A4A" w14:textId="1F23F486" w:rsidR="10AFC29C" w:rsidRDefault="10AFC29C" w:rsidP="003E376F">
      <w:pPr>
        <w:spacing w:line="276" w:lineRule="auto"/>
      </w:pPr>
      <w:r w:rsidRPr="2289A1FF">
        <w:rPr>
          <w:rFonts w:eastAsia="Arial" w:cs="Arial"/>
        </w:rPr>
        <w:t xml:space="preserve">In order to keep this virus under surveillance the Government supported testing and tracing. Lateral flow test kits were supplied to the public, some through pharmacies.  For the majority </w:t>
      </w:r>
      <w:r w:rsidRPr="2289A1FF">
        <w:rPr>
          <w:rFonts w:eastAsia="Arial" w:cs="Arial"/>
        </w:rPr>
        <w:lastRenderedPageBreak/>
        <w:t>of the pandemic positive lateral flow tests were confirmed with a polymerase chain reaction test and social isolation ensued. Positive results would be reported to the NHS Test and Trace service, which also aided in contact tracing and providing isolation advice</w:t>
      </w:r>
      <w:r w:rsidR="00260D55" w:rsidRPr="2289A1FF">
        <w:rPr>
          <w:rStyle w:val="FootnoteReference"/>
          <w:rFonts w:eastAsia="Arial" w:cs="Arial"/>
        </w:rPr>
        <w:footnoteReference w:id="27"/>
      </w:r>
      <w:r w:rsidRPr="2289A1FF">
        <w:rPr>
          <w:rFonts w:eastAsia="Arial" w:cs="Arial"/>
        </w:rPr>
        <w:t xml:space="preserve">. At the time of writing the distribution of free Lateral Flow Test kits from pharmacies has ended as the Governments leans away from mass COVID-19 testing, although some pharmacies offer to purchase. </w:t>
      </w:r>
    </w:p>
    <w:p w14:paraId="435FDCC6" w14:textId="70BE5DD5" w:rsidR="10AFC29C" w:rsidRDefault="10AFC29C" w:rsidP="003E376F">
      <w:pPr>
        <w:spacing w:line="276" w:lineRule="auto"/>
        <w:rPr>
          <w:rFonts w:eastAsia="Arial" w:cs="Arial"/>
          <w:color w:val="477CBF" w:themeColor="accent1"/>
          <w:szCs w:val="24"/>
        </w:rPr>
      </w:pPr>
    </w:p>
    <w:p w14:paraId="18B1E868" w14:textId="32A1545F" w:rsidR="10AFC29C" w:rsidRDefault="10AFC29C" w:rsidP="003E376F">
      <w:pPr>
        <w:spacing w:line="276" w:lineRule="auto"/>
      </w:pPr>
      <w:r w:rsidRPr="10AFC29C">
        <w:rPr>
          <w:rFonts w:eastAsia="Arial" w:cs="Arial"/>
          <w:color w:val="477CBF" w:themeColor="accent1"/>
          <w:szCs w:val="24"/>
        </w:rPr>
        <w:t xml:space="preserve">Long </w:t>
      </w:r>
      <w:r w:rsidR="002261AF">
        <w:rPr>
          <w:rFonts w:eastAsia="Arial" w:cs="Arial"/>
          <w:color w:val="477CBF" w:themeColor="accent1"/>
          <w:szCs w:val="24"/>
        </w:rPr>
        <w:t>COVID</w:t>
      </w:r>
      <w:r w:rsidRPr="10AFC29C">
        <w:rPr>
          <w:rFonts w:eastAsia="Arial" w:cs="Arial"/>
          <w:color w:val="477CBF" w:themeColor="accent1"/>
          <w:szCs w:val="24"/>
        </w:rPr>
        <w:t xml:space="preserve"> </w:t>
      </w:r>
    </w:p>
    <w:p w14:paraId="0B212653" w14:textId="32088060" w:rsidR="10AFC29C" w:rsidRDefault="10AFC29C" w:rsidP="003E376F">
      <w:pPr>
        <w:spacing w:line="276" w:lineRule="auto"/>
        <w:rPr>
          <w:rFonts w:eastAsia="Arial" w:cs="Arial"/>
          <w:szCs w:val="24"/>
        </w:rPr>
      </w:pPr>
      <w:r w:rsidRPr="10AFC29C">
        <w:rPr>
          <w:rFonts w:ascii="Calibri" w:eastAsia="Calibri" w:hAnsi="Calibri" w:cs="Calibri"/>
          <w:sz w:val="22"/>
          <w:szCs w:val="22"/>
        </w:rPr>
        <w:t xml:space="preserve"> </w:t>
      </w:r>
      <w:r w:rsidRPr="2289A1FF">
        <w:rPr>
          <w:rFonts w:eastAsia="Arial" w:cs="Arial"/>
        </w:rPr>
        <w:t>The persistence of symptoms of COVID-19 for greater than four weeks after infection is referred to as long COVID, or post- COVID-19- syndrome</w:t>
      </w:r>
      <w:r w:rsidR="00260D55" w:rsidRPr="2289A1FF">
        <w:rPr>
          <w:rStyle w:val="FootnoteReference"/>
          <w:rFonts w:eastAsia="Arial" w:cs="Arial"/>
        </w:rPr>
        <w:footnoteReference w:id="28"/>
      </w:r>
      <w:r w:rsidRPr="2289A1FF">
        <w:rPr>
          <w:rFonts w:eastAsia="Arial" w:cs="Arial"/>
        </w:rPr>
        <w:t xml:space="preserve">.  A few of the most common symptoms include fatigue, shortness of breath, loss of smell and loss of taste. An estimated 1.3 million </w:t>
      </w:r>
      <w:r w:rsidRPr="2289A1FF">
        <w:rPr>
          <w:rFonts w:eastAsia="Arial" w:cs="Arial"/>
          <w:color w:val="323132"/>
        </w:rPr>
        <w:t>people living in private households in the UK (2.1% of the population) were experiencing self-reported long COVID as of 2 January 2022.</w:t>
      </w:r>
      <w:r w:rsidRPr="2289A1FF">
        <w:rPr>
          <w:rFonts w:eastAsia="Arial" w:cs="Arial"/>
        </w:rPr>
        <w:t xml:space="preserve"> Of these people, 63% report that the symptoms have impacted their day-to-day activities in a negative manner</w:t>
      </w:r>
      <w:r w:rsidR="00AC5BA8" w:rsidRPr="2289A1FF">
        <w:rPr>
          <w:rStyle w:val="FootnoteReference"/>
          <w:rFonts w:eastAsia="Arial" w:cs="Arial"/>
        </w:rPr>
        <w:footnoteReference w:id="29"/>
      </w:r>
      <w:r w:rsidRPr="2289A1FF">
        <w:rPr>
          <w:rFonts w:eastAsia="Arial" w:cs="Arial"/>
        </w:rPr>
        <w:t>. A recent review by UKHSA demonstrated that those who are vaccinated are less likely to report symptoms of long COVID than those who remain unvaccinated</w:t>
      </w:r>
      <w:r w:rsidR="00AC5BA8" w:rsidRPr="2289A1FF">
        <w:rPr>
          <w:rStyle w:val="FootnoteReference"/>
          <w:rFonts w:eastAsia="Arial" w:cs="Arial"/>
        </w:rPr>
        <w:footnoteReference w:id="30"/>
      </w:r>
      <w:r w:rsidRPr="2289A1FF">
        <w:rPr>
          <w:rFonts w:eastAsia="Arial" w:cs="Arial"/>
        </w:rPr>
        <w:t xml:space="preserve">. Specialist services that support those with long COVID continue to be a focus for the NHS. </w:t>
      </w:r>
    </w:p>
    <w:p w14:paraId="590A3659" w14:textId="4B4D586B" w:rsidR="10AFC29C" w:rsidRDefault="10AFC29C" w:rsidP="003E376F">
      <w:pPr>
        <w:spacing w:line="276" w:lineRule="auto"/>
        <w:rPr>
          <w:rFonts w:eastAsia="Arial" w:cs="Arial"/>
          <w:szCs w:val="24"/>
        </w:rPr>
      </w:pPr>
      <w:r w:rsidRPr="2289A1FF">
        <w:rPr>
          <w:rFonts w:eastAsia="Arial" w:cs="Arial"/>
        </w:rPr>
        <w:t>For pharmacies, COVID-19 has led to an increase in workload as there has been a significant increase in requests for healthcare advice. This has also been compounded by the decrease in workforce with the main cause being sickness from COVID-19 and self-isolation. This combination has led to increased pressure on staff and having to reduce services provided and at times opening hours. The above has caused a negative impact on pharmacy team members wellbeing</w:t>
      </w:r>
      <w:r w:rsidR="00E44EC1" w:rsidRPr="2289A1FF">
        <w:rPr>
          <w:rStyle w:val="FootnoteReference"/>
          <w:rFonts w:eastAsia="Arial" w:cs="Arial"/>
        </w:rPr>
        <w:footnoteReference w:id="31"/>
      </w:r>
      <w:r w:rsidRPr="2289A1FF">
        <w:rPr>
          <w:rFonts w:eastAsia="Arial" w:cs="Arial"/>
        </w:rPr>
        <w:t xml:space="preserve">. This is important to bear in mind when the public depend so heavily on community pharmacies. </w:t>
      </w:r>
    </w:p>
    <w:p w14:paraId="230AB7EA" w14:textId="259BB299" w:rsidR="00766AA4" w:rsidRDefault="006E4731" w:rsidP="003E376F">
      <w:pPr>
        <w:spacing w:line="276" w:lineRule="auto"/>
      </w:pPr>
      <w:r>
        <w:rPr>
          <w:rFonts w:eastAsia="Arial" w:cs="Arial"/>
          <w:szCs w:val="24"/>
        </w:rPr>
        <w:lastRenderedPageBreak/>
        <w:t xml:space="preserve">It is important to note that </w:t>
      </w:r>
      <w:r w:rsidR="005F3848">
        <w:rPr>
          <w:rFonts w:eastAsia="Arial" w:cs="Arial"/>
          <w:szCs w:val="24"/>
        </w:rPr>
        <w:t xml:space="preserve">people who </w:t>
      </w:r>
      <w:r w:rsidR="00A03B54">
        <w:rPr>
          <w:rFonts w:eastAsia="Arial" w:cs="Arial"/>
          <w:szCs w:val="24"/>
        </w:rPr>
        <w:t>have an underlying health condition</w:t>
      </w:r>
      <w:r w:rsidR="005F3848">
        <w:rPr>
          <w:rFonts w:eastAsia="Arial" w:cs="Arial"/>
          <w:szCs w:val="24"/>
        </w:rPr>
        <w:t xml:space="preserve"> are mo</w:t>
      </w:r>
      <w:r w:rsidR="00A03B54">
        <w:rPr>
          <w:rFonts w:eastAsia="Arial" w:cs="Arial"/>
          <w:szCs w:val="24"/>
        </w:rPr>
        <w:t>re</w:t>
      </w:r>
      <w:r w:rsidR="005F3848">
        <w:rPr>
          <w:rFonts w:eastAsia="Arial" w:cs="Arial"/>
          <w:szCs w:val="24"/>
        </w:rPr>
        <w:t xml:space="preserve"> at risk of developing </w:t>
      </w:r>
      <w:r w:rsidR="002261AF">
        <w:rPr>
          <w:rFonts w:eastAsia="Arial" w:cs="Arial"/>
          <w:szCs w:val="24"/>
        </w:rPr>
        <w:t>l</w:t>
      </w:r>
      <w:r w:rsidR="005F3848">
        <w:rPr>
          <w:rFonts w:eastAsia="Arial" w:cs="Arial"/>
          <w:szCs w:val="24"/>
        </w:rPr>
        <w:t xml:space="preserve">ong </w:t>
      </w:r>
      <w:r w:rsidR="002261AF">
        <w:rPr>
          <w:rFonts w:eastAsia="Arial" w:cs="Arial"/>
          <w:szCs w:val="24"/>
        </w:rPr>
        <w:t>COVID</w:t>
      </w:r>
      <w:r w:rsidR="00FD00E0">
        <w:rPr>
          <w:rFonts w:eastAsia="Arial" w:cs="Arial"/>
          <w:szCs w:val="24"/>
        </w:rPr>
        <w:t>. T</w:t>
      </w:r>
      <w:r w:rsidR="00AD706F">
        <w:rPr>
          <w:rFonts w:eastAsia="Arial" w:cs="Arial"/>
          <w:szCs w:val="24"/>
        </w:rPr>
        <w:t xml:space="preserve">his may </w:t>
      </w:r>
      <w:r w:rsidR="00C431A7">
        <w:rPr>
          <w:rFonts w:eastAsia="Arial" w:cs="Arial"/>
          <w:szCs w:val="24"/>
        </w:rPr>
        <w:t>highlight the need for early intervention and prevention</w:t>
      </w:r>
      <w:r w:rsidR="003E27F9">
        <w:rPr>
          <w:rFonts w:eastAsia="Arial" w:cs="Arial"/>
          <w:szCs w:val="24"/>
        </w:rPr>
        <w:t xml:space="preserve"> with health conditions</w:t>
      </w:r>
      <w:r w:rsidR="00A50024">
        <w:rPr>
          <w:rFonts w:eastAsia="Arial" w:cs="Arial"/>
          <w:szCs w:val="24"/>
        </w:rPr>
        <w:t xml:space="preserve"> through screening, health promotion and lifestyle campaigns. </w:t>
      </w:r>
    </w:p>
    <w:p w14:paraId="35B525B4" w14:textId="0FFE8386" w:rsidR="10AFC29C" w:rsidRDefault="10AFC29C" w:rsidP="003E376F">
      <w:pPr>
        <w:spacing w:line="276" w:lineRule="auto"/>
      </w:pPr>
      <w:r w:rsidRPr="10AFC29C">
        <w:rPr>
          <w:rFonts w:eastAsia="Arial" w:cs="Arial"/>
          <w:szCs w:val="24"/>
        </w:rPr>
        <w:t xml:space="preserve"> </w:t>
      </w:r>
    </w:p>
    <w:p w14:paraId="47DB16EE" w14:textId="5090B532" w:rsidR="10AFC29C" w:rsidRDefault="10AFC29C" w:rsidP="003E376F">
      <w:pPr>
        <w:spacing w:line="276" w:lineRule="auto"/>
      </w:pPr>
      <w:r w:rsidRPr="10AFC29C">
        <w:rPr>
          <w:rFonts w:eastAsia="Arial" w:cs="Arial"/>
          <w:color w:val="4472C4"/>
          <w:szCs w:val="24"/>
        </w:rPr>
        <w:t>Mental Health in COVID-19</w:t>
      </w:r>
    </w:p>
    <w:p w14:paraId="2FF880A5" w14:textId="6B947C04" w:rsidR="10AFC29C" w:rsidRDefault="10AFC29C" w:rsidP="003E376F">
      <w:pPr>
        <w:spacing w:line="276" w:lineRule="auto"/>
        <w:rPr>
          <w:rFonts w:eastAsia="Arial" w:cs="Arial"/>
        </w:rPr>
      </w:pPr>
      <w:r w:rsidRPr="55F70878">
        <w:rPr>
          <w:rFonts w:eastAsia="Arial" w:cs="Arial"/>
        </w:rPr>
        <w:t>COVID-19 has impacted mental health alongside physical health. A survey carried out by the mental health charity Mind during the months of March and May 2021 found that nearly half (46%) of adults say their mental health has got much worse since the beginning of the first national lockdown. Approximately one in six (16%) adults had accessed mental health services for the first time during the pandemic. Contributing factors to worsening of mental health include lack of personal contact with loved ones, loneliness and financial worries. Nearly half (48%) of those receiving benefits mentioned that their financial situation had worsened their mental health</w:t>
      </w:r>
      <w:r w:rsidR="00E44EC1" w:rsidRPr="55F70878">
        <w:rPr>
          <w:rStyle w:val="FootnoteReference"/>
          <w:rFonts w:eastAsia="Arial" w:cs="Arial"/>
        </w:rPr>
        <w:footnoteReference w:id="32"/>
      </w:r>
      <w:r w:rsidRPr="55F70878">
        <w:rPr>
          <w:rFonts w:eastAsia="Arial" w:cs="Arial"/>
        </w:rPr>
        <w:t xml:space="preserve">. There is likely to be an ongoing mental health need after the pandemic as seen with previous coronavirus outbreaks (SARS &amp;MERS) where there was a considerable prevalence of post-traumatic stress disorder, depression, </w:t>
      </w:r>
      <w:r w:rsidR="002261AF">
        <w:rPr>
          <w:rFonts w:eastAsia="Arial" w:cs="Arial"/>
        </w:rPr>
        <w:t>and</w:t>
      </w:r>
      <w:r w:rsidRPr="55F70878">
        <w:rPr>
          <w:rFonts w:eastAsia="Arial" w:cs="Arial"/>
        </w:rPr>
        <w:t xml:space="preserve"> anxiety beyond 6 months</w:t>
      </w:r>
      <w:r w:rsidR="002001B5" w:rsidRPr="55F70878">
        <w:rPr>
          <w:rStyle w:val="FootnoteReference"/>
          <w:rFonts w:eastAsia="Arial" w:cs="Arial"/>
        </w:rPr>
        <w:footnoteReference w:id="33"/>
      </w:r>
      <w:r w:rsidRPr="55F70878">
        <w:rPr>
          <w:rFonts w:eastAsia="Arial" w:cs="Arial"/>
        </w:rPr>
        <w:t>.</w:t>
      </w:r>
    </w:p>
    <w:p w14:paraId="3F060E8D" w14:textId="77777777" w:rsidR="005807AE" w:rsidRDefault="005807AE" w:rsidP="005807AE">
      <w:pPr>
        <w:spacing w:line="276" w:lineRule="auto"/>
      </w:pPr>
      <w:r>
        <w:rPr>
          <w:rFonts w:eastAsia="Arial" w:cs="Arial"/>
        </w:rPr>
        <w:t xml:space="preserve">Increasing mental health concerns may increase pressure on pharmacies with patients accessing health and wellbeing and lifestyle opportunities, with pharmacies supporting and signposting into other relevant services. </w:t>
      </w:r>
    </w:p>
    <w:p w14:paraId="6FA0C80D" w14:textId="77777777" w:rsidR="001C5116" w:rsidRDefault="001C5116" w:rsidP="003E376F">
      <w:pPr>
        <w:spacing w:line="276" w:lineRule="auto"/>
      </w:pPr>
    </w:p>
    <w:p w14:paraId="6DFB8143" w14:textId="5977D3C7" w:rsidR="10AFC29C" w:rsidRDefault="10AFC29C" w:rsidP="003E376F">
      <w:pPr>
        <w:spacing w:line="276" w:lineRule="auto"/>
      </w:pPr>
      <w:r w:rsidRPr="10AFC29C">
        <w:rPr>
          <w:rFonts w:eastAsia="Arial" w:cs="Arial"/>
          <w:color w:val="4472C4"/>
          <w:szCs w:val="24"/>
        </w:rPr>
        <w:t>Health inequalities and COVID-19</w:t>
      </w:r>
    </w:p>
    <w:p w14:paraId="5912F3F3" w14:textId="0EBF2C65" w:rsidR="10AFC29C" w:rsidRDefault="10AFC29C" w:rsidP="003E376F">
      <w:pPr>
        <w:spacing w:line="276" w:lineRule="auto"/>
      </w:pPr>
      <w:r w:rsidRPr="2289A1FF">
        <w:rPr>
          <w:rFonts w:eastAsia="Arial" w:cs="Arial"/>
        </w:rPr>
        <w:t>Health inequalities are due to unequal distribution of social determinants of health such as housing and employment that reduces the ability to prevent illness or access appropriate treatment if it were to occur</w:t>
      </w:r>
      <w:r w:rsidR="00B6491F" w:rsidRPr="2289A1FF">
        <w:rPr>
          <w:rStyle w:val="FootnoteReference"/>
          <w:rFonts w:eastAsia="Arial" w:cs="Arial"/>
        </w:rPr>
        <w:footnoteReference w:id="34"/>
      </w:r>
      <w:r w:rsidRPr="2289A1FF">
        <w:rPr>
          <w:rFonts w:eastAsia="Arial" w:cs="Arial"/>
        </w:rPr>
        <w:t>. They are avoidable, unfair and systematic differences in health between different groups of people</w:t>
      </w:r>
      <w:r w:rsidR="00B6491F" w:rsidRPr="2289A1FF">
        <w:rPr>
          <w:rStyle w:val="FootnoteReference"/>
          <w:rFonts w:eastAsia="Arial" w:cs="Arial"/>
        </w:rPr>
        <w:footnoteReference w:id="35"/>
      </w:r>
      <w:r w:rsidRPr="2289A1FF">
        <w:rPr>
          <w:rFonts w:eastAsia="Arial" w:cs="Arial"/>
        </w:rPr>
        <w:t xml:space="preserve">. Health inequalities have been a focus for the government and the impact of COVID-19 on certain members of society has further demonstrated that they are important to address. </w:t>
      </w:r>
    </w:p>
    <w:p w14:paraId="66627275" w14:textId="16F4CF87" w:rsidR="10AFC29C" w:rsidRDefault="10AFC29C" w:rsidP="003E376F">
      <w:pPr>
        <w:spacing w:line="276" w:lineRule="auto"/>
        <w:rPr>
          <w:rFonts w:eastAsia="Arial" w:cs="Arial"/>
          <w:color w:val="FF0000"/>
          <w:szCs w:val="24"/>
        </w:rPr>
      </w:pPr>
      <w:r w:rsidRPr="2289A1FF">
        <w:rPr>
          <w:rFonts w:eastAsia="Arial" w:cs="Arial"/>
        </w:rPr>
        <w:t xml:space="preserve">The increased mortality rate in Asian and Black ethnic groups compared to the previous years where it was higher in White ethnic groups conveys the effect of COVID-19. When accounting for the effect of sex, age, deprivation, and region, people of Bangladeshi ethnicity had </w:t>
      </w:r>
      <w:r w:rsidRPr="2289A1FF">
        <w:rPr>
          <w:rFonts w:eastAsia="Arial" w:cs="Arial"/>
        </w:rPr>
        <w:lastRenderedPageBreak/>
        <w:t>approximately twice the risk of death than people of White British ethnicity. It is important to note that co-morbidities and occupation were not considered in this analysis</w:t>
      </w:r>
      <w:r w:rsidR="00B6491F" w:rsidRPr="2289A1FF">
        <w:rPr>
          <w:rStyle w:val="FootnoteReference"/>
          <w:rFonts w:eastAsia="Arial" w:cs="Arial"/>
        </w:rPr>
        <w:footnoteReference w:id="36"/>
      </w:r>
      <w:r w:rsidRPr="2289A1FF">
        <w:rPr>
          <w:rFonts w:eastAsia="Arial" w:cs="Arial"/>
        </w:rPr>
        <w:t>. The Black, Asian and minority ethnic account for 26.2% and 7.3% of the Coventry and Warwickshire population respectively from 2011 Census data.</w:t>
      </w:r>
      <w:r w:rsidRPr="2289A1FF">
        <w:rPr>
          <w:rFonts w:eastAsia="Arial" w:cs="Arial"/>
          <w:color w:val="FF0000"/>
        </w:rPr>
        <w:t xml:space="preserve"> </w:t>
      </w:r>
    </w:p>
    <w:p w14:paraId="6C00FCF4" w14:textId="61FE1353" w:rsidR="10AFC29C" w:rsidRDefault="10AFC29C" w:rsidP="003E376F">
      <w:pPr>
        <w:spacing w:line="276" w:lineRule="auto"/>
        <w:rPr>
          <w:rFonts w:eastAsia="Arial" w:cs="Arial"/>
          <w:szCs w:val="24"/>
        </w:rPr>
      </w:pPr>
      <w:r w:rsidRPr="10AFC29C">
        <w:rPr>
          <w:rFonts w:eastAsia="Arial" w:cs="Arial"/>
          <w:szCs w:val="24"/>
        </w:rPr>
        <w:t xml:space="preserve">People who live in more deprived areas have a higher diagnosis rate of COVID-19. The rate of death in the most deprived decile was 2.2 times the rate in the least deprived decile. This is greater than the baseline all-cause mortality rate difference between the most the deprived and least deprived from 2014-2018, demonstrating the impact of COVID-19. </w:t>
      </w:r>
    </w:p>
    <w:p w14:paraId="3B068E7E" w14:textId="756CB297" w:rsidR="00DD1BBD" w:rsidRDefault="00DD1BBD" w:rsidP="00DD1BBD">
      <w:r>
        <w:t>Work was undertaken across Coventry and Warwickshire to ensure pharmacy provision of COVID-19 vaccinations matched need, specifically areas of low uptake/areas of deprivation.</w:t>
      </w:r>
    </w:p>
    <w:p w14:paraId="1E880C8D" w14:textId="05954DCC" w:rsidR="10AFC29C" w:rsidRDefault="10AFC29C" w:rsidP="10AFC29C">
      <w:pPr>
        <w:spacing w:line="257" w:lineRule="auto"/>
      </w:pPr>
    </w:p>
    <w:p w14:paraId="64EF6F83" w14:textId="23327F7C" w:rsidR="10AFC29C" w:rsidRDefault="10AFC29C" w:rsidP="10AFC29C">
      <w:pPr>
        <w:spacing w:line="257" w:lineRule="auto"/>
      </w:pPr>
      <w:r w:rsidRPr="55F70878">
        <w:rPr>
          <w:rFonts w:eastAsia="Arial" w:cs="Arial"/>
        </w:rPr>
        <w:t xml:space="preserve"> </w:t>
      </w:r>
    </w:p>
    <w:p w14:paraId="4E49EEAE" w14:textId="23327F7C" w:rsidR="10AFC29C" w:rsidRPr="00B6491F" w:rsidRDefault="10AFC29C" w:rsidP="00B6491F">
      <w:pPr>
        <w:spacing w:line="257" w:lineRule="auto"/>
      </w:pPr>
    </w:p>
    <w:p w14:paraId="04A09C39" w14:textId="23327F7C" w:rsidR="10AFC29C" w:rsidRDefault="10AFC29C" w:rsidP="10AFC29C">
      <w:pPr>
        <w:rPr>
          <w:rFonts w:ascii="Segoe UI" w:eastAsia="Segoe UI" w:hAnsi="Segoe UI" w:cs="Segoe UI"/>
          <w:sz w:val="18"/>
          <w:szCs w:val="18"/>
        </w:rPr>
      </w:pPr>
    </w:p>
    <w:p w14:paraId="2B10005C" w14:textId="686B5309" w:rsidR="00C46A3C" w:rsidRDefault="00C46A3C" w:rsidP="004924E5">
      <w:pPr>
        <w:spacing w:before="200" w:after="200" w:line="276" w:lineRule="auto"/>
      </w:pPr>
      <w:r>
        <w:br w:type="page"/>
      </w:r>
    </w:p>
    <w:p w14:paraId="0458979D" w14:textId="38ED2BF9" w:rsidR="00C46A3C" w:rsidRDefault="00D54EF2" w:rsidP="00C46A3C">
      <w:pPr>
        <w:pStyle w:val="Heading1"/>
      </w:pPr>
      <w:bookmarkStart w:id="49" w:name="_Toc113628606"/>
      <w:r>
        <w:lastRenderedPageBreak/>
        <w:t>Pharmacy</w:t>
      </w:r>
      <w:r w:rsidR="00C46A3C">
        <w:t xml:space="preserve"> Provisions and </w:t>
      </w:r>
      <w:r>
        <w:t>Access</w:t>
      </w:r>
      <w:bookmarkEnd w:id="49"/>
    </w:p>
    <w:p w14:paraId="36DDB0BA" w14:textId="2CC26FE6" w:rsidR="003319D8" w:rsidRDefault="003319D8" w:rsidP="003319D8">
      <w:r>
        <w:t xml:space="preserve">In order to assess the provision of pharmaceutical services within Coventry and Warwickshire current provision from all providers has been considered. This includes providers and premises within Coventry and Warwickshire, as well as the contribution made by those providers who may lie in neighbouring Health and Wellbeing Board areas but provide services to the Coventry and Warwickshire population. </w:t>
      </w:r>
    </w:p>
    <w:p w14:paraId="7F4B3243" w14:textId="77777777" w:rsidR="003319D8" w:rsidRDefault="003319D8" w:rsidP="003319D8"/>
    <w:p w14:paraId="20BFD7F4" w14:textId="0366737F" w:rsidR="003319D8" w:rsidRDefault="003319D8" w:rsidP="003319D8">
      <w:pPr>
        <w:pStyle w:val="Heading2"/>
      </w:pPr>
      <w:bookmarkStart w:id="50" w:name="_Toc113628607"/>
      <w:r>
        <w:t>Community Pharmacy Contractual Framework</w:t>
      </w:r>
      <w:bookmarkEnd w:id="50"/>
    </w:p>
    <w:p w14:paraId="4540842A" w14:textId="5874983F" w:rsidR="003319D8" w:rsidRDefault="003319D8" w:rsidP="003319D8">
      <w:r>
        <w:t>The NHS Community Pharmacy Contractual Framework</w:t>
      </w:r>
      <w:r w:rsidR="00B03C3B">
        <w:rPr>
          <w:rStyle w:val="FootnoteReference"/>
        </w:rPr>
        <w:footnoteReference w:id="37"/>
      </w:r>
      <w:r w:rsidR="00B03C3B">
        <w:t xml:space="preserve"> requires community pharmacies to contribute to the health needs of the population they serve. All NHS pharmaceutical service providers must comply with the contractual framework that was introduced in 2005. </w:t>
      </w:r>
      <w:r w:rsidR="009802E5">
        <w:t>The contractual framework is formed of the following components:</w:t>
      </w:r>
    </w:p>
    <w:p w14:paraId="307F9110" w14:textId="074D774F" w:rsidR="009802E5" w:rsidRDefault="009802E5" w:rsidP="008D3B10">
      <w:pPr>
        <w:pStyle w:val="ListParagraph"/>
        <w:numPr>
          <w:ilvl w:val="0"/>
          <w:numId w:val="23"/>
        </w:numPr>
      </w:pPr>
      <w:r>
        <w:t>Essential Services – these must be provided by all contractors nationwide.</w:t>
      </w:r>
    </w:p>
    <w:p w14:paraId="4BDF6FC3" w14:textId="3C8A99AA" w:rsidR="009802E5" w:rsidRDefault="009802E5" w:rsidP="008D3B10">
      <w:pPr>
        <w:pStyle w:val="ListParagraph"/>
        <w:numPr>
          <w:ilvl w:val="0"/>
          <w:numId w:val="23"/>
        </w:numPr>
      </w:pPr>
      <w:r>
        <w:t xml:space="preserve">Advanced Services </w:t>
      </w:r>
      <w:r w:rsidR="009B774A">
        <w:t>–</w:t>
      </w:r>
      <w:r>
        <w:t xml:space="preserve"> </w:t>
      </w:r>
      <w:r w:rsidR="009B774A">
        <w:t xml:space="preserve">services that can be provided by contractors subject to accreditation requirements. </w:t>
      </w:r>
    </w:p>
    <w:p w14:paraId="295D1BF3" w14:textId="23BC65BE" w:rsidR="009B774A" w:rsidRDefault="009B774A" w:rsidP="008D3B10">
      <w:pPr>
        <w:pStyle w:val="ListParagraph"/>
        <w:numPr>
          <w:ilvl w:val="0"/>
          <w:numId w:val="23"/>
        </w:numPr>
      </w:pPr>
      <w:r>
        <w:t xml:space="preserve">Locally Commissioned and Enhanced Services </w:t>
      </w:r>
      <w:r w:rsidR="00A04133">
        <w:t>–</w:t>
      </w:r>
      <w:r>
        <w:t xml:space="preserve"> </w:t>
      </w:r>
      <w:r w:rsidR="00A04133">
        <w:t>services commissioned either by the NHS (enhanced services) or Local Authorities (locally commissioned services)</w:t>
      </w:r>
      <w:r w:rsidR="00510934">
        <w:t xml:space="preserve"> in response to the needs of the local population. </w:t>
      </w:r>
    </w:p>
    <w:p w14:paraId="195AE3AC" w14:textId="77777777" w:rsidR="00510934" w:rsidRDefault="00510934" w:rsidP="00510934"/>
    <w:p w14:paraId="1AB775AB" w14:textId="57EFEAB7" w:rsidR="00AB4178" w:rsidRDefault="00AB4178" w:rsidP="00AB4178">
      <w:pPr>
        <w:pStyle w:val="Heading2"/>
      </w:pPr>
      <w:bookmarkStart w:id="51" w:name="_Toc113628608"/>
      <w:r>
        <w:t>Pharmaceutical Lists</w:t>
      </w:r>
      <w:bookmarkEnd w:id="51"/>
    </w:p>
    <w:p w14:paraId="369248B1" w14:textId="637A383B" w:rsidR="00AB4178" w:rsidRDefault="00AB4178" w:rsidP="00AB4178">
      <w:r>
        <w:t xml:space="preserve">If a person (a pharmacist, appliance contractor, or dispensing doctor) wants to provide NHS pharmaceutical services they are required to apply to the NHS to be included on a pharmaceutical list. Pharmaceutical lists are compiled and held by NHS England. This is commonly known as the NHS “market entry” system. </w:t>
      </w:r>
    </w:p>
    <w:p w14:paraId="4C17A10E" w14:textId="7B467A98" w:rsidR="001C1FCF" w:rsidRDefault="001C1FCF" w:rsidP="00AB4178">
      <w:r>
        <w:t xml:space="preserve">Under the NHS regulations, a person wishing to provide NHS pharmaceutical services must apply to the NHS England to be included on a relevant list by </w:t>
      </w:r>
      <w:r w:rsidR="00673568">
        <w:t>proving</w:t>
      </w:r>
      <w:r>
        <w:t xml:space="preserve"> they are able to meet a pharmaceutical need as set out in the relevant PNA. There are exceptions to this, such as </w:t>
      </w:r>
      <w:r>
        <w:lastRenderedPageBreak/>
        <w:t xml:space="preserve">applications for needs not foreseen in the PNA or to provide pharmaceutical services on a distance-selling (internet or mail order only) basis. </w:t>
      </w:r>
    </w:p>
    <w:p w14:paraId="160E7250" w14:textId="3AE4532A" w:rsidR="001C1FCF" w:rsidRDefault="001C1FCF" w:rsidP="00AB4178">
      <w:r>
        <w:t>The following are included in a pharmaceutical list. They are:</w:t>
      </w:r>
    </w:p>
    <w:p w14:paraId="0400CD68" w14:textId="0D33B329" w:rsidR="001C1FCF" w:rsidRDefault="001C1FCF" w:rsidP="00AB4178">
      <w:r>
        <w:rPr>
          <w:b/>
          <w:bCs/>
        </w:rPr>
        <w:t>Pharmacy contractors</w:t>
      </w:r>
      <w:r>
        <w:t xml:space="preserve"> </w:t>
      </w:r>
      <w:r w:rsidR="00F7667D">
        <w:t>–</w:t>
      </w:r>
      <w:r>
        <w:t xml:space="preserve"> </w:t>
      </w:r>
      <w:r w:rsidR="00F7667D">
        <w:t xml:space="preserve">community pharmacies and distance selling pharmacies (DSPs). </w:t>
      </w:r>
      <w:r w:rsidR="009C70A3">
        <w:t xml:space="preserve">DSPs must adhere to all regulations concerning all other pharmacies, however a distance selling pharmacy must not provide Essential services onsite to a person who is present at the pharmacy, but the pharmacy must be able to provide Essential services safely and effectively without face-to-face contact. Currently there are </w:t>
      </w:r>
      <w:r w:rsidR="00E96C92">
        <w:t>7</w:t>
      </w:r>
      <w:r w:rsidR="007A4C24">
        <w:t xml:space="preserve"> distance selling pharmacies in Coventry</w:t>
      </w:r>
      <w:r w:rsidR="00E96C92">
        <w:t>, 2 in Nuneaton</w:t>
      </w:r>
      <w:r w:rsidR="007A4C24">
        <w:t xml:space="preserve"> and </w:t>
      </w:r>
      <w:r w:rsidR="00E96C92">
        <w:t>Bedworth Borough, 2 in Stratford-on-Avon District and 1 in Rugby Borough</w:t>
      </w:r>
      <w:r w:rsidR="007A4C24">
        <w:t xml:space="preserve">. </w:t>
      </w:r>
    </w:p>
    <w:p w14:paraId="53CB3189" w14:textId="2F4EDD17" w:rsidR="007A4C24" w:rsidRDefault="007A4C24" w:rsidP="00AB4178">
      <w:r>
        <w:rPr>
          <w:b/>
          <w:bCs/>
        </w:rPr>
        <w:t>Dispensing appliance contractors (DACs)</w:t>
      </w:r>
      <w:r>
        <w:t xml:space="preserve"> – DACs are a specific sub-set of NHS pharmaceutical contractors who supply, on prescription, appliances such as stoma and incontinence aids, dressings, bandages, etc. </w:t>
      </w:r>
      <w:r w:rsidR="000E14C2">
        <w:t xml:space="preserve">However, they do not dispense any medicines. </w:t>
      </w:r>
      <w:r w:rsidR="001565B8">
        <w:t xml:space="preserve">There is 1 DAC in Coventry and </w:t>
      </w:r>
      <w:r w:rsidR="007B2F49">
        <w:t>0 in</w:t>
      </w:r>
      <w:r w:rsidR="001565B8">
        <w:t xml:space="preserve"> Warwickshire.</w:t>
      </w:r>
    </w:p>
    <w:p w14:paraId="058CB6A8" w14:textId="477BAB54" w:rsidR="001565B8" w:rsidRDefault="001565B8" w:rsidP="00AB4178">
      <w:r>
        <w:rPr>
          <w:b/>
          <w:bCs/>
        </w:rPr>
        <w:t>Dispensing doctors (DD)</w:t>
      </w:r>
      <w:r>
        <w:t xml:space="preserve"> </w:t>
      </w:r>
      <w:r w:rsidR="00522FC5">
        <w:t>–</w:t>
      </w:r>
      <w:r>
        <w:t xml:space="preserve"> </w:t>
      </w:r>
      <w:r w:rsidR="00522FC5">
        <w:t xml:space="preserve">GP practices are allowed to dispense medicines and appliances to patients who live in an NHS England determined controlled locality (Rural Area) and live more than one mile from a community pharmacy. There are </w:t>
      </w:r>
      <w:r w:rsidR="00674D24">
        <w:t>23</w:t>
      </w:r>
      <w:r w:rsidR="002C5E0D">
        <w:t xml:space="preserve"> dispensing GP practices within Coventry and Warwickshire</w:t>
      </w:r>
      <w:r w:rsidR="00CF52D3">
        <w:t xml:space="preserve">, </w:t>
      </w:r>
      <w:r w:rsidR="00583890">
        <w:t>11</w:t>
      </w:r>
      <w:r w:rsidR="00CF52D3">
        <w:t xml:space="preserve"> in </w:t>
      </w:r>
      <w:r w:rsidR="00583890">
        <w:t xml:space="preserve">Stratford-on-Avon District, 5 in North </w:t>
      </w:r>
      <w:r w:rsidR="00CF52D3">
        <w:t xml:space="preserve">Warwickshire </w:t>
      </w:r>
      <w:r w:rsidR="00583890">
        <w:t>Borough, 3 in Warwick District, 2 in Rugby Borough, 1 in Nuneaton and Bedworth Borough,</w:t>
      </w:r>
      <w:r w:rsidR="00CF52D3">
        <w:t xml:space="preserve"> and 1 in Coventry</w:t>
      </w:r>
      <w:r w:rsidR="002C5E0D">
        <w:t>.</w:t>
      </w:r>
    </w:p>
    <w:p w14:paraId="0BFDE9BE" w14:textId="77777777" w:rsidR="00B01F8F" w:rsidRDefault="00B01F8F" w:rsidP="00AB4178"/>
    <w:p w14:paraId="6174BBAC" w14:textId="06BCABE8" w:rsidR="00B01F8F" w:rsidRDefault="00B01F8F" w:rsidP="00B01F8F">
      <w:pPr>
        <w:pStyle w:val="Heading2"/>
      </w:pPr>
      <w:bookmarkStart w:id="52" w:name="_Toc113628609"/>
      <w:r>
        <w:t>Community Pharmacy Benchmarking</w:t>
      </w:r>
      <w:bookmarkEnd w:id="52"/>
    </w:p>
    <w:p w14:paraId="15672F84" w14:textId="2A6EB9D6" w:rsidR="00FD6B59" w:rsidRDefault="00977664" w:rsidP="00AB4178">
      <w:r>
        <w:t xml:space="preserve">Figure </w:t>
      </w:r>
      <w:r w:rsidR="000B723A">
        <w:t>21</w:t>
      </w:r>
      <w:r>
        <w:t xml:space="preserve"> below shows the </w:t>
      </w:r>
      <w:r w:rsidR="001A2C96">
        <w:t xml:space="preserve">number of pharmacies per 10,000 population in Coventry and Warwickshire against the England average. Coventry </w:t>
      </w:r>
      <w:r w:rsidR="00681E20">
        <w:t xml:space="preserve">has 2.6 pharmacies per 10,000 population which is slightly higher than the England average (2.1), and Warwickshire has 1.8 per 10,000. </w:t>
      </w:r>
    </w:p>
    <w:p w14:paraId="677A66FD" w14:textId="6C9F6254" w:rsidR="001A2C96" w:rsidRDefault="001A2C96" w:rsidP="00AB4178">
      <w:r>
        <w:rPr>
          <w:noProof/>
        </w:rPr>
        <w:lastRenderedPageBreak/>
        <w:drawing>
          <wp:inline distT="0" distB="0" distL="0" distR="0" wp14:anchorId="398C2C39" wp14:editId="51895C59">
            <wp:extent cx="4572000" cy="2743200"/>
            <wp:effectExtent l="0" t="0" r="0" b="0"/>
            <wp:docPr id="10" name="Chart 10">
              <a:extLst xmlns:a="http://schemas.openxmlformats.org/drawingml/2006/main">
                <a:ext uri="{FF2B5EF4-FFF2-40B4-BE49-F238E27FC236}">
                  <a16:creationId xmlns:a16="http://schemas.microsoft.com/office/drawing/2014/main" id="{1B4B9651-994E-4160-BB60-E639C70BB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DD8C99A" w14:textId="6946FF5E" w:rsidR="00B01F8F" w:rsidRPr="00AB4178" w:rsidRDefault="006553F7" w:rsidP="006553F7">
      <w:pPr>
        <w:pStyle w:val="Caption"/>
      </w:pPr>
      <w:r>
        <w:t xml:space="preserve">Figure </w:t>
      </w:r>
      <w:r>
        <w:fldChar w:fldCharType="begin"/>
      </w:r>
      <w:r>
        <w:instrText>SEQ Figure \* ARABIC</w:instrText>
      </w:r>
      <w:r>
        <w:fldChar w:fldCharType="separate"/>
      </w:r>
      <w:r>
        <w:rPr>
          <w:noProof/>
        </w:rPr>
        <w:t>21</w:t>
      </w:r>
      <w:r>
        <w:fldChar w:fldCharType="end"/>
      </w:r>
      <w:r>
        <w:t>: Number of pharmacies per 10,000 population</w:t>
      </w:r>
      <w:r>
        <w:br/>
        <w:t xml:space="preserve">Source: </w:t>
      </w:r>
      <w:hyperlink r:id="rId53" w:anchor=":~:text=Key%20Findings,%2F21%2C%20while%20451%20closed" w:history="1">
        <w:r w:rsidR="00AB2C99" w:rsidRPr="00295C01">
          <w:rPr>
            <w:rStyle w:val="Hyperlink"/>
          </w:rPr>
          <w:t>https://www.nhsbsa.nhs.uk/statistical-collections/general-pharmaceutical-services-england/general-pharmaceutical-services-england-201516-202021#:~:text=Key%20Findings,%2F21%2C%20while%20451%20closed</w:t>
        </w:r>
      </w:hyperlink>
      <w:r w:rsidR="00AB2C99" w:rsidRPr="00AB2C99">
        <w:t>.</w:t>
      </w:r>
      <w:r w:rsidR="00AB2C99">
        <w:t xml:space="preserve"> </w:t>
      </w:r>
    </w:p>
    <w:p w14:paraId="3A49FB04" w14:textId="394F391D" w:rsidR="008A0142" w:rsidRDefault="008A0142" w:rsidP="008A0142">
      <w:pPr>
        <w:pStyle w:val="Heading2"/>
      </w:pPr>
      <w:bookmarkStart w:id="53" w:name="_Toc113628610"/>
      <w:r>
        <w:t>Access to Pharmacies in Coventry and Warwickshire</w:t>
      </w:r>
      <w:bookmarkEnd w:id="53"/>
    </w:p>
    <w:p w14:paraId="48603107" w14:textId="347D2678" w:rsidR="008D28C8" w:rsidRDefault="002161B8" w:rsidP="00EE060D">
      <w:r>
        <w:t>Coventry and Warwickshire</w:t>
      </w:r>
      <w:r w:rsidR="00E60C6D">
        <w:t xml:space="preserve"> </w:t>
      </w:r>
      <w:r w:rsidR="00F63AE1">
        <w:t>have</w:t>
      </w:r>
      <w:r w:rsidR="00CC5253">
        <w:t xml:space="preserve"> </w:t>
      </w:r>
      <w:r w:rsidR="009D1802">
        <w:t>19</w:t>
      </w:r>
      <w:r w:rsidR="00B37C20">
        <w:t>7</w:t>
      </w:r>
      <w:r w:rsidR="00286FFF">
        <w:t xml:space="preserve"> c</w:t>
      </w:r>
      <w:r w:rsidR="00CC5253">
        <w:t xml:space="preserve">ommunity </w:t>
      </w:r>
      <w:r w:rsidR="00286FFF">
        <w:t>p</w:t>
      </w:r>
      <w:r w:rsidR="009D1802">
        <w:t>harmacies</w:t>
      </w:r>
      <w:r w:rsidR="00160234">
        <w:t>;</w:t>
      </w:r>
      <w:r w:rsidR="00A445FE">
        <w:t xml:space="preserve"> </w:t>
      </w:r>
      <w:r w:rsidR="00787300">
        <w:t>9</w:t>
      </w:r>
      <w:r w:rsidR="0090276D">
        <w:t>1</w:t>
      </w:r>
      <w:r w:rsidR="00787300">
        <w:t xml:space="preserve"> pharmacies in Coventry</w:t>
      </w:r>
      <w:r w:rsidR="00FD7205">
        <w:t xml:space="preserve">, </w:t>
      </w:r>
      <w:r w:rsidR="6D25ABF1">
        <w:t>7</w:t>
      </w:r>
      <w:r w:rsidR="00FD7205">
        <w:t xml:space="preserve"> of which are distance selling pharmacies, </w:t>
      </w:r>
      <w:r w:rsidR="00787300">
        <w:t>and 10</w:t>
      </w:r>
      <w:r w:rsidR="0090276D">
        <w:t>6</w:t>
      </w:r>
      <w:r w:rsidR="00787300">
        <w:t xml:space="preserve"> pharmacies in Warwickshire</w:t>
      </w:r>
      <w:r w:rsidR="00FD7205">
        <w:t xml:space="preserve">, </w:t>
      </w:r>
      <w:r w:rsidR="6D25ABF1">
        <w:t>5</w:t>
      </w:r>
      <w:r w:rsidR="00FD7205" w:rsidRPr="00B910C7">
        <w:t xml:space="preserve"> </w:t>
      </w:r>
      <w:r w:rsidR="00FD7205">
        <w:t xml:space="preserve">of which are </w:t>
      </w:r>
      <w:r w:rsidR="00286FFF">
        <w:t>distance selling pharmacies.</w:t>
      </w:r>
      <w:r w:rsidR="00F63AE1">
        <w:t xml:space="preserve"> </w:t>
      </w:r>
    </w:p>
    <w:p w14:paraId="73673B99" w14:textId="77777777" w:rsidR="00881B3E" w:rsidRDefault="00881B3E" w:rsidP="00EE060D">
      <w:pPr>
        <w:rPr>
          <w:color w:val="477CBF"/>
        </w:rPr>
      </w:pPr>
    </w:p>
    <w:p w14:paraId="066BC2EB" w14:textId="5380130A" w:rsidR="00881B3E" w:rsidRPr="00881B3E" w:rsidRDefault="00881B3E" w:rsidP="00EE060D">
      <w:pPr>
        <w:rPr>
          <w:color w:val="477CBF"/>
        </w:rPr>
      </w:pPr>
      <w:r>
        <w:rPr>
          <w:color w:val="477CBF"/>
        </w:rPr>
        <w:t>Geographical Location</w:t>
      </w:r>
    </w:p>
    <w:p w14:paraId="12442E9D" w14:textId="4BC7D0BA" w:rsidR="00340CA2" w:rsidRPr="00EE060D" w:rsidRDefault="00CF65BD" w:rsidP="00EE060D">
      <w:r>
        <w:t xml:space="preserve">Figure </w:t>
      </w:r>
      <w:r w:rsidR="000B723A">
        <w:t>22</w:t>
      </w:r>
      <w:r w:rsidR="00372565">
        <w:t xml:space="preserve"> shows the location of pharmacies within Coventry and Warwickshire</w:t>
      </w:r>
      <w:r w:rsidR="00867BBA">
        <w:t xml:space="preserve">, and figures </w:t>
      </w:r>
      <w:r w:rsidR="00611E9E">
        <w:t>2</w:t>
      </w:r>
      <w:r w:rsidR="000B723A">
        <w:t>3</w:t>
      </w:r>
      <w:r w:rsidR="00611E9E">
        <w:t xml:space="preserve"> - 2</w:t>
      </w:r>
      <w:r w:rsidR="000B723A">
        <w:t>8</w:t>
      </w:r>
      <w:r w:rsidR="00867BBA">
        <w:t xml:space="preserve"> show that at the locality level</w:t>
      </w:r>
      <w:r w:rsidR="00372565">
        <w:t xml:space="preserve">. </w:t>
      </w:r>
      <w:r w:rsidR="00E16A6D">
        <w:t>Pharmacies are not evenly distributed throughout the localities, with great concentrations of pharmacies in central areas of each locality</w:t>
      </w:r>
      <w:r w:rsidR="000D67C3">
        <w:t>/borough, particularly in Coventry</w:t>
      </w:r>
      <w:r w:rsidR="000450A1">
        <w:t>, Nuneaton and Bedworth, Rugby</w:t>
      </w:r>
      <w:r w:rsidR="0047768C">
        <w:t xml:space="preserve">, and Warwick. These central area Lower Super Output Areas (LSOAs) are the most densely populated areas in the localities, and have the greatest deprivation as described in the Local Picture chapter. </w:t>
      </w:r>
    </w:p>
    <w:p w14:paraId="31A1BB60" w14:textId="73B60568" w:rsidR="00C46A3C" w:rsidRDefault="00EE060D" w:rsidP="00EE060D">
      <w:pPr>
        <w:jc w:val="center"/>
      </w:pPr>
      <w:r w:rsidRPr="00EE060D">
        <w:rPr>
          <w:noProof/>
          <w:color w:val="2B579A"/>
          <w:shd w:val="clear" w:color="auto" w:fill="E6E6E6"/>
        </w:rPr>
        <w:lastRenderedPageBreak/>
        <w:drawing>
          <wp:inline distT="0" distB="0" distL="0" distR="0" wp14:anchorId="28FA6F61" wp14:editId="577DC99B">
            <wp:extent cx="5316924" cy="76265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4">
                      <a:extLst>
                        <a:ext uri="{28A0092B-C50C-407E-A947-70E740481C1C}">
                          <a14:useLocalDpi xmlns:a14="http://schemas.microsoft.com/office/drawing/2010/main" val="0"/>
                        </a:ext>
                      </a:extLst>
                    </a:blip>
                    <a:stretch>
                      <a:fillRect/>
                    </a:stretch>
                  </pic:blipFill>
                  <pic:spPr>
                    <a:xfrm>
                      <a:off x="0" y="0"/>
                      <a:ext cx="5316924" cy="7626580"/>
                    </a:xfrm>
                    <a:prstGeom prst="rect">
                      <a:avLst/>
                    </a:prstGeom>
                  </pic:spPr>
                </pic:pic>
              </a:graphicData>
            </a:graphic>
          </wp:inline>
        </w:drawing>
      </w:r>
    </w:p>
    <w:p w14:paraId="2D9BD21A" w14:textId="61AC395B" w:rsidR="00611E9E" w:rsidRDefault="00611E9E" w:rsidP="00611E9E">
      <w:pPr>
        <w:pStyle w:val="Caption"/>
      </w:pPr>
      <w:r>
        <w:t xml:space="preserve">Figure </w:t>
      </w:r>
      <w:r>
        <w:fldChar w:fldCharType="begin"/>
      </w:r>
      <w:r>
        <w:instrText>SEQ Figure \* ARABIC</w:instrText>
      </w:r>
      <w:r>
        <w:fldChar w:fldCharType="separate"/>
      </w:r>
      <w:r w:rsidR="006553F7">
        <w:rPr>
          <w:noProof/>
        </w:rPr>
        <w:t>22</w:t>
      </w:r>
      <w:r>
        <w:fldChar w:fldCharType="end"/>
      </w:r>
      <w:r>
        <w:t>: Location of pharmacies in Coventry and Warwickshire</w:t>
      </w:r>
      <w:r>
        <w:br/>
        <w:t>Source: SHAPE</w:t>
      </w:r>
    </w:p>
    <w:p w14:paraId="54E39F1F" w14:textId="15D592F4" w:rsidR="00EE060D" w:rsidRDefault="00EE060D" w:rsidP="00EE060D">
      <w:pPr>
        <w:jc w:val="center"/>
      </w:pPr>
    </w:p>
    <w:p w14:paraId="092433C1" w14:textId="77777777" w:rsidR="007B1F3B" w:rsidRDefault="007B1F3B" w:rsidP="001C3CB0"/>
    <w:p w14:paraId="1CD50AAC" w14:textId="523295F4" w:rsidR="007B1F3B" w:rsidRDefault="007B1F3B" w:rsidP="007B1F3B">
      <w:pPr>
        <w:jc w:val="center"/>
      </w:pPr>
      <w:r w:rsidRPr="007B1F3B">
        <w:rPr>
          <w:noProof/>
        </w:rPr>
        <w:drawing>
          <wp:inline distT="0" distB="0" distL="0" distR="0" wp14:anchorId="79AF9D4F" wp14:editId="782BE515">
            <wp:extent cx="6332220" cy="5209540"/>
            <wp:effectExtent l="0" t="0" r="0" b="0"/>
            <wp:docPr id="2146198400" name="Picture 214619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332220" cy="5209540"/>
                    </a:xfrm>
                    <a:prstGeom prst="rect">
                      <a:avLst/>
                    </a:prstGeom>
                  </pic:spPr>
                </pic:pic>
              </a:graphicData>
            </a:graphic>
          </wp:inline>
        </w:drawing>
      </w:r>
    </w:p>
    <w:p w14:paraId="740A0FF2" w14:textId="1BA0BFD3" w:rsidR="007B1F3B" w:rsidRDefault="00611E9E" w:rsidP="00611E9E">
      <w:pPr>
        <w:pStyle w:val="Caption"/>
      </w:pPr>
      <w:r>
        <w:t xml:space="preserve">Figure </w:t>
      </w:r>
      <w:r>
        <w:fldChar w:fldCharType="begin"/>
      </w:r>
      <w:r>
        <w:instrText>SEQ Figure \* ARABIC</w:instrText>
      </w:r>
      <w:r>
        <w:fldChar w:fldCharType="separate"/>
      </w:r>
      <w:r w:rsidR="006553F7">
        <w:rPr>
          <w:noProof/>
        </w:rPr>
        <w:t>23</w:t>
      </w:r>
      <w:r>
        <w:fldChar w:fldCharType="end"/>
      </w:r>
      <w:r>
        <w:t>: Location of pharmacies in Coventry</w:t>
      </w:r>
      <w:r>
        <w:br/>
        <w:t>Source: SHAPE</w:t>
      </w:r>
    </w:p>
    <w:p w14:paraId="51F43D78" w14:textId="5D7D5CB3" w:rsidR="00ED14C3" w:rsidRDefault="00ED14C3" w:rsidP="007B1F3B">
      <w:pPr>
        <w:jc w:val="center"/>
      </w:pPr>
      <w:r w:rsidRPr="00ED14C3">
        <w:rPr>
          <w:noProof/>
        </w:rPr>
        <w:lastRenderedPageBreak/>
        <w:drawing>
          <wp:inline distT="0" distB="0" distL="0" distR="0" wp14:anchorId="2D5A295A" wp14:editId="73DFE2FD">
            <wp:extent cx="6332220" cy="6417945"/>
            <wp:effectExtent l="0" t="0" r="0" b="1905"/>
            <wp:docPr id="2146198402" name="Picture 214619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332220" cy="6417945"/>
                    </a:xfrm>
                    <a:prstGeom prst="rect">
                      <a:avLst/>
                    </a:prstGeom>
                  </pic:spPr>
                </pic:pic>
              </a:graphicData>
            </a:graphic>
          </wp:inline>
        </w:drawing>
      </w:r>
    </w:p>
    <w:p w14:paraId="6A4B482E" w14:textId="7777BAE2" w:rsidR="00ED14C3" w:rsidRDefault="00611E9E" w:rsidP="00611E9E">
      <w:pPr>
        <w:pStyle w:val="Caption"/>
      </w:pPr>
      <w:r>
        <w:t xml:space="preserve">Figure </w:t>
      </w:r>
      <w:r>
        <w:fldChar w:fldCharType="begin"/>
      </w:r>
      <w:r>
        <w:instrText>SEQ Figure \* ARABIC</w:instrText>
      </w:r>
      <w:r>
        <w:fldChar w:fldCharType="separate"/>
      </w:r>
      <w:r w:rsidR="006553F7">
        <w:rPr>
          <w:noProof/>
        </w:rPr>
        <w:t>24</w:t>
      </w:r>
      <w:r>
        <w:fldChar w:fldCharType="end"/>
      </w:r>
      <w:r>
        <w:t>: Location of pharmacies in Nuneaton and Bedworth Borough</w:t>
      </w:r>
      <w:r>
        <w:br/>
        <w:t>Source: SHAPE</w:t>
      </w:r>
    </w:p>
    <w:p w14:paraId="0FF3E750" w14:textId="316D8DC4" w:rsidR="00ED14C3" w:rsidRDefault="00BE1B79" w:rsidP="007B1F3B">
      <w:pPr>
        <w:jc w:val="center"/>
      </w:pPr>
      <w:r w:rsidRPr="00BE1B79">
        <w:rPr>
          <w:noProof/>
        </w:rPr>
        <w:lastRenderedPageBreak/>
        <w:drawing>
          <wp:inline distT="0" distB="0" distL="0" distR="0" wp14:anchorId="52E45917" wp14:editId="112DF0E8">
            <wp:extent cx="5563457" cy="7981950"/>
            <wp:effectExtent l="0" t="0" r="0" b="0"/>
            <wp:docPr id="2146198403" name="Picture 214619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577527" cy="8002136"/>
                    </a:xfrm>
                    <a:prstGeom prst="rect">
                      <a:avLst/>
                    </a:prstGeom>
                  </pic:spPr>
                </pic:pic>
              </a:graphicData>
            </a:graphic>
          </wp:inline>
        </w:drawing>
      </w:r>
    </w:p>
    <w:p w14:paraId="432C8631" w14:textId="75AA5F89" w:rsidR="00611E9E" w:rsidRDefault="00611E9E" w:rsidP="00611E9E">
      <w:pPr>
        <w:pStyle w:val="Caption"/>
      </w:pPr>
      <w:r>
        <w:t xml:space="preserve">Figure </w:t>
      </w:r>
      <w:r>
        <w:fldChar w:fldCharType="begin"/>
      </w:r>
      <w:r>
        <w:instrText>SEQ Figure \* ARABIC</w:instrText>
      </w:r>
      <w:r>
        <w:fldChar w:fldCharType="separate"/>
      </w:r>
      <w:r w:rsidR="006553F7">
        <w:rPr>
          <w:noProof/>
        </w:rPr>
        <w:t>25</w:t>
      </w:r>
      <w:r>
        <w:fldChar w:fldCharType="end"/>
      </w:r>
      <w:r>
        <w:t xml:space="preserve">: Location of pharmacies in Rugby Borough </w:t>
      </w:r>
      <w:r>
        <w:br/>
        <w:t>Source: SHAPE</w:t>
      </w:r>
    </w:p>
    <w:p w14:paraId="2688BA4C" w14:textId="77777777" w:rsidR="00BE1B79" w:rsidRDefault="00BE1B79" w:rsidP="007B1F3B">
      <w:pPr>
        <w:jc w:val="center"/>
      </w:pPr>
    </w:p>
    <w:p w14:paraId="00117538" w14:textId="51D71F9A" w:rsidR="00BE1B79" w:rsidRDefault="00327265" w:rsidP="007B1F3B">
      <w:pPr>
        <w:jc w:val="center"/>
      </w:pPr>
      <w:r w:rsidRPr="00327265">
        <w:rPr>
          <w:noProof/>
        </w:rPr>
        <w:drawing>
          <wp:inline distT="0" distB="0" distL="0" distR="0" wp14:anchorId="44E4392D" wp14:editId="6A3F5233">
            <wp:extent cx="6332220" cy="5996305"/>
            <wp:effectExtent l="0" t="0" r="0" b="4445"/>
            <wp:docPr id="2146198404" name="Picture 214619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332220" cy="5996305"/>
                    </a:xfrm>
                    <a:prstGeom prst="rect">
                      <a:avLst/>
                    </a:prstGeom>
                  </pic:spPr>
                </pic:pic>
              </a:graphicData>
            </a:graphic>
          </wp:inline>
        </w:drawing>
      </w:r>
    </w:p>
    <w:p w14:paraId="7D6C488B" w14:textId="4E16EE0D" w:rsidR="00611E9E" w:rsidRPr="00611E9E" w:rsidRDefault="00611E9E" w:rsidP="00611E9E">
      <w:pPr>
        <w:pStyle w:val="Caption"/>
      </w:pPr>
      <w:r>
        <w:t xml:space="preserve">Figure </w:t>
      </w:r>
      <w:r>
        <w:fldChar w:fldCharType="begin"/>
      </w:r>
      <w:r>
        <w:instrText>SEQ Figure \* ARABIC</w:instrText>
      </w:r>
      <w:r>
        <w:fldChar w:fldCharType="separate"/>
      </w:r>
      <w:r w:rsidR="006553F7">
        <w:rPr>
          <w:noProof/>
        </w:rPr>
        <w:t>26</w:t>
      </w:r>
      <w:r>
        <w:fldChar w:fldCharType="end"/>
      </w:r>
      <w:r>
        <w:t>: Location of pharmacies in Stratford-on-Avon District</w:t>
      </w:r>
      <w:r>
        <w:br/>
        <w:t>Source: SHAPE</w:t>
      </w:r>
    </w:p>
    <w:p w14:paraId="57F7937F" w14:textId="77777777" w:rsidR="00327265" w:rsidRDefault="00327265" w:rsidP="007B1F3B">
      <w:pPr>
        <w:jc w:val="center"/>
      </w:pPr>
    </w:p>
    <w:p w14:paraId="39BFB1D8" w14:textId="038DEEE5" w:rsidR="00327265" w:rsidRDefault="00B80F60" w:rsidP="007B1F3B">
      <w:pPr>
        <w:jc w:val="center"/>
      </w:pPr>
      <w:r w:rsidRPr="00B80F60">
        <w:rPr>
          <w:noProof/>
        </w:rPr>
        <w:lastRenderedPageBreak/>
        <w:drawing>
          <wp:inline distT="0" distB="0" distL="0" distR="0" wp14:anchorId="77128BE6" wp14:editId="6D26C02B">
            <wp:extent cx="6332220" cy="4662170"/>
            <wp:effectExtent l="0" t="0" r="0" b="5080"/>
            <wp:docPr id="2146198405" name="Picture 214619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332220" cy="4662170"/>
                    </a:xfrm>
                    <a:prstGeom prst="rect">
                      <a:avLst/>
                    </a:prstGeom>
                  </pic:spPr>
                </pic:pic>
              </a:graphicData>
            </a:graphic>
          </wp:inline>
        </w:drawing>
      </w:r>
    </w:p>
    <w:p w14:paraId="131ECD6B" w14:textId="4BCC5D72" w:rsidR="00611E9E" w:rsidRDefault="00611E9E" w:rsidP="00611E9E">
      <w:pPr>
        <w:pStyle w:val="Caption"/>
      </w:pPr>
      <w:r>
        <w:t xml:space="preserve">Figure </w:t>
      </w:r>
      <w:r>
        <w:fldChar w:fldCharType="begin"/>
      </w:r>
      <w:r>
        <w:instrText>SEQ Figure \* ARABIC</w:instrText>
      </w:r>
      <w:r>
        <w:fldChar w:fldCharType="separate"/>
      </w:r>
      <w:r w:rsidR="006553F7">
        <w:rPr>
          <w:noProof/>
        </w:rPr>
        <w:t>27</w:t>
      </w:r>
      <w:r>
        <w:fldChar w:fldCharType="end"/>
      </w:r>
      <w:r>
        <w:t>: Location of pharmacies in Warwick District</w:t>
      </w:r>
      <w:r>
        <w:br/>
        <w:t>Source: SHAPE</w:t>
      </w:r>
    </w:p>
    <w:p w14:paraId="258406B4" w14:textId="4F8B95B6" w:rsidR="007B1F3B" w:rsidRDefault="00C97D78" w:rsidP="007B1F3B">
      <w:pPr>
        <w:jc w:val="center"/>
      </w:pPr>
      <w:r w:rsidRPr="00C97D78">
        <w:rPr>
          <w:noProof/>
        </w:rPr>
        <w:lastRenderedPageBreak/>
        <w:drawing>
          <wp:inline distT="0" distB="0" distL="0" distR="0" wp14:anchorId="38FB43F4" wp14:editId="56D8907A">
            <wp:extent cx="6332220" cy="7013575"/>
            <wp:effectExtent l="0" t="0" r="0" b="0"/>
            <wp:docPr id="2146198401" name="Picture 214619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332220" cy="7013575"/>
                    </a:xfrm>
                    <a:prstGeom prst="rect">
                      <a:avLst/>
                    </a:prstGeom>
                  </pic:spPr>
                </pic:pic>
              </a:graphicData>
            </a:graphic>
          </wp:inline>
        </w:drawing>
      </w:r>
    </w:p>
    <w:p w14:paraId="1059A1D6" w14:textId="2F611C51" w:rsidR="00611E9E" w:rsidRDefault="00611E9E" w:rsidP="00611E9E">
      <w:pPr>
        <w:pStyle w:val="Caption"/>
      </w:pPr>
      <w:r>
        <w:t xml:space="preserve">Figure </w:t>
      </w:r>
      <w:r>
        <w:fldChar w:fldCharType="begin"/>
      </w:r>
      <w:r>
        <w:instrText>SEQ Figure \* ARABIC</w:instrText>
      </w:r>
      <w:r>
        <w:fldChar w:fldCharType="separate"/>
      </w:r>
      <w:r w:rsidR="006553F7">
        <w:rPr>
          <w:noProof/>
        </w:rPr>
        <w:t>28</w:t>
      </w:r>
      <w:r>
        <w:fldChar w:fldCharType="end"/>
      </w:r>
      <w:r>
        <w:t>: Location of pharmacies in North Warwickshire Borough</w:t>
      </w:r>
      <w:r>
        <w:br/>
        <w:t>Source: SHAPE</w:t>
      </w:r>
    </w:p>
    <w:p w14:paraId="17AA765A" w14:textId="77777777" w:rsidR="00C97D78" w:rsidRDefault="00C97D78" w:rsidP="007B1F3B">
      <w:pPr>
        <w:jc w:val="center"/>
      </w:pPr>
    </w:p>
    <w:p w14:paraId="518E3E6B" w14:textId="77777777" w:rsidR="00C97D78" w:rsidRDefault="00C97D78" w:rsidP="007B1F3B">
      <w:pPr>
        <w:jc w:val="center"/>
      </w:pPr>
    </w:p>
    <w:p w14:paraId="1493E6D2" w14:textId="77777777" w:rsidR="007B1F3B" w:rsidRDefault="007B1F3B" w:rsidP="001C3CB0"/>
    <w:p w14:paraId="12B0383E" w14:textId="3A48A1E0" w:rsidR="001C3CB0" w:rsidRDefault="001C3CB0" w:rsidP="001C3CB0">
      <w:r>
        <w:lastRenderedPageBreak/>
        <w:t xml:space="preserve">Figure </w:t>
      </w:r>
      <w:r w:rsidR="007757AD">
        <w:t>2</w:t>
      </w:r>
      <w:r w:rsidR="000B723A">
        <w:t>9</w:t>
      </w:r>
      <w:r>
        <w:t xml:space="preserve"> shows access to pharmacies </w:t>
      </w:r>
      <w:r w:rsidR="00D67FA7">
        <w:t xml:space="preserve">in relation to a 5- and 15-minute drive. The dark green areas </w:t>
      </w:r>
      <w:r w:rsidR="003E7580">
        <w:t xml:space="preserve">are within a </w:t>
      </w:r>
      <w:r w:rsidR="00993374">
        <w:t>5-minute</w:t>
      </w:r>
      <w:r w:rsidR="003E7580">
        <w:t xml:space="preserve"> drive to a pharmacy, and the light </w:t>
      </w:r>
      <w:r w:rsidR="00993374">
        <w:t>green</w:t>
      </w:r>
      <w:r w:rsidR="003E7580">
        <w:t xml:space="preserve"> are within a </w:t>
      </w:r>
      <w:r w:rsidR="00993374">
        <w:t>15-minute</w:t>
      </w:r>
      <w:r w:rsidR="003E7580">
        <w:t xml:space="preserve"> drive to a pharmacy. </w:t>
      </w:r>
      <w:r w:rsidR="00993374">
        <w:t xml:space="preserve">Almost all of Warwickshire is within a </w:t>
      </w:r>
      <w:r w:rsidR="00F62A7B">
        <w:t>15-minute</w:t>
      </w:r>
      <w:r w:rsidR="00993374">
        <w:t xml:space="preserve"> drive to a pharmacy, the exceptions being </w:t>
      </w:r>
      <w:r w:rsidR="00FE0840">
        <w:t xml:space="preserve">in </w:t>
      </w:r>
      <w:r w:rsidR="00D27635">
        <w:t xml:space="preserve">South and </w:t>
      </w:r>
      <w:r w:rsidR="00F62A7B">
        <w:t>Southeast</w:t>
      </w:r>
      <w:r w:rsidR="00D27635">
        <w:t xml:space="preserve"> of Stratford-on-Avon District</w:t>
      </w:r>
      <w:r w:rsidR="00F62A7B">
        <w:t xml:space="preserve">, which are rural areas. </w:t>
      </w:r>
      <w:r w:rsidR="00DC3798">
        <w:t xml:space="preserve">The </w:t>
      </w:r>
      <w:r w:rsidR="00E5217D">
        <w:t>majority of Coventry is within a 5-minute drive to a pharmacy</w:t>
      </w:r>
      <w:r w:rsidR="004957E7">
        <w:t xml:space="preserve"> and</w:t>
      </w:r>
      <w:r w:rsidR="00DD5BEF">
        <w:t xml:space="preserve"> all of Coventry is </w:t>
      </w:r>
      <w:r w:rsidR="000E0689">
        <w:t>within a 15- minute drive.</w:t>
      </w:r>
    </w:p>
    <w:p w14:paraId="04052EE2" w14:textId="0F97DB6B" w:rsidR="00A76D10" w:rsidRDefault="00480933" w:rsidP="00382457">
      <w:pPr>
        <w:jc w:val="center"/>
      </w:pPr>
      <w:r w:rsidRPr="00480933">
        <w:rPr>
          <w:noProof/>
          <w:color w:val="2B579A"/>
          <w:shd w:val="clear" w:color="auto" w:fill="E6E6E6"/>
        </w:rPr>
        <w:drawing>
          <wp:inline distT="0" distB="0" distL="0" distR="0" wp14:anchorId="4FC94D85" wp14:editId="27BB288F">
            <wp:extent cx="5025337" cy="65341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050365" cy="6566692"/>
                    </a:xfrm>
                    <a:prstGeom prst="rect">
                      <a:avLst/>
                    </a:prstGeom>
                  </pic:spPr>
                </pic:pic>
              </a:graphicData>
            </a:graphic>
          </wp:inline>
        </w:drawing>
      </w:r>
    </w:p>
    <w:p w14:paraId="428FCF47" w14:textId="5128E5F2" w:rsidR="007757AD" w:rsidRDefault="007757AD" w:rsidP="007757AD">
      <w:pPr>
        <w:pStyle w:val="Caption"/>
      </w:pPr>
      <w:r>
        <w:t xml:space="preserve">Figure </w:t>
      </w:r>
      <w:r>
        <w:fldChar w:fldCharType="begin"/>
      </w:r>
      <w:r>
        <w:instrText>SEQ Figure \* ARABIC</w:instrText>
      </w:r>
      <w:r>
        <w:fldChar w:fldCharType="separate"/>
      </w:r>
      <w:r w:rsidR="006553F7">
        <w:rPr>
          <w:noProof/>
        </w:rPr>
        <w:t>29</w:t>
      </w:r>
      <w:r>
        <w:fldChar w:fldCharType="end"/>
      </w:r>
      <w:r>
        <w:t>: Location of pharmacies in relation to a 5 or 15 minute drive</w:t>
      </w:r>
      <w:r>
        <w:br/>
        <w:t>Source: SHAPE</w:t>
      </w:r>
    </w:p>
    <w:p w14:paraId="7CA49452" w14:textId="11D6B1C3" w:rsidR="006E0127" w:rsidRDefault="006E0127" w:rsidP="006E0127">
      <w:r>
        <w:lastRenderedPageBreak/>
        <w:t xml:space="preserve">Figure </w:t>
      </w:r>
      <w:r w:rsidR="000B723A">
        <w:t>30</w:t>
      </w:r>
      <w:r>
        <w:t xml:space="preserve"> shows </w:t>
      </w:r>
      <w:r w:rsidR="002D60CD">
        <w:t xml:space="preserve">the access to pharmacies via public transport </w:t>
      </w:r>
      <w:r w:rsidR="00231C7B">
        <w:t>and the top 20% of IMD areas.</w:t>
      </w:r>
      <w:r w:rsidR="00D82FEB">
        <w:t xml:space="preserve"> </w:t>
      </w:r>
      <w:r w:rsidR="00EA3422">
        <w:t>The green areas represent a 15-minute journey via public transport to a pharmacy whilst the yellow represent a 30-minute journey. The red areas are the top 20% IMD areas.</w:t>
      </w:r>
      <w:r w:rsidR="00D87F46">
        <w:t xml:space="preserve"> </w:t>
      </w:r>
      <w:r w:rsidR="005447C4">
        <w:t xml:space="preserve">All of the lowest 20% IMD areas are within a 30-minute journey via public transport to a pharmacy. Those areas not within a 30-minute journey are predominately rural or uninhabited areas. </w:t>
      </w:r>
    </w:p>
    <w:p w14:paraId="586A0FFD" w14:textId="77777777" w:rsidR="00624324" w:rsidRDefault="00624324" w:rsidP="00624324">
      <w:pPr>
        <w:jc w:val="center"/>
      </w:pPr>
      <w:r w:rsidRPr="00480933">
        <w:rPr>
          <w:noProof/>
          <w:color w:val="2B579A"/>
          <w:shd w:val="clear" w:color="auto" w:fill="E6E6E6"/>
        </w:rPr>
        <w:drawing>
          <wp:inline distT="0" distB="0" distL="0" distR="0" wp14:anchorId="3D0B6F06" wp14:editId="076E5A45">
            <wp:extent cx="5191125" cy="675462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2">
                      <a:extLst>
                        <a:ext uri="{28A0092B-C50C-407E-A947-70E740481C1C}">
                          <a14:useLocalDpi xmlns:a14="http://schemas.microsoft.com/office/drawing/2010/main" val="0"/>
                        </a:ext>
                      </a:extLst>
                    </a:blip>
                    <a:stretch>
                      <a:fillRect/>
                    </a:stretch>
                  </pic:blipFill>
                  <pic:spPr>
                    <a:xfrm>
                      <a:off x="0" y="0"/>
                      <a:ext cx="5203223" cy="6770365"/>
                    </a:xfrm>
                    <a:prstGeom prst="rect">
                      <a:avLst/>
                    </a:prstGeom>
                  </pic:spPr>
                </pic:pic>
              </a:graphicData>
            </a:graphic>
          </wp:inline>
        </w:drawing>
      </w:r>
    </w:p>
    <w:p w14:paraId="6E5084CB" w14:textId="703EE0E3" w:rsidR="00624324" w:rsidRDefault="007757AD" w:rsidP="007757AD">
      <w:pPr>
        <w:pStyle w:val="Caption"/>
      </w:pPr>
      <w:r>
        <w:t xml:space="preserve">Figure </w:t>
      </w:r>
      <w:r>
        <w:fldChar w:fldCharType="begin"/>
      </w:r>
      <w:r>
        <w:instrText>SEQ Figure \* ARABIC</w:instrText>
      </w:r>
      <w:r>
        <w:fldChar w:fldCharType="separate"/>
      </w:r>
      <w:r w:rsidR="006553F7">
        <w:rPr>
          <w:noProof/>
        </w:rPr>
        <w:t>30</w:t>
      </w:r>
      <w:r>
        <w:fldChar w:fldCharType="end"/>
      </w:r>
      <w:r>
        <w:t>: Location of pharmacies b</w:t>
      </w:r>
      <w:r w:rsidR="00624324">
        <w:t xml:space="preserve">y public transport: </w:t>
      </w:r>
      <w:r w:rsidR="005D3364">
        <w:t xml:space="preserve">15 and </w:t>
      </w:r>
      <w:r w:rsidR="00624324">
        <w:t>30 minutes</w:t>
      </w:r>
      <w:r>
        <w:br/>
        <w:t>Source: SHAPE</w:t>
      </w:r>
    </w:p>
    <w:p w14:paraId="42659027" w14:textId="58DB997F" w:rsidR="00491656" w:rsidRDefault="002B37AA" w:rsidP="007212E0">
      <w:r>
        <w:lastRenderedPageBreak/>
        <w:t xml:space="preserve">Within Warwickshire there are 2 demand responsive services that </w:t>
      </w:r>
      <w:r w:rsidR="00471581">
        <w:t xml:space="preserve">provide a transport </w:t>
      </w:r>
      <w:r w:rsidR="00F17FA5">
        <w:t>service</w:t>
      </w:r>
      <w:r w:rsidR="00471581">
        <w:t xml:space="preserve"> for residents </w:t>
      </w:r>
      <w:r w:rsidR="000E5452">
        <w:t xml:space="preserve">who cannot access public transport either due to mobility issues </w:t>
      </w:r>
      <w:r w:rsidR="00F17FA5">
        <w:t>or live in an area with limited or no public transport. These services are:</w:t>
      </w:r>
    </w:p>
    <w:p w14:paraId="56D5D2D5" w14:textId="56A56138" w:rsidR="00F17FA5" w:rsidRDefault="00F17FA5" w:rsidP="00F17FA5">
      <w:pPr>
        <w:pStyle w:val="ListParagraph"/>
        <w:numPr>
          <w:ilvl w:val="0"/>
          <w:numId w:val="72"/>
        </w:numPr>
      </w:pPr>
      <w:r>
        <w:t xml:space="preserve">UBUS – operating in Stratford-on-Avon - </w:t>
      </w:r>
      <w:hyperlink r:id="rId63" w:history="1">
        <w:r w:rsidR="00D45332" w:rsidRPr="00AF58C4">
          <w:rPr>
            <w:rStyle w:val="Hyperlink"/>
          </w:rPr>
          <w:t>https://www.stratford.gov.uk/people-communities/ubus--community-transport.cfm</w:t>
        </w:r>
      </w:hyperlink>
    </w:p>
    <w:p w14:paraId="72344679" w14:textId="44FE5068" w:rsidR="00D45332" w:rsidRDefault="00D45332" w:rsidP="00F17FA5">
      <w:pPr>
        <w:pStyle w:val="ListParagraph"/>
        <w:numPr>
          <w:ilvl w:val="0"/>
          <w:numId w:val="72"/>
        </w:numPr>
      </w:pPr>
      <w:r>
        <w:t xml:space="preserve">IndieGo – operating in Atherstone, Coleshill, </w:t>
      </w:r>
      <w:r w:rsidR="00672A20">
        <w:t xml:space="preserve">Rugby, Hatton, and West Warwick - </w:t>
      </w:r>
      <w:hyperlink r:id="rId64" w:history="1">
        <w:r w:rsidR="00672A20" w:rsidRPr="00AF58C4">
          <w:rPr>
            <w:rStyle w:val="Hyperlink"/>
          </w:rPr>
          <w:t>https://www.warwickshire.gov.uk/public-transport/indiego</w:t>
        </w:r>
      </w:hyperlink>
      <w:r w:rsidR="00672A20">
        <w:t xml:space="preserve"> </w:t>
      </w:r>
    </w:p>
    <w:p w14:paraId="78F3DCD6" w14:textId="388B43AE" w:rsidR="007212E0" w:rsidRDefault="00790B33" w:rsidP="007212E0">
      <w:r>
        <w:t xml:space="preserve">From the </w:t>
      </w:r>
      <w:r w:rsidR="001C2569">
        <w:t>1</w:t>
      </w:r>
      <w:r w:rsidR="004F3DD8">
        <w:t xml:space="preserve">,601 responses to the public survey, 46.5% of respondents said they would normally travel by car/motorbike/van to a pharmacy, and a further 42% said they would normally walk. </w:t>
      </w:r>
      <w:r w:rsidR="22F52308">
        <w:t xml:space="preserve">As car ownership is lower in Coventry, it is important to note that </w:t>
      </w:r>
      <w:r w:rsidR="7CAF98E4">
        <w:t xml:space="preserve">almost </w:t>
      </w:r>
      <w:r w:rsidR="22F52308">
        <w:t xml:space="preserve">all pharmacies </w:t>
      </w:r>
      <w:r w:rsidR="44DE7607">
        <w:t xml:space="preserve">are within a </w:t>
      </w:r>
      <w:r w:rsidR="22336E0C">
        <w:t>15</w:t>
      </w:r>
      <w:r w:rsidR="44DE7607">
        <w:t xml:space="preserve"> minu</w:t>
      </w:r>
      <w:r w:rsidR="314E7896">
        <w:t>t</w:t>
      </w:r>
      <w:r w:rsidR="44DE7607">
        <w:t>e walk</w:t>
      </w:r>
      <w:r w:rsidR="41464CE1">
        <w:t>, with only a small number being within a 30 minu</w:t>
      </w:r>
      <w:r w:rsidR="5317DB3F">
        <w:t>t</w:t>
      </w:r>
      <w:r w:rsidR="41464CE1">
        <w:t>e wal</w:t>
      </w:r>
      <w:r w:rsidR="6EC583BF">
        <w:t>k</w:t>
      </w:r>
      <w:r w:rsidR="44DE7607">
        <w:t>.</w:t>
      </w:r>
      <w:r w:rsidR="37667B83">
        <w:t xml:space="preserve"> The exception is North-</w:t>
      </w:r>
      <w:r w:rsidR="7B8FA2B8">
        <w:t>We</w:t>
      </w:r>
      <w:r w:rsidR="37667B83">
        <w:t xml:space="preserve">st Coventry </w:t>
      </w:r>
      <w:r w:rsidR="7004EFAD">
        <w:t>but this area</w:t>
      </w:r>
      <w:r w:rsidR="44DE7607">
        <w:t xml:space="preserve"> </w:t>
      </w:r>
      <w:r w:rsidR="23B27562">
        <w:t xml:space="preserve">is much more rural with lower population. </w:t>
      </w:r>
      <w:r w:rsidR="004F3DD8">
        <w:t xml:space="preserve">Only 1.8% said they would </w:t>
      </w:r>
      <w:r w:rsidR="00D92991">
        <w:t>use public transport.</w:t>
      </w:r>
      <w:r w:rsidR="003713D4">
        <w:t xml:space="preserve"> </w:t>
      </w:r>
      <w:r w:rsidR="00805E9B">
        <w:t xml:space="preserve">When asked about how long their travel usually takes, 74% said that it takes less than 15 minutes and 19% said it takes between 15 and 30 minutes. Only 1% of </w:t>
      </w:r>
      <w:r w:rsidR="002850E1">
        <w:t>respondents</w:t>
      </w:r>
      <w:r w:rsidR="00805E9B">
        <w:t xml:space="preserve"> said it takes more than 30 minutes to travel to their </w:t>
      </w:r>
      <w:r w:rsidR="002850E1">
        <w:t xml:space="preserve">pharmacy. </w:t>
      </w:r>
    </w:p>
    <w:p w14:paraId="429119ED" w14:textId="77777777" w:rsidR="002E11E2" w:rsidRDefault="002E11E2" w:rsidP="007212E0"/>
    <w:p w14:paraId="036BE6E6" w14:textId="197CA129" w:rsidR="002E11E2" w:rsidRDefault="002E11E2" w:rsidP="007212E0">
      <w:pPr>
        <w:rPr>
          <w:color w:val="477CBF"/>
        </w:rPr>
      </w:pPr>
      <w:r w:rsidRPr="00CA2B9F">
        <w:rPr>
          <w:color w:val="477CBF"/>
        </w:rPr>
        <w:t>Cycling Access</w:t>
      </w:r>
    </w:p>
    <w:p w14:paraId="656F249D" w14:textId="17331EFA" w:rsidR="0067687D" w:rsidRDefault="00CA2B9F" w:rsidP="007212E0">
      <w:r>
        <w:t xml:space="preserve">Figure </w:t>
      </w:r>
      <w:r w:rsidR="00D25D53">
        <w:t>3</w:t>
      </w:r>
      <w:r w:rsidR="000B723A">
        <w:t xml:space="preserve">1 </w:t>
      </w:r>
      <w:r>
        <w:t xml:space="preserve">shows cycling time in relation to pharmacies. The light green indicates a </w:t>
      </w:r>
      <w:r w:rsidR="00505520">
        <w:t xml:space="preserve">16-minute journey time, and the dark green indicates an </w:t>
      </w:r>
      <w:r w:rsidR="0067687D">
        <w:t>8-minute</w:t>
      </w:r>
      <w:r w:rsidR="00505520">
        <w:t xml:space="preserve"> journey time. </w:t>
      </w:r>
      <w:r w:rsidR="0067687D">
        <w:t xml:space="preserve">The red areas on the map indicate </w:t>
      </w:r>
      <w:r w:rsidR="00E83576">
        <w:t>the top 20% most deprived areas according to IMD.</w:t>
      </w:r>
      <w:r w:rsidR="00374AD9">
        <w:t xml:space="preserve"> </w:t>
      </w:r>
      <w:r w:rsidR="00A10D7D">
        <w:t>All</w:t>
      </w:r>
      <w:r w:rsidR="00374AD9">
        <w:t xml:space="preserve"> the top 20% most deprived areas </w:t>
      </w:r>
      <w:r w:rsidR="00A10D7D">
        <w:t xml:space="preserve">in Coventry and Warwickshire </w:t>
      </w:r>
      <w:r w:rsidR="00374AD9">
        <w:t xml:space="preserve">are covered within a 16-minute cycle time apart from a small area near Atherstone. </w:t>
      </w:r>
    </w:p>
    <w:p w14:paraId="366A9669" w14:textId="7A27D6FA" w:rsidR="002E11E2" w:rsidRDefault="00032697" w:rsidP="007212E0">
      <w:r>
        <w:rPr>
          <w:noProof/>
        </w:rPr>
        <w:lastRenderedPageBreak/>
        <w:drawing>
          <wp:inline distT="0" distB="0" distL="0" distR="0" wp14:anchorId="2C1E7E43" wp14:editId="03119478">
            <wp:extent cx="5305425" cy="7482956"/>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5309364" cy="7488512"/>
                    </a:xfrm>
                    <a:prstGeom prst="rect">
                      <a:avLst/>
                    </a:prstGeom>
                    <a:noFill/>
                    <a:ln>
                      <a:noFill/>
                    </a:ln>
                  </pic:spPr>
                </pic:pic>
              </a:graphicData>
            </a:graphic>
          </wp:inline>
        </w:drawing>
      </w:r>
    </w:p>
    <w:p w14:paraId="273FDBA9" w14:textId="52FA21A1" w:rsidR="007757AD" w:rsidRDefault="007757AD" w:rsidP="007757AD">
      <w:pPr>
        <w:pStyle w:val="Caption"/>
      </w:pPr>
      <w:r>
        <w:t xml:space="preserve">Figure </w:t>
      </w:r>
      <w:r>
        <w:fldChar w:fldCharType="begin"/>
      </w:r>
      <w:r>
        <w:instrText>SEQ Figure \* ARABIC</w:instrText>
      </w:r>
      <w:r>
        <w:fldChar w:fldCharType="separate"/>
      </w:r>
      <w:r w:rsidR="006553F7">
        <w:rPr>
          <w:noProof/>
        </w:rPr>
        <w:t>31</w:t>
      </w:r>
      <w:r>
        <w:fldChar w:fldCharType="end"/>
      </w:r>
      <w:r>
        <w:t xml:space="preserve">: Location of pharmacies by </w:t>
      </w:r>
      <w:r w:rsidR="00D25D53">
        <w:t xml:space="preserve">8 or 16 minute cycle </w:t>
      </w:r>
      <w:r w:rsidR="00D25D53">
        <w:br/>
        <w:t>Source: SHAPE</w:t>
      </w:r>
    </w:p>
    <w:p w14:paraId="2D970850" w14:textId="77777777" w:rsidR="00032697" w:rsidRDefault="00032697" w:rsidP="007212E0"/>
    <w:p w14:paraId="3AF58097" w14:textId="584DABDA" w:rsidR="005162E0" w:rsidRDefault="005162E0" w:rsidP="007212E0">
      <w:pPr>
        <w:rPr>
          <w:color w:val="477CBF"/>
        </w:rPr>
      </w:pPr>
      <w:r>
        <w:rPr>
          <w:color w:val="477CBF"/>
        </w:rPr>
        <w:lastRenderedPageBreak/>
        <w:t>Physical Access</w:t>
      </w:r>
    </w:p>
    <w:p w14:paraId="1B6DE37D" w14:textId="1B2703C5" w:rsidR="00280656" w:rsidRDefault="00280656" w:rsidP="007212E0">
      <w:r>
        <w:t xml:space="preserve">The 2018 Coventry City Council PNA identified that out of the 72 responses received from the 2018 pharmacy survey, 96% of pharmacies allow parking within 50 metres of the pharmacy, and 82% </w:t>
      </w:r>
      <w:r w:rsidR="00402961">
        <w:t xml:space="preserve">within 10 metres of the pharmacy. There is a bus stop within walking distance of 99% of pharmacies. </w:t>
      </w:r>
      <w:r w:rsidR="008674AF">
        <w:t>From the same survey it was analysed the 86% of pharmacies do not have any steps to climb to enter the premises, and 89% of respondents said that all areas of the pharmacy floor were accessible by wheelchair.</w:t>
      </w:r>
    </w:p>
    <w:p w14:paraId="37BB67D7" w14:textId="2CD663D9" w:rsidR="00280656" w:rsidRPr="00062DB8" w:rsidRDefault="000956E8" w:rsidP="007212E0">
      <w:r>
        <w:t>The</w:t>
      </w:r>
      <w:r w:rsidR="004D4020">
        <w:t xml:space="preserve"> 2018</w:t>
      </w:r>
      <w:r>
        <w:t xml:space="preserve"> Warwickshi</w:t>
      </w:r>
      <w:r w:rsidR="004D4020">
        <w:t xml:space="preserve">re County Council PNA </w:t>
      </w:r>
      <w:r w:rsidR="00DE0B1C">
        <w:t xml:space="preserve">identified that out of the 88 responses received from the 2018 </w:t>
      </w:r>
      <w:r w:rsidR="00E50BAD">
        <w:t xml:space="preserve">pharmacy survey, 95.5% of pharmacies allow parking within 50 metres of the pharmacy and 88.6% within </w:t>
      </w:r>
      <w:r w:rsidR="002319AD">
        <w:t xml:space="preserve">10 metres of the pharmacy. There is a bus stop within walking distance of 98.9% of respondent’s pharmacies. From </w:t>
      </w:r>
      <w:r w:rsidR="00A33CE2">
        <w:t>the</w:t>
      </w:r>
      <w:r w:rsidR="002319AD">
        <w:t xml:space="preserve"> same survey it was analysed that 77.3% of pharmacies do not have any steps to climb to enter the premises</w:t>
      </w:r>
      <w:r w:rsidR="00975E77">
        <w:t xml:space="preserve">, and 95.5% of respondents said that all areas of the pharmacy floor were accessible by wheelchair. </w:t>
      </w:r>
    </w:p>
    <w:p w14:paraId="2978B257" w14:textId="0E3DDD47" w:rsidR="00840785" w:rsidRDefault="00840785" w:rsidP="00705762">
      <w:r>
        <w:t xml:space="preserve">Open text comments in the public survey </w:t>
      </w:r>
      <w:r w:rsidR="00CA2F5A">
        <w:t>for this PNA</w:t>
      </w:r>
      <w:r>
        <w:t xml:space="preserve"> noted difficulties with access to pharmacies </w:t>
      </w:r>
      <w:r w:rsidR="006E07BA">
        <w:t xml:space="preserve">car parking issues especially for older people or those with disabilities, physical access to the shop, </w:t>
      </w:r>
      <w:r w:rsidR="00EC2063">
        <w:t xml:space="preserve">and </w:t>
      </w:r>
      <w:r w:rsidR="006E07BA">
        <w:t>access for hidden disabilities</w:t>
      </w:r>
      <w:r w:rsidR="00EC2063">
        <w:t>.</w:t>
      </w:r>
    </w:p>
    <w:p w14:paraId="7DCEFC18" w14:textId="77777777" w:rsidR="005162E0" w:rsidRDefault="005162E0" w:rsidP="007212E0">
      <w:pPr>
        <w:rPr>
          <w:color w:val="477CBF"/>
        </w:rPr>
      </w:pPr>
    </w:p>
    <w:p w14:paraId="047277B8" w14:textId="33F8E2D6" w:rsidR="00533B3A" w:rsidRDefault="00533B3A" w:rsidP="007212E0">
      <w:r>
        <w:rPr>
          <w:color w:val="477CBF"/>
        </w:rPr>
        <w:t>Opening Time Analysis</w:t>
      </w:r>
    </w:p>
    <w:p w14:paraId="6B557A77" w14:textId="4AD434C4" w:rsidR="00533B3A" w:rsidRDefault="00A95845" w:rsidP="007212E0">
      <w:r>
        <w:t xml:space="preserve">Pharmacies are required to open between specific times by their terms of service. </w:t>
      </w:r>
      <w:r w:rsidR="00BC348F">
        <w:t>Most</w:t>
      </w:r>
      <w:r>
        <w:t xml:space="preserve"> pharmacies are required to open for 40 hours per week, and these are referred to as core opening hours, but pharmacies may choose to open for longer</w:t>
      </w:r>
      <w:r w:rsidR="00BD38FD">
        <w:t xml:space="preserve">, and these hours are referred to as supplementary opening hours. A pharmacy’s opening hours are decided at the beginning of their contract, and it is most common for the vast majority to operate within or near regular working office hours, between 8am and 7pm, Monday to Friday. </w:t>
      </w:r>
    </w:p>
    <w:p w14:paraId="149BF143" w14:textId="59DC0B9D" w:rsidR="00BD38FD" w:rsidRDefault="00BD38FD" w:rsidP="007212E0">
      <w:r>
        <w:t>Pharmacies wishing to amend any supplementary hours that they open additional to the core contractual hours must notify NHS England, giving at least three months’ notice of the intended change.</w:t>
      </w:r>
      <w:r w:rsidR="0057096B">
        <w:t xml:space="preserve"> NHS England may consent to a shorter period of notice, but as that consent may not be forthcoming, they should try to ensure that plans are made sufficiently in advance. The discretion to permit less than three months’ notice for changes to supplementary hours is most likely to be exercised where</w:t>
      </w:r>
      <w:r w:rsidR="004C6281">
        <w:t xml:space="preserve"> the</w:t>
      </w:r>
      <w:r w:rsidR="0057096B">
        <w:t xml:space="preserve"> pharmacy is seeking to align more closely</w:t>
      </w:r>
      <w:r w:rsidR="00BC1CD1">
        <w:t xml:space="preserve">, the pharmacy opening hours with the pharmaceutical needs in the neighbourhood for example, if a local surgery extends its hours. </w:t>
      </w:r>
      <w:r w:rsidR="004C6281">
        <w:t xml:space="preserve">In this case, if the pharmacy intends to modify its supplementary hours to match the new hours of the surgery, NHS England may be keen to ensure this happens with minimal delay. </w:t>
      </w:r>
    </w:p>
    <w:p w14:paraId="78DD91B6" w14:textId="7CB84996" w:rsidR="00BC348F" w:rsidRDefault="00BC348F" w:rsidP="007212E0">
      <w:r>
        <w:lastRenderedPageBreak/>
        <w:t>There is no requirement for NHS England to grant applications for changes to supplementary hours</w:t>
      </w:r>
      <w:r w:rsidR="00CA2F5A">
        <w:t>,</w:t>
      </w:r>
      <w:r>
        <w:t xml:space="preserve"> the pharmacy has the right to amend hours, so long as three months’ notice is given. </w:t>
      </w:r>
    </w:p>
    <w:p w14:paraId="5783E235" w14:textId="7613FC07" w:rsidR="00480230" w:rsidRDefault="00BC348F" w:rsidP="00480230">
      <w:r>
        <w:t xml:space="preserve">Since the </w:t>
      </w:r>
      <w:r w:rsidR="00E25755">
        <w:t xml:space="preserve">introduction of the pharmaceutical contractual framework in 2005 community pharmacies do not need to participate in rota provision to provide access for weekends or during the evening. </w:t>
      </w:r>
    </w:p>
    <w:p w14:paraId="2FCC1AE4" w14:textId="22405FA2" w:rsidR="00480230" w:rsidRDefault="00480230" w:rsidP="00480230">
      <w:r>
        <w:t xml:space="preserve">In the public survey, when asked the question “are you able to access a pharmacy at times that are convenient to you?” 39% responded “Yes always”, 47% responded “most of the time”, 11% responded sometimes and 2% responded “never”. </w:t>
      </w:r>
    </w:p>
    <w:p w14:paraId="1391AF48" w14:textId="75738A35" w:rsidR="004655C5" w:rsidRDefault="00616848" w:rsidP="007212E0">
      <w:r>
        <w:t xml:space="preserve">The most convenient time </w:t>
      </w:r>
      <w:r w:rsidR="001033E0">
        <w:t>to visit a pharmacy as indicate</w:t>
      </w:r>
      <w:r w:rsidR="00FC336F">
        <w:t>d</w:t>
      </w:r>
      <w:r w:rsidR="001033E0">
        <w:t xml:space="preserve"> in the public survey was between 9am and 1pm on Saturday (75%), followed by between 9am and 1pm on a Monday to Friday (61%)</w:t>
      </w:r>
      <w:r w:rsidR="0063430E">
        <w:t>, and between 1pm and 6pm on a Monday to Friday (48%)</w:t>
      </w:r>
      <w:r w:rsidR="001033E0">
        <w:t>.</w:t>
      </w:r>
      <w:r w:rsidR="0063430E">
        <w:t xml:space="preserve"> 28% sai</w:t>
      </w:r>
      <w:r w:rsidR="00ED4DB3">
        <w:t>d after 6pm Monday to Friday, with between 2%-4%</w:t>
      </w:r>
      <w:r w:rsidR="001033E0">
        <w:t xml:space="preserve"> </w:t>
      </w:r>
      <w:r w:rsidR="00ED4DB3">
        <w:t>indicating either before 9am or after 6pm on a Saturday or Sunday. 25-54-year-olds are less likely to agree that opening hours are always convenient for them whilst 75+ are more likely to say that opening hours are always convenient for them.</w:t>
      </w:r>
    </w:p>
    <w:p w14:paraId="7711D079" w14:textId="77777777" w:rsidR="00F66036" w:rsidRDefault="00F66036" w:rsidP="007212E0">
      <w:pPr>
        <w:rPr>
          <w:color w:val="477CBF"/>
        </w:rPr>
      </w:pPr>
    </w:p>
    <w:p w14:paraId="6995207E" w14:textId="6610BBF5" w:rsidR="003175D2" w:rsidRDefault="003175D2" w:rsidP="007212E0">
      <w:pPr>
        <w:rPr>
          <w:color w:val="477CBF"/>
        </w:rPr>
      </w:pPr>
      <w:r w:rsidRPr="10AFC29C">
        <w:rPr>
          <w:color w:val="477CBF" w:themeColor="accent1"/>
        </w:rPr>
        <w:t>100 Hour Contracts and Extended Opening Hours Pharmacies</w:t>
      </w:r>
    </w:p>
    <w:p w14:paraId="0FD3920C" w14:textId="2CAD898E" w:rsidR="00C61D8F" w:rsidRDefault="00C61D8F" w:rsidP="10AFC29C">
      <w:r>
        <w:t xml:space="preserve">100-hour pharmacies are required in their contracts to be open and able to provide essential services for at least 100 core hours per week. </w:t>
      </w:r>
      <w:r w:rsidR="10AFC29C">
        <w:t xml:space="preserve"> In 2018 following a </w:t>
      </w:r>
      <w:r w:rsidR="005167DF">
        <w:t>government</w:t>
      </w:r>
      <w:r w:rsidR="10AFC29C">
        <w:t xml:space="preserve"> review, pharmacies could no longer apply to have </w:t>
      </w:r>
      <w:r w:rsidR="00ED3A67">
        <w:t>100</w:t>
      </w:r>
      <w:r w:rsidR="00087F3B">
        <w:t>-</w:t>
      </w:r>
      <w:r w:rsidR="00ED3A67">
        <w:t xml:space="preserve">hour contracts. </w:t>
      </w:r>
    </w:p>
    <w:p w14:paraId="426F86E3" w14:textId="3E52B1E4" w:rsidR="00512ACC" w:rsidRDefault="00512ACC" w:rsidP="007212E0">
      <w:r>
        <w:t>There are currently 16 100-hour pharmacies in Coventry and Warwickshire. These</w:t>
      </w:r>
      <w:r w:rsidR="003F63E4">
        <w:t xml:space="preserve"> pharmacies are:</w:t>
      </w:r>
    </w:p>
    <w:p w14:paraId="5F1BE4EF" w14:textId="752DAEC1" w:rsidR="00E2775C" w:rsidRDefault="00E2775C" w:rsidP="007212E0">
      <w:r>
        <w:rPr>
          <w:b/>
          <w:bCs/>
        </w:rPr>
        <w:t>Coventry:</w:t>
      </w:r>
    </w:p>
    <w:p w14:paraId="68C123BB" w14:textId="77777777" w:rsidR="003F63E4" w:rsidRDefault="005452BC" w:rsidP="008D3B10">
      <w:pPr>
        <w:pStyle w:val="ListParagraph"/>
        <w:numPr>
          <w:ilvl w:val="0"/>
          <w:numId w:val="24"/>
        </w:numPr>
      </w:pPr>
      <w:r>
        <w:t>A&amp;M Pharmacies Ltd, CV4 9AE</w:t>
      </w:r>
    </w:p>
    <w:p w14:paraId="5484A48F" w14:textId="77777777" w:rsidR="005452BC" w:rsidRDefault="005452BC" w:rsidP="008D3B10">
      <w:pPr>
        <w:pStyle w:val="ListParagraph"/>
        <w:numPr>
          <w:ilvl w:val="0"/>
          <w:numId w:val="24"/>
        </w:numPr>
      </w:pPr>
      <w:r>
        <w:t>Asda Stores Ltd, CV3 4AR</w:t>
      </w:r>
    </w:p>
    <w:p w14:paraId="7FA9E3CD" w14:textId="77777777" w:rsidR="005452BC" w:rsidRDefault="005452BC" w:rsidP="008D3B10">
      <w:pPr>
        <w:pStyle w:val="ListParagraph"/>
        <w:numPr>
          <w:ilvl w:val="0"/>
          <w:numId w:val="24"/>
        </w:numPr>
      </w:pPr>
      <w:r>
        <w:t>Boots UK Ltd, CV3 2SB</w:t>
      </w:r>
    </w:p>
    <w:p w14:paraId="33953838" w14:textId="77777777" w:rsidR="005452BC" w:rsidRDefault="005452BC" w:rsidP="008D3B10">
      <w:pPr>
        <w:pStyle w:val="ListParagraph"/>
        <w:numPr>
          <w:ilvl w:val="0"/>
          <w:numId w:val="24"/>
        </w:numPr>
      </w:pPr>
      <w:r>
        <w:t>Foleshill Healthcare Ltd, CV6 5JR</w:t>
      </w:r>
    </w:p>
    <w:p w14:paraId="7E9A82D9" w14:textId="77777777" w:rsidR="005452BC" w:rsidRDefault="005452BC" w:rsidP="008D3B10">
      <w:pPr>
        <w:pStyle w:val="ListParagraph"/>
        <w:numPr>
          <w:ilvl w:val="0"/>
          <w:numId w:val="24"/>
        </w:numPr>
      </w:pPr>
      <w:r>
        <w:t>Hyiris Ltd, CV6 6DX</w:t>
      </w:r>
    </w:p>
    <w:p w14:paraId="089ABC1E" w14:textId="77777777" w:rsidR="005452BC" w:rsidRDefault="005452BC" w:rsidP="008D3B10">
      <w:pPr>
        <w:pStyle w:val="ListParagraph"/>
        <w:numPr>
          <w:ilvl w:val="0"/>
          <w:numId w:val="24"/>
        </w:numPr>
      </w:pPr>
      <w:r>
        <w:t>Tesco Stores Ltd, CV2 2SH</w:t>
      </w:r>
    </w:p>
    <w:p w14:paraId="735E78E5" w14:textId="1C7FFD86" w:rsidR="005452BC" w:rsidRDefault="005452BC" w:rsidP="008D3B10">
      <w:pPr>
        <w:pStyle w:val="ListParagraph"/>
        <w:numPr>
          <w:ilvl w:val="0"/>
          <w:numId w:val="24"/>
        </w:numPr>
      </w:pPr>
      <w:r>
        <w:t>Wellbeing (United Kingdom) Limited, CV4 9DR</w:t>
      </w:r>
    </w:p>
    <w:p w14:paraId="766BCAA9" w14:textId="74962157" w:rsidR="00E2775C" w:rsidRDefault="00E2775C" w:rsidP="007212E0">
      <w:pPr>
        <w:rPr>
          <w:b/>
          <w:bCs/>
        </w:rPr>
      </w:pPr>
      <w:r>
        <w:rPr>
          <w:b/>
          <w:bCs/>
        </w:rPr>
        <w:t>Rugby Borough:</w:t>
      </w:r>
    </w:p>
    <w:p w14:paraId="713C2562" w14:textId="77777777" w:rsidR="00165EFB" w:rsidRDefault="00165EFB" w:rsidP="008D3B10">
      <w:pPr>
        <w:pStyle w:val="ListParagraph"/>
        <w:numPr>
          <w:ilvl w:val="0"/>
          <w:numId w:val="24"/>
        </w:numPr>
      </w:pPr>
      <w:r>
        <w:t>Asda Stores Ltd, CV21 3EB</w:t>
      </w:r>
    </w:p>
    <w:p w14:paraId="5B26D0B5" w14:textId="77777777" w:rsidR="004B79C2" w:rsidRDefault="004B79C2" w:rsidP="008D3B10">
      <w:pPr>
        <w:pStyle w:val="ListParagraph"/>
        <w:numPr>
          <w:ilvl w:val="0"/>
          <w:numId w:val="24"/>
        </w:numPr>
      </w:pPr>
      <w:r>
        <w:t>Lloyds Pharmacy Ltd, CV22 6HU</w:t>
      </w:r>
    </w:p>
    <w:p w14:paraId="02EDA0BD" w14:textId="14CA1A42" w:rsidR="00165EFB" w:rsidRPr="007C384E" w:rsidRDefault="004B79C2" w:rsidP="008D3B10">
      <w:pPr>
        <w:pStyle w:val="ListParagraph"/>
        <w:numPr>
          <w:ilvl w:val="0"/>
          <w:numId w:val="24"/>
        </w:numPr>
      </w:pPr>
      <w:r>
        <w:lastRenderedPageBreak/>
        <w:t>Tesco Stores Ltd, CV21 1RG</w:t>
      </w:r>
    </w:p>
    <w:p w14:paraId="6D270F44" w14:textId="3E89F0EE" w:rsidR="00E2775C" w:rsidRDefault="00E2775C" w:rsidP="007212E0">
      <w:pPr>
        <w:rPr>
          <w:b/>
          <w:bCs/>
        </w:rPr>
      </w:pPr>
      <w:r>
        <w:rPr>
          <w:b/>
          <w:bCs/>
        </w:rPr>
        <w:t>North Warwickshire Borough:</w:t>
      </w:r>
    </w:p>
    <w:p w14:paraId="4E9087D3" w14:textId="41B67F55" w:rsidR="005452BC" w:rsidRDefault="005452BC" w:rsidP="008D3B10">
      <w:pPr>
        <w:pStyle w:val="ListParagraph"/>
        <w:numPr>
          <w:ilvl w:val="0"/>
          <w:numId w:val="24"/>
        </w:numPr>
      </w:pPr>
      <w:r>
        <w:t>Atherstone Pharma Ltd, CV9 1EU</w:t>
      </w:r>
    </w:p>
    <w:p w14:paraId="71743F53" w14:textId="536E0955" w:rsidR="005452BC" w:rsidRDefault="00824EA9" w:rsidP="008D3B10">
      <w:pPr>
        <w:pStyle w:val="ListParagraph"/>
        <w:numPr>
          <w:ilvl w:val="0"/>
          <w:numId w:val="24"/>
        </w:numPr>
      </w:pPr>
      <w:r>
        <w:t>No.8 Group (Midlands) Limited, CV9 1BB</w:t>
      </w:r>
    </w:p>
    <w:p w14:paraId="6B3F09E3" w14:textId="4CECAAB5" w:rsidR="00E2775C" w:rsidRDefault="00E2775C" w:rsidP="007212E0">
      <w:pPr>
        <w:rPr>
          <w:b/>
          <w:bCs/>
        </w:rPr>
      </w:pPr>
      <w:r>
        <w:rPr>
          <w:b/>
          <w:bCs/>
        </w:rPr>
        <w:t>Nuneaton and Bedworth Borough:</w:t>
      </w:r>
    </w:p>
    <w:p w14:paraId="1E40D89F" w14:textId="77777777" w:rsidR="00206C37" w:rsidRDefault="00206C37" w:rsidP="008D3B10">
      <w:pPr>
        <w:pStyle w:val="ListParagraph"/>
        <w:numPr>
          <w:ilvl w:val="0"/>
          <w:numId w:val="24"/>
        </w:numPr>
      </w:pPr>
      <w:r>
        <w:t>No 8 Pharmacy Ltd, CV12 8NF</w:t>
      </w:r>
    </w:p>
    <w:p w14:paraId="16538C7A" w14:textId="286A6D7F" w:rsidR="00824EA9" w:rsidRDefault="00824EA9" w:rsidP="008D3B10">
      <w:pPr>
        <w:pStyle w:val="ListParagraph"/>
        <w:numPr>
          <w:ilvl w:val="0"/>
          <w:numId w:val="24"/>
        </w:numPr>
      </w:pPr>
      <w:r>
        <w:t>Pharmacyrepublic Limited, CV11 5NU</w:t>
      </w:r>
    </w:p>
    <w:p w14:paraId="706BF55B" w14:textId="2E5DD033" w:rsidR="00E2775C" w:rsidRDefault="00E2775C" w:rsidP="007212E0">
      <w:pPr>
        <w:rPr>
          <w:b/>
          <w:bCs/>
        </w:rPr>
      </w:pPr>
      <w:r>
        <w:rPr>
          <w:b/>
          <w:bCs/>
        </w:rPr>
        <w:t>Stratford-on-Avon District:</w:t>
      </w:r>
    </w:p>
    <w:p w14:paraId="474F86FF" w14:textId="77B3F347" w:rsidR="007C384E" w:rsidRPr="007C384E" w:rsidRDefault="007C384E" w:rsidP="008D3B10">
      <w:pPr>
        <w:pStyle w:val="ListParagraph"/>
        <w:numPr>
          <w:ilvl w:val="0"/>
          <w:numId w:val="24"/>
        </w:numPr>
      </w:pPr>
      <w:r>
        <w:t>Avon Healthcare Ltd, CV37 6HJ</w:t>
      </w:r>
    </w:p>
    <w:p w14:paraId="6AFE050E" w14:textId="60090453" w:rsidR="00E2775C" w:rsidRPr="00E2775C" w:rsidRDefault="00E2775C" w:rsidP="007212E0">
      <w:pPr>
        <w:rPr>
          <w:b/>
          <w:bCs/>
        </w:rPr>
      </w:pPr>
      <w:r>
        <w:rPr>
          <w:b/>
          <w:bCs/>
        </w:rPr>
        <w:t>Warwick District:</w:t>
      </w:r>
    </w:p>
    <w:p w14:paraId="7E83BF82" w14:textId="76487CB4" w:rsidR="00824EA9" w:rsidRDefault="00824EA9" w:rsidP="008D3B10">
      <w:pPr>
        <w:pStyle w:val="ListParagraph"/>
        <w:numPr>
          <w:ilvl w:val="0"/>
          <w:numId w:val="24"/>
        </w:numPr>
      </w:pPr>
      <w:r>
        <w:t>Asda Stores Ltd, CV31 1YD</w:t>
      </w:r>
    </w:p>
    <w:p w14:paraId="5534C495" w14:textId="77777777" w:rsidR="00D2156F" w:rsidRDefault="00D2156F" w:rsidP="00824EA9"/>
    <w:p w14:paraId="5D2D0B29" w14:textId="19791559" w:rsidR="00947D7D" w:rsidRDefault="00947D7D" w:rsidP="00824EA9">
      <w:r>
        <w:t xml:space="preserve">These 100-hour pharmacies provide </w:t>
      </w:r>
      <w:r w:rsidR="00E41EE6">
        <w:t>Coventry and Warwickshire</w:t>
      </w:r>
      <w:r>
        <w:t xml:space="preserve"> with good access to pharmaceutical services on Saturdays, Sundays, and evening until late. They guarantee access to </w:t>
      </w:r>
      <w:r w:rsidR="00A01091">
        <w:t>pharmaceutical</w:t>
      </w:r>
      <w:r>
        <w:t xml:space="preserve"> services for 14/15 hours a day except on Sundays due to the Sunday Trading Act 1994. </w:t>
      </w:r>
    </w:p>
    <w:p w14:paraId="2C8665CD" w14:textId="77777777" w:rsidR="00E61E28" w:rsidRDefault="00E61E28" w:rsidP="00824EA9"/>
    <w:p w14:paraId="7A58E99C" w14:textId="3C13FF88" w:rsidR="00E61E28" w:rsidRDefault="00E61E28" w:rsidP="00824EA9">
      <w:pPr>
        <w:rPr>
          <w:color w:val="477CBF"/>
        </w:rPr>
      </w:pPr>
      <w:r>
        <w:rPr>
          <w:color w:val="477CBF"/>
        </w:rPr>
        <w:t>Saturday Opening Hours</w:t>
      </w:r>
    </w:p>
    <w:p w14:paraId="74DC9078" w14:textId="5DDA013D" w:rsidR="00471AFE" w:rsidRDefault="000D3ECC" w:rsidP="00824EA9">
      <w:r>
        <w:t>As of 1</w:t>
      </w:r>
      <w:r w:rsidRPr="000D3ECC">
        <w:rPr>
          <w:vertAlign w:val="superscript"/>
        </w:rPr>
        <w:t>st</w:t>
      </w:r>
      <w:r>
        <w:t xml:space="preserve"> June 2022, </w:t>
      </w:r>
      <w:r w:rsidR="00F50790" w:rsidRPr="00F50790">
        <w:t>1</w:t>
      </w:r>
      <w:r w:rsidR="00BC70C4">
        <w:t>3</w:t>
      </w:r>
      <w:r w:rsidR="00F50790" w:rsidRPr="00F50790">
        <w:t>7</w:t>
      </w:r>
      <w:r w:rsidR="00F50790">
        <w:t xml:space="preserve"> out of the 19</w:t>
      </w:r>
      <w:r w:rsidR="00634DEC">
        <w:t>7</w:t>
      </w:r>
      <w:r w:rsidR="00F50790">
        <w:t xml:space="preserve"> community pharmacies in Coventry and Warwickshire are open on a Saturday</w:t>
      </w:r>
      <w:r w:rsidR="000B6A27">
        <w:t xml:space="preserve"> (</w:t>
      </w:r>
      <w:r w:rsidR="00112A33">
        <w:t>69.5</w:t>
      </w:r>
      <w:r w:rsidR="000B6A27">
        <w:t>%)</w:t>
      </w:r>
      <w:r w:rsidR="00F50790">
        <w:t xml:space="preserve">. </w:t>
      </w:r>
      <w:r w:rsidR="004A31AA">
        <w:t>51 of these pharmacies are in Coventry, 23 in Nuneaton and Bedworth Borough, 21 in Warwick District, 18 in Stratford-on-Avon District, 15 in Rugby Borough, and 9 in North Warwickshire Borough.</w:t>
      </w:r>
      <w:r w:rsidR="00F50790">
        <w:t xml:space="preserve"> Of those pharmacies open on a Saturday, </w:t>
      </w:r>
      <w:r w:rsidR="00705B7B">
        <w:t>6</w:t>
      </w:r>
      <w:r w:rsidR="008B682D">
        <w:t>4</w:t>
      </w:r>
      <w:r w:rsidR="00705B7B">
        <w:t xml:space="preserve"> of them are closed by 1pm. After 1pm the other </w:t>
      </w:r>
      <w:r w:rsidR="00451BED">
        <w:t>7</w:t>
      </w:r>
      <w:r w:rsidR="00471AFE">
        <w:t>3</w:t>
      </w:r>
      <w:r w:rsidR="00451BED">
        <w:t xml:space="preserve"> remain open with gradual closure over the remainder of the day.</w:t>
      </w:r>
    </w:p>
    <w:p w14:paraId="16C9BBD2" w14:textId="48459DB5" w:rsidR="00471AFE" w:rsidRDefault="00471AFE" w:rsidP="00824EA9">
      <w:r>
        <w:t>Figure</w:t>
      </w:r>
      <w:r w:rsidR="00D25D53">
        <w:t xml:space="preserve"> 3</w:t>
      </w:r>
      <w:r w:rsidR="000B723A">
        <w:t>2</w:t>
      </w:r>
      <w:r>
        <w:t xml:space="preserve"> shows the location of these pharmacies</w:t>
      </w:r>
      <w:r w:rsidR="00051E85">
        <w:t>:</w:t>
      </w:r>
      <w:r w:rsidR="00DF7153">
        <w:t xml:space="preserve"> </w:t>
      </w:r>
    </w:p>
    <w:p w14:paraId="6F8C6D58" w14:textId="7684DB29" w:rsidR="00471AFE" w:rsidRDefault="00471AFE" w:rsidP="00824EA9">
      <w:r w:rsidRPr="00471AFE">
        <w:rPr>
          <w:noProof/>
        </w:rPr>
        <w:lastRenderedPageBreak/>
        <w:t xml:space="preserve"> </w:t>
      </w:r>
      <w:r>
        <w:rPr>
          <w:noProof/>
        </w:rPr>
        <w:drawing>
          <wp:inline distT="0" distB="0" distL="0" distR="0" wp14:anchorId="14D8B656" wp14:editId="7ACD417D">
            <wp:extent cx="4265930" cy="6155690"/>
            <wp:effectExtent l="0" t="0" r="1270" b="0"/>
            <wp:docPr id="292678420" name="Picture 29267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78420"/>
                    <pic:cNvPicPr/>
                  </pic:nvPicPr>
                  <pic:blipFill>
                    <a:blip r:embed="rId66">
                      <a:extLst>
                        <a:ext uri="{28A0092B-C50C-407E-A947-70E740481C1C}">
                          <a14:useLocalDpi xmlns:a14="http://schemas.microsoft.com/office/drawing/2010/main" val="0"/>
                        </a:ext>
                      </a:extLst>
                    </a:blip>
                    <a:stretch>
                      <a:fillRect/>
                    </a:stretch>
                  </pic:blipFill>
                  <pic:spPr>
                    <a:xfrm>
                      <a:off x="0" y="0"/>
                      <a:ext cx="4265930" cy="6155690"/>
                    </a:xfrm>
                    <a:prstGeom prst="rect">
                      <a:avLst/>
                    </a:prstGeom>
                  </pic:spPr>
                </pic:pic>
              </a:graphicData>
            </a:graphic>
          </wp:inline>
        </w:drawing>
      </w:r>
      <w:r w:rsidR="00451BED">
        <w:t xml:space="preserve"> </w:t>
      </w:r>
    </w:p>
    <w:p w14:paraId="70EF11E0" w14:textId="014C7EE6" w:rsidR="00D25D53" w:rsidRDefault="00D25D53" w:rsidP="00D25D53">
      <w:pPr>
        <w:pStyle w:val="Caption"/>
      </w:pPr>
      <w:r>
        <w:t xml:space="preserve">Figure </w:t>
      </w:r>
      <w:r>
        <w:fldChar w:fldCharType="begin"/>
      </w:r>
      <w:r>
        <w:instrText>SEQ Figure \* ARABIC</w:instrText>
      </w:r>
      <w:r>
        <w:fldChar w:fldCharType="separate"/>
      </w:r>
      <w:r w:rsidR="006553F7">
        <w:rPr>
          <w:noProof/>
        </w:rPr>
        <w:t>32</w:t>
      </w:r>
      <w:r>
        <w:fldChar w:fldCharType="end"/>
      </w:r>
      <w:r>
        <w:t>: Location of pharmacies open on a Saturday</w:t>
      </w:r>
      <w:r>
        <w:br/>
        <w:t>Source: LPS</w:t>
      </w:r>
    </w:p>
    <w:p w14:paraId="238251ED" w14:textId="5C696A38" w:rsidR="00EC2063" w:rsidRDefault="00EC2063">
      <w:r>
        <w:t xml:space="preserve">Open text comments in the public survey noted difficulties </w:t>
      </w:r>
      <w:r w:rsidR="43CA73D3">
        <w:t>with opening times for pharmacies including lack of weekend or ‘out-of-hours’ services locally and routine lun</w:t>
      </w:r>
      <w:r w:rsidR="27EC83F6">
        <w:t>ch</w:t>
      </w:r>
      <w:r w:rsidR="43CA73D3">
        <w:t xml:space="preserve">time/weekday closure </w:t>
      </w:r>
      <w:r w:rsidR="27EC83F6">
        <w:t xml:space="preserve">for some respondents. </w:t>
      </w:r>
    </w:p>
    <w:p w14:paraId="726DCA3F" w14:textId="230C73A7" w:rsidR="10AFC29C" w:rsidRDefault="10AFC29C" w:rsidP="10AFC29C">
      <w:pPr>
        <w:rPr>
          <w:rFonts w:eastAsia="MS Mincho" w:cs="Arial"/>
          <w:szCs w:val="24"/>
        </w:rPr>
      </w:pPr>
      <w:r w:rsidRPr="10AFC29C">
        <w:rPr>
          <w:rFonts w:eastAsia="MS Mincho" w:cs="Arial"/>
          <w:szCs w:val="24"/>
        </w:rPr>
        <w:t>The survey reflected that the most popular time to visit a pharmacy was between 9am – 1pm on a Saturday (75%).</w:t>
      </w:r>
      <w:r w:rsidR="006429E9">
        <w:rPr>
          <w:rFonts w:eastAsia="MS Mincho" w:cs="Arial"/>
          <w:szCs w:val="24"/>
        </w:rPr>
        <w:tab/>
        <w:t>`</w:t>
      </w:r>
    </w:p>
    <w:p w14:paraId="290FD05F" w14:textId="42E7D252" w:rsidR="00F50790" w:rsidRPr="00F50790" w:rsidRDefault="00F50790" w:rsidP="00824EA9"/>
    <w:p w14:paraId="1AEE3355" w14:textId="22E3FEA3" w:rsidR="00E61E28" w:rsidRDefault="00E61E28" w:rsidP="00824EA9">
      <w:pPr>
        <w:rPr>
          <w:color w:val="477CBF"/>
        </w:rPr>
      </w:pPr>
      <w:r>
        <w:rPr>
          <w:color w:val="477CBF"/>
        </w:rPr>
        <w:lastRenderedPageBreak/>
        <w:t>Sunday Opening Hours</w:t>
      </w:r>
    </w:p>
    <w:p w14:paraId="357ED3DE" w14:textId="514857BF" w:rsidR="00E61E28" w:rsidRPr="00451BED" w:rsidRDefault="00451BED" w:rsidP="00824EA9">
      <w:r>
        <w:t xml:space="preserve">There are </w:t>
      </w:r>
      <w:r w:rsidR="00D20F0C">
        <w:t>14</w:t>
      </w:r>
      <w:r>
        <w:t xml:space="preserve"> community pharmacies </w:t>
      </w:r>
      <w:r w:rsidR="00D20F0C">
        <w:t>in Coventry</w:t>
      </w:r>
      <w:r>
        <w:t>,</w:t>
      </w:r>
      <w:r w:rsidR="00C1122C">
        <w:t xml:space="preserve"> 6 </w:t>
      </w:r>
      <w:r w:rsidR="00D20F0C">
        <w:t xml:space="preserve">in </w:t>
      </w:r>
      <w:r w:rsidR="00C1122C">
        <w:t xml:space="preserve">Warwick District, 5 in Stratford-on-Avon District, 5 in Nuneaton and Bedworth Borough, 4 in Rugby Borough, and 2 in North </w:t>
      </w:r>
      <w:r w:rsidR="00D20F0C">
        <w:t>Warwickshire</w:t>
      </w:r>
      <w:r>
        <w:t xml:space="preserve"> </w:t>
      </w:r>
      <w:r w:rsidR="00C1122C">
        <w:t xml:space="preserve">Borough that are </w:t>
      </w:r>
      <w:r>
        <w:t xml:space="preserve">open on a Sunday, most open for 6 hours to comply with Sunday trading regulations. </w:t>
      </w:r>
    </w:p>
    <w:p w14:paraId="7FDD55A3" w14:textId="77777777" w:rsidR="00451BED" w:rsidRDefault="00451BED" w:rsidP="00824EA9">
      <w:pPr>
        <w:rPr>
          <w:color w:val="477CBF"/>
        </w:rPr>
      </w:pPr>
    </w:p>
    <w:p w14:paraId="209B99C6" w14:textId="15844852" w:rsidR="00E61E28" w:rsidRPr="00E61E28" w:rsidRDefault="00E61E28" w:rsidP="00824EA9">
      <w:pPr>
        <w:rPr>
          <w:color w:val="477CBF"/>
        </w:rPr>
      </w:pPr>
      <w:r>
        <w:rPr>
          <w:color w:val="477CBF"/>
        </w:rPr>
        <w:t>Bank Holiday Provision</w:t>
      </w:r>
    </w:p>
    <w:p w14:paraId="765BFCCA" w14:textId="42F8DB4C" w:rsidR="00851FE4" w:rsidRDefault="000D0110" w:rsidP="007212E0">
      <w:r>
        <w:t xml:space="preserve">Some pharmacies choose to open on some bank holidays even though they are not required to do so. </w:t>
      </w:r>
      <w:r w:rsidR="0076402D">
        <w:t xml:space="preserve">NHS England </w:t>
      </w:r>
      <w:r>
        <w:t xml:space="preserve">currently commissions rota </w:t>
      </w:r>
      <w:r w:rsidR="0076402D">
        <w:t xml:space="preserve">services </w:t>
      </w:r>
      <w:r>
        <w:t xml:space="preserve">for main bank holidays as needed, usually for 3 hours per session. </w:t>
      </w:r>
      <w:r w:rsidR="008F7206">
        <w:t>This</w:t>
      </w:r>
      <w:r w:rsidR="0076402D">
        <w:t xml:space="preserve"> enable</w:t>
      </w:r>
      <w:r w:rsidR="008F7206">
        <w:t>s</w:t>
      </w:r>
      <w:r w:rsidR="0076402D">
        <w:t xml:space="preserve"> </w:t>
      </w:r>
      <w:r w:rsidR="00825ED0">
        <w:t>patients to access pharmaceutical services</w:t>
      </w:r>
      <w:r w:rsidR="00B32777">
        <w:t xml:space="preserve"> on</w:t>
      </w:r>
      <w:r w:rsidR="0076402D">
        <w:t xml:space="preserve"> traditional bank holidays such as Christmas Day, Boxing Day, New Year’s </w:t>
      </w:r>
      <w:r w:rsidR="00B67744">
        <w:t>Day,</w:t>
      </w:r>
      <w:r w:rsidR="0076402D">
        <w:t xml:space="preserve"> and Easter Sunday</w:t>
      </w:r>
      <w:r w:rsidR="00825ED0">
        <w:t xml:space="preserve">. The Bank Holiday rota is available on NHS Choices and is accessible to view by the public. </w:t>
      </w:r>
    </w:p>
    <w:p w14:paraId="1E9E4BB4" w14:textId="77777777" w:rsidR="00570324" w:rsidRDefault="00570324" w:rsidP="007212E0"/>
    <w:p w14:paraId="4719F222" w14:textId="77777777" w:rsidR="00570324" w:rsidRDefault="00570324" w:rsidP="00570324">
      <w:pPr>
        <w:rPr>
          <w:color w:val="477CBF"/>
        </w:rPr>
      </w:pPr>
      <w:r w:rsidRPr="003E5B6B">
        <w:rPr>
          <w:color w:val="477CBF"/>
        </w:rPr>
        <w:t>Pharmacy Premises Facilities and Consultation Areas</w:t>
      </w:r>
    </w:p>
    <w:p w14:paraId="496ADE70" w14:textId="77777777" w:rsidR="00570324" w:rsidRDefault="00570324" w:rsidP="00570324">
      <w:r>
        <w:t xml:space="preserve">The provision of Advanced Services is linked to the provision of consultation areas within pharmacies. In addition, The Disability Discrimination Act 1995, replaced by the Equality Act 2010, sets out a framework that requires providers of good and services not to discriminate against persons with a disability. It is expected that the pharmacy would make reasonable adjustments, if this is what is needed in order to allow the person to access the service. </w:t>
      </w:r>
    </w:p>
    <w:p w14:paraId="23E45198" w14:textId="77777777" w:rsidR="00570324" w:rsidRDefault="00570324" w:rsidP="00570324">
      <w:r>
        <w:t xml:space="preserve">The presence of consultation areas in many pharmacies presents an opportunity to commission pharmacies in new and potentially exciting ways to deliver new services. In some respects, this is already happening through commissioning enhanced and other locally commissioned services. </w:t>
      </w:r>
    </w:p>
    <w:p w14:paraId="091B0512" w14:textId="66A4385F" w:rsidR="00570324" w:rsidRDefault="00573EDC" w:rsidP="00570324">
      <w:pPr>
        <w:rPr>
          <w:rFonts w:eastAsia="MS Mincho" w:cs="Arial"/>
          <w:szCs w:val="24"/>
        </w:rPr>
      </w:pPr>
      <w:r>
        <w:rPr>
          <w:rFonts w:eastAsia="MS Mincho" w:cs="Arial"/>
          <w:szCs w:val="24"/>
        </w:rPr>
        <w:t>From the pharmacy survey, 99% of pharmacies in both Coventry and Warwickshire</w:t>
      </w:r>
      <w:r w:rsidR="00570324">
        <w:rPr>
          <w:rFonts w:eastAsia="MS Mincho" w:cs="Arial"/>
          <w:szCs w:val="24"/>
        </w:rPr>
        <w:t xml:space="preserve"> said they had consultation rooms, with the remaining being distance selling pharmacies.</w:t>
      </w:r>
      <w:r w:rsidR="00570324" w:rsidRPr="00C82C56">
        <w:rPr>
          <w:rFonts w:eastAsia="MS Mincho" w:cs="Arial"/>
          <w:szCs w:val="24"/>
        </w:rPr>
        <w:t xml:space="preserve"> </w:t>
      </w:r>
      <w:r w:rsidR="00DB62E0">
        <w:rPr>
          <w:rFonts w:eastAsia="MS Mincho" w:cs="Arial"/>
          <w:szCs w:val="24"/>
        </w:rPr>
        <w:t>91% in Coventry and 88% in Warwickshire</w:t>
      </w:r>
      <w:r w:rsidR="00570324">
        <w:rPr>
          <w:rFonts w:eastAsia="MS Mincho" w:cs="Arial"/>
          <w:szCs w:val="24"/>
        </w:rPr>
        <w:t xml:space="preserve"> said they have hand washing facilities, and </w:t>
      </w:r>
      <w:r w:rsidR="006C3BA6">
        <w:rPr>
          <w:rFonts w:eastAsia="MS Mincho" w:cs="Arial"/>
          <w:szCs w:val="24"/>
        </w:rPr>
        <w:t xml:space="preserve">37% in Coventry and 34% in Warwickshire </w:t>
      </w:r>
      <w:r w:rsidR="00570324">
        <w:rPr>
          <w:rFonts w:eastAsia="MS Mincho" w:cs="Arial"/>
          <w:szCs w:val="24"/>
        </w:rPr>
        <w:t>said they have toilet facilities.</w:t>
      </w:r>
    </w:p>
    <w:p w14:paraId="46F74B89" w14:textId="08E31F07" w:rsidR="0076402D" w:rsidRDefault="0076402D" w:rsidP="007212E0">
      <w:pPr>
        <w:rPr>
          <w:color w:val="FF0000"/>
        </w:rPr>
      </w:pPr>
    </w:p>
    <w:p w14:paraId="23DE54CB" w14:textId="6D34A803" w:rsidR="00171012" w:rsidRDefault="00171012" w:rsidP="007212E0">
      <w:pPr>
        <w:rPr>
          <w:color w:val="477CBF"/>
        </w:rPr>
      </w:pPr>
      <w:r>
        <w:rPr>
          <w:color w:val="477CBF"/>
        </w:rPr>
        <w:t xml:space="preserve">Pressures on Pharmacies </w:t>
      </w:r>
    </w:p>
    <w:p w14:paraId="64E2989D" w14:textId="1962A3A3" w:rsidR="00171012" w:rsidRDefault="009C598C" w:rsidP="007212E0">
      <w:r>
        <w:t xml:space="preserve">Community pharmacies, as the most accessible healthcare locations in England, have played a crucial role during the </w:t>
      </w:r>
      <w:r w:rsidR="00FC336F">
        <w:t>COVID</w:t>
      </w:r>
      <w:r>
        <w:t xml:space="preserve">-19 pandemic, </w:t>
      </w:r>
      <w:r w:rsidR="008B4175">
        <w:t xml:space="preserve">staying open </w:t>
      </w:r>
      <w:r w:rsidR="00B11146">
        <w:t>throughout,</w:t>
      </w:r>
      <w:r w:rsidR="008B4175">
        <w:t xml:space="preserve"> and providing </w:t>
      </w:r>
      <w:r w:rsidR="00D20ED1">
        <w:t xml:space="preserve">face-to-face healthcare services and information/advice to the public. </w:t>
      </w:r>
      <w:r w:rsidR="00B11146">
        <w:t xml:space="preserve">This has bought with it </w:t>
      </w:r>
      <w:r w:rsidR="00FB3737">
        <w:t xml:space="preserve">an </w:t>
      </w:r>
      <w:r w:rsidR="00FB3737">
        <w:lastRenderedPageBreak/>
        <w:t>increasing</w:t>
      </w:r>
      <w:r w:rsidR="00B11146">
        <w:t xml:space="preserve"> pressure</w:t>
      </w:r>
      <w:r w:rsidR="006656CF">
        <w:t>, and</w:t>
      </w:r>
      <w:r w:rsidR="00C60327">
        <w:t xml:space="preserve"> as </w:t>
      </w:r>
      <w:r w:rsidR="008921C0">
        <w:t xml:space="preserve">we </w:t>
      </w:r>
      <w:r w:rsidR="003546CA">
        <w:t xml:space="preserve">continue life without </w:t>
      </w:r>
      <w:r w:rsidR="00FC336F">
        <w:t>COVID</w:t>
      </w:r>
      <w:r w:rsidR="003546CA">
        <w:t xml:space="preserve">-19 related restrictions </w:t>
      </w:r>
      <w:r w:rsidR="0067042A">
        <w:t xml:space="preserve">it is important these </w:t>
      </w:r>
      <w:r w:rsidR="00A6145D">
        <w:t xml:space="preserve">pressures are recognised, and work is done to adapt. </w:t>
      </w:r>
    </w:p>
    <w:p w14:paraId="7A268E72" w14:textId="117E4494" w:rsidR="00637594" w:rsidRDefault="00637594" w:rsidP="00637594">
      <w:pPr>
        <w:pBdr>
          <w:top w:val="single" w:sz="24" w:space="1" w:color="477CBF"/>
          <w:left w:val="single" w:sz="24" w:space="4" w:color="477CBF"/>
          <w:bottom w:val="single" w:sz="24" w:space="1" w:color="477CBF"/>
          <w:right w:val="single" w:sz="24" w:space="4" w:color="477CBF"/>
        </w:pBdr>
      </w:pPr>
      <w:r>
        <w:t>Responses to the public survey praised the response of community pharmacies during the Covid-19 pandemic:</w:t>
      </w:r>
    </w:p>
    <w:p w14:paraId="5470DDD7" w14:textId="2F463AE4" w:rsidR="00637594" w:rsidRDefault="00637594" w:rsidP="00637594">
      <w:pPr>
        <w:pBdr>
          <w:top w:val="single" w:sz="24" w:space="1" w:color="477CBF"/>
          <w:left w:val="single" w:sz="24" w:space="4" w:color="477CBF"/>
          <w:bottom w:val="single" w:sz="24" w:space="1" w:color="477CBF"/>
          <w:right w:val="single" w:sz="24" w:space="4" w:color="477CBF"/>
        </w:pBdr>
        <w:rPr>
          <w:i/>
          <w:iCs/>
        </w:rPr>
      </w:pPr>
      <w:r>
        <w:rPr>
          <w:i/>
          <w:iCs/>
        </w:rPr>
        <w:t>“They were the only people you could see face-to-face during Covid”</w:t>
      </w:r>
    </w:p>
    <w:p w14:paraId="2DEBC7CB" w14:textId="03A999B5" w:rsidR="00637594" w:rsidRDefault="00637594" w:rsidP="00637594">
      <w:pPr>
        <w:pBdr>
          <w:top w:val="single" w:sz="24" w:space="1" w:color="477CBF"/>
          <w:left w:val="single" w:sz="24" w:space="4" w:color="477CBF"/>
          <w:bottom w:val="single" w:sz="24" w:space="1" w:color="477CBF"/>
          <w:right w:val="single" w:sz="24" w:space="4" w:color="477CBF"/>
        </w:pBdr>
        <w:rPr>
          <w:i/>
          <w:iCs/>
        </w:rPr>
      </w:pPr>
      <w:r>
        <w:rPr>
          <w:i/>
          <w:iCs/>
        </w:rPr>
        <w:t>“Their systems during the covid crisis made me feel safe when accessing their services.”</w:t>
      </w:r>
    </w:p>
    <w:p w14:paraId="21535635" w14:textId="7D6CF7B6" w:rsidR="00637594" w:rsidRDefault="00B35C94" w:rsidP="00637594">
      <w:pPr>
        <w:pBdr>
          <w:top w:val="single" w:sz="24" w:space="1" w:color="477CBF"/>
          <w:left w:val="single" w:sz="24" w:space="4" w:color="477CBF"/>
          <w:bottom w:val="single" w:sz="24" w:space="1" w:color="477CBF"/>
          <w:right w:val="single" w:sz="24" w:space="4" w:color="477CBF"/>
        </w:pBdr>
      </w:pPr>
      <w:r>
        <w:t>However, responses also indicated that some measures impacted on people’s ability to access the service:</w:t>
      </w:r>
    </w:p>
    <w:p w14:paraId="27300DBF" w14:textId="27EA102B" w:rsidR="00B35C94" w:rsidRDefault="00677D5C" w:rsidP="00637594">
      <w:pPr>
        <w:pBdr>
          <w:top w:val="single" w:sz="24" w:space="1" w:color="477CBF"/>
          <w:left w:val="single" w:sz="24" w:space="4" w:color="477CBF"/>
          <w:bottom w:val="single" w:sz="24" w:space="1" w:color="477CBF"/>
          <w:right w:val="single" w:sz="24" w:space="4" w:color="477CBF"/>
        </w:pBdr>
        <w:rPr>
          <w:i/>
          <w:iCs/>
        </w:rPr>
      </w:pPr>
      <w:r>
        <w:rPr>
          <w:i/>
          <w:iCs/>
        </w:rPr>
        <w:t>“The shop is rather small, this was a problem during the pandemic”</w:t>
      </w:r>
    </w:p>
    <w:p w14:paraId="5DFF8768" w14:textId="2D7E423F" w:rsidR="00677D5C" w:rsidRPr="00677D5C" w:rsidRDefault="00677D5C" w:rsidP="00637594">
      <w:pPr>
        <w:pBdr>
          <w:top w:val="single" w:sz="24" w:space="1" w:color="477CBF"/>
          <w:left w:val="single" w:sz="24" w:space="4" w:color="477CBF"/>
          <w:bottom w:val="single" w:sz="24" w:space="1" w:color="477CBF"/>
          <w:right w:val="single" w:sz="24" w:space="4" w:color="477CBF"/>
        </w:pBdr>
        <w:rPr>
          <w:i/>
          <w:iCs/>
        </w:rPr>
      </w:pPr>
      <w:r>
        <w:rPr>
          <w:i/>
          <w:iCs/>
        </w:rPr>
        <w:t>“Because of social distancing they stayed well away from me, so I couldn’t hear properly”</w:t>
      </w:r>
    </w:p>
    <w:p w14:paraId="339B33FC" w14:textId="07C874D3" w:rsidR="00A6145D" w:rsidRDefault="007814BB" w:rsidP="007212E0">
      <w:r>
        <w:t>The PSNC Pharmacy Advice Audit 2021</w:t>
      </w:r>
      <w:r w:rsidR="00E66A04">
        <w:rPr>
          <w:rStyle w:val="FootnoteReference"/>
        </w:rPr>
        <w:footnoteReference w:id="38"/>
      </w:r>
      <w:r w:rsidR="00E66A04">
        <w:t xml:space="preserve"> </w:t>
      </w:r>
      <w:r w:rsidR="00417CF4">
        <w:t xml:space="preserve">showed that 114,898 patient consultations were recorded by 5,830 community pharmacies. This indicates that 17 consultations are done per day </w:t>
      </w:r>
      <w:r w:rsidR="00BE0962">
        <w:t>per pharmacy, or more than 100 per week.</w:t>
      </w:r>
      <w:r w:rsidR="00503284">
        <w:t xml:space="preserve"> This would give 1.1 million informal consultations in community pharmacies in England each week, 58 million per year.</w:t>
      </w:r>
    </w:p>
    <w:p w14:paraId="44920C6B" w14:textId="415CFB5B" w:rsidR="00CB1325" w:rsidRDefault="00055E9D" w:rsidP="007212E0">
      <w:r>
        <w:t xml:space="preserve">Almost half of patients recorded in these consultations reported that if they were not able to attend their local </w:t>
      </w:r>
      <w:r w:rsidR="008E3893">
        <w:t>pharmacy,</w:t>
      </w:r>
      <w:r>
        <w:t xml:space="preserve"> they would have visited their GP instead</w:t>
      </w:r>
      <w:r w:rsidR="00A97ADF">
        <w:t>. Thi</w:t>
      </w:r>
      <w:r w:rsidR="00E23FB8">
        <w:t xml:space="preserve">s means that these consultations </w:t>
      </w:r>
      <w:r w:rsidR="00BA4185">
        <w:t xml:space="preserve">save more than 2 million GP appointments every month, or 24 million every year, equating to 74 appointments for each GP practice each week </w:t>
      </w:r>
      <w:r w:rsidR="008E3893">
        <w:t>across the country.</w:t>
      </w:r>
      <w:r w:rsidR="00D9698D">
        <w:t xml:space="preserve"> </w:t>
      </w:r>
      <w:r w:rsidR="00B12509">
        <w:t xml:space="preserve">70,000 people would have gone to an A&amp;E or NHS walk-in centre each week if they couldn’t have </w:t>
      </w:r>
      <w:r w:rsidR="0031674B">
        <w:t>accessed</w:t>
      </w:r>
      <w:r w:rsidR="00B12509">
        <w:t xml:space="preserve"> their local pharmacy, equating to 3.3 million people per year. </w:t>
      </w:r>
      <w:r w:rsidR="008E3893">
        <w:t xml:space="preserve"> </w:t>
      </w:r>
    </w:p>
    <w:p w14:paraId="1602DCCF" w14:textId="2EDCCB22" w:rsidR="0031674B" w:rsidRPr="00171012" w:rsidRDefault="0031674B" w:rsidP="007212E0">
      <w:r>
        <w:t xml:space="preserve">The </w:t>
      </w:r>
      <w:r w:rsidR="00FC336F">
        <w:t>“</w:t>
      </w:r>
      <w:r>
        <w:t>PSNC Briefing 013/12: Summary of the results of PSNC’s 2022 Pharmacy Pressures Survey</w:t>
      </w:r>
      <w:r w:rsidR="00FC336F">
        <w:t>”</w:t>
      </w:r>
      <w:r w:rsidR="00204D02">
        <w:rPr>
          <w:rStyle w:val="FootnoteReference"/>
        </w:rPr>
        <w:footnoteReference w:id="39"/>
      </w:r>
      <w:r w:rsidR="009F7F22">
        <w:t xml:space="preserve"> identified several ways in which pharmacies are feeling pressure nationally. </w:t>
      </w:r>
      <w:r w:rsidR="004D73A0">
        <w:t xml:space="preserve">In the survey it was found that 92% of pharmacy business owners/head office representatives said that patient services were being negatively affected by the pressures on their business. </w:t>
      </w:r>
      <w:r w:rsidR="00A83FB4">
        <w:t>Figure</w:t>
      </w:r>
      <w:r w:rsidR="004D73A0">
        <w:t xml:space="preserve"> </w:t>
      </w:r>
      <w:r w:rsidR="00D25D53">
        <w:t>3</w:t>
      </w:r>
      <w:r w:rsidR="000B723A">
        <w:t>3</w:t>
      </w:r>
      <w:r w:rsidR="004D73A0">
        <w:t xml:space="preserve"> shows a </w:t>
      </w:r>
      <w:r w:rsidR="008F1E9F">
        <w:t>breakdown</w:t>
      </w:r>
      <w:r w:rsidR="004D73A0">
        <w:t xml:space="preserve"> of </w:t>
      </w:r>
      <w:r w:rsidR="008F1E9F">
        <w:t>the</w:t>
      </w:r>
      <w:r w:rsidR="004D73A0">
        <w:t xml:space="preserve"> impacts o</w:t>
      </w:r>
      <w:r w:rsidR="008F1E9F">
        <w:t>f business pressure on patients</w:t>
      </w:r>
    </w:p>
    <w:p w14:paraId="64355617" w14:textId="7B213FFC" w:rsidR="00171012" w:rsidRDefault="00A83FB4" w:rsidP="007212E0">
      <w:r>
        <w:rPr>
          <w:noProof/>
          <w:color w:val="2B579A"/>
          <w:shd w:val="clear" w:color="auto" w:fill="E6E6E6"/>
        </w:rPr>
        <w:lastRenderedPageBreak/>
        <w:drawing>
          <wp:inline distT="0" distB="0" distL="0" distR="0" wp14:anchorId="45A0972A" wp14:editId="1C7FD6CB">
            <wp:extent cx="6185647" cy="2740025"/>
            <wp:effectExtent l="0" t="0" r="5715" b="3175"/>
            <wp:docPr id="42" name="Chart 42">
              <a:extLst xmlns:a="http://schemas.openxmlformats.org/drawingml/2006/main">
                <a:ext uri="{FF2B5EF4-FFF2-40B4-BE49-F238E27FC236}">
                  <a16:creationId xmlns:a16="http://schemas.microsoft.com/office/drawing/2014/main" id="{86E36EEC-6934-4527-8715-ADD21068FF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9726273" w14:textId="6B08A890" w:rsidR="00A83FB4" w:rsidRDefault="00D25D53" w:rsidP="00D25D53">
      <w:pPr>
        <w:pStyle w:val="Caption"/>
      </w:pPr>
      <w:r>
        <w:t xml:space="preserve">Figure </w:t>
      </w:r>
      <w:r>
        <w:fldChar w:fldCharType="begin"/>
      </w:r>
      <w:r>
        <w:instrText>SEQ Figure \* ARABIC</w:instrText>
      </w:r>
      <w:r>
        <w:fldChar w:fldCharType="separate"/>
      </w:r>
      <w:r w:rsidR="006553F7">
        <w:rPr>
          <w:noProof/>
        </w:rPr>
        <w:t>33</w:t>
      </w:r>
      <w:r>
        <w:fldChar w:fldCharType="end"/>
      </w:r>
      <w:r>
        <w:t>:</w:t>
      </w:r>
      <w:r w:rsidR="00A83FB4">
        <w:t xml:space="preserve"> Impacts of Business Pressures on Patients</w:t>
      </w:r>
      <w:r>
        <w:br/>
      </w:r>
      <w:r w:rsidR="00A83FB4">
        <w:t xml:space="preserve">Source: </w:t>
      </w:r>
      <w:hyperlink r:id="rId68" w:history="1">
        <w:r w:rsidR="00C90246" w:rsidRPr="00417E4E">
          <w:rPr>
            <w:rStyle w:val="Hyperlink"/>
          </w:rPr>
          <w:t>https://psnc.org.uk/wp-content/uploads/2022/04/PSNC-Briefing-013.22-Summary-of-the-results-of-PSNCs-2022-Pharmacy-Pressures-Survey.pdf</w:t>
        </w:r>
      </w:hyperlink>
    </w:p>
    <w:p w14:paraId="247A1D77" w14:textId="5A1ED4BC" w:rsidR="00C90246" w:rsidRDefault="00B321A4" w:rsidP="007212E0">
      <w:r>
        <w:t xml:space="preserve">Responses from pharmacy team members to the survey indicated that 67% of pharmacies are having to deal with medicine supply issues every day, 21% multiple times per week, and 9% weekly. No team members responded saying they never had an issue. The impact of medicine supply issues is shown in Figure </w:t>
      </w:r>
      <w:r w:rsidR="00D25D53">
        <w:t>3</w:t>
      </w:r>
      <w:r w:rsidR="000B723A">
        <w:t>4</w:t>
      </w:r>
      <w:r>
        <w:t>:</w:t>
      </w:r>
    </w:p>
    <w:p w14:paraId="1D0390C2" w14:textId="37618D06" w:rsidR="00B321A4" w:rsidRDefault="00231866" w:rsidP="007212E0">
      <w:r>
        <w:rPr>
          <w:noProof/>
          <w:color w:val="2B579A"/>
          <w:shd w:val="clear" w:color="auto" w:fill="E6E6E6"/>
        </w:rPr>
        <w:drawing>
          <wp:inline distT="0" distB="0" distL="0" distR="0" wp14:anchorId="346BE34A" wp14:editId="6F5FF39F">
            <wp:extent cx="6449695" cy="3061039"/>
            <wp:effectExtent l="0" t="0" r="8255" b="6350"/>
            <wp:docPr id="50" name="Chart 50">
              <a:extLst xmlns:a="http://schemas.openxmlformats.org/drawingml/2006/main">
                <a:ext uri="{FF2B5EF4-FFF2-40B4-BE49-F238E27FC236}">
                  <a16:creationId xmlns:a16="http://schemas.microsoft.com/office/drawing/2014/main" id="{6E890990-18AB-4901-A580-696805A8C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0978F07" w14:textId="20704F66" w:rsidR="00231866" w:rsidRDefault="00D25D53" w:rsidP="00D25D53">
      <w:pPr>
        <w:pStyle w:val="Caption"/>
      </w:pPr>
      <w:r>
        <w:t xml:space="preserve">Figure </w:t>
      </w:r>
      <w:r>
        <w:fldChar w:fldCharType="begin"/>
      </w:r>
      <w:r>
        <w:instrText>SEQ Figure \* ARABIC</w:instrText>
      </w:r>
      <w:r>
        <w:fldChar w:fldCharType="separate"/>
      </w:r>
      <w:r w:rsidR="006553F7">
        <w:rPr>
          <w:noProof/>
        </w:rPr>
        <w:t>34</w:t>
      </w:r>
      <w:r>
        <w:fldChar w:fldCharType="end"/>
      </w:r>
      <w:r w:rsidR="00231866">
        <w:t>: Impacts of Medicine Supply Issues on Patients</w:t>
      </w:r>
      <w:r>
        <w:br/>
      </w:r>
      <w:r w:rsidR="00231866">
        <w:t xml:space="preserve">Source: </w:t>
      </w:r>
      <w:hyperlink r:id="rId70" w:history="1">
        <w:r w:rsidR="00231866" w:rsidRPr="00417E4E">
          <w:rPr>
            <w:rStyle w:val="Hyperlink"/>
          </w:rPr>
          <w:t>https://psnc.org.uk/wp-content/uploads/2022/04/PSNC-Briefing-013.22-Summary-of-the-results-of-PSNCs-2022-Pharmacy-Pressures-Survey.pdf</w:t>
        </w:r>
      </w:hyperlink>
    </w:p>
    <w:p w14:paraId="5F037DD2" w14:textId="414DAA1C" w:rsidR="00231866" w:rsidRDefault="00D13B79" w:rsidP="007212E0">
      <w:r>
        <w:lastRenderedPageBreak/>
        <w:t>Responses from pharmacy business owners/head office representatives reported that 91% of pharmacies were experiencing staff shortages</w:t>
      </w:r>
      <w:r w:rsidR="00683DDB">
        <w:t xml:space="preserve">, the </w:t>
      </w:r>
      <w:r w:rsidR="00773989">
        <w:t xml:space="preserve">most significant drivers of staff shortages being sickness and self-isolation related to </w:t>
      </w:r>
      <w:r w:rsidR="004C57C6">
        <w:t>COVID</w:t>
      </w:r>
      <w:r w:rsidR="00773989">
        <w:t>-19 (81%), difficulties in finding locums (77%), and difficulties recruiting permanent staff (72%).</w:t>
      </w:r>
      <w:r w:rsidR="006D7187">
        <w:t xml:space="preserve"> Figure </w:t>
      </w:r>
      <w:r w:rsidR="00D25D53">
        <w:t>3</w:t>
      </w:r>
      <w:r w:rsidR="000B723A">
        <w:t>5</w:t>
      </w:r>
      <w:r w:rsidR="006D7187">
        <w:t xml:space="preserve"> shows the impacts of staff shortages</w:t>
      </w:r>
      <w:r w:rsidR="003133EA">
        <w:t>:</w:t>
      </w:r>
    </w:p>
    <w:p w14:paraId="07DA898F" w14:textId="54F722FE" w:rsidR="00FD7CFE" w:rsidRDefault="00FD7CFE" w:rsidP="007212E0">
      <w:r>
        <w:rPr>
          <w:noProof/>
          <w:color w:val="2B579A"/>
          <w:shd w:val="clear" w:color="auto" w:fill="E6E6E6"/>
        </w:rPr>
        <w:drawing>
          <wp:inline distT="0" distB="0" distL="0" distR="0" wp14:anchorId="28063FFE" wp14:editId="4F121EB6">
            <wp:extent cx="6273665" cy="2953463"/>
            <wp:effectExtent l="0" t="0" r="13335" b="18415"/>
            <wp:docPr id="53" name="Chart 53">
              <a:extLst xmlns:a="http://schemas.openxmlformats.org/drawingml/2006/main">
                <a:ext uri="{FF2B5EF4-FFF2-40B4-BE49-F238E27FC236}">
                  <a16:creationId xmlns:a16="http://schemas.microsoft.com/office/drawing/2014/main" id="{F93BB82B-F182-4287-81B6-C171CAA89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17054D8" w14:textId="512D89BC" w:rsidR="00D25D53" w:rsidRDefault="00D25D53" w:rsidP="00D25D53">
      <w:pPr>
        <w:pStyle w:val="Caption"/>
      </w:pPr>
      <w:r>
        <w:t xml:space="preserve">Figure </w:t>
      </w:r>
      <w:r>
        <w:fldChar w:fldCharType="begin"/>
      </w:r>
      <w:r>
        <w:instrText>SEQ Figure \* ARABIC</w:instrText>
      </w:r>
      <w:r>
        <w:fldChar w:fldCharType="separate"/>
      </w:r>
      <w:r w:rsidR="006553F7">
        <w:rPr>
          <w:noProof/>
        </w:rPr>
        <w:t>35</w:t>
      </w:r>
      <w:r>
        <w:fldChar w:fldCharType="end"/>
      </w:r>
      <w:r w:rsidR="00FD7CFE">
        <w:t>: Impacts of Staff Shortages on Pharmacies</w:t>
      </w:r>
    </w:p>
    <w:p w14:paraId="593F2F65" w14:textId="21F86611" w:rsidR="00FD7CFE" w:rsidRDefault="00FD7CFE" w:rsidP="00D25D53">
      <w:pPr>
        <w:pStyle w:val="Caption"/>
      </w:pPr>
      <w:r>
        <w:t xml:space="preserve">Source: </w:t>
      </w:r>
      <w:hyperlink r:id="rId72" w:history="1">
        <w:r w:rsidRPr="00417E4E">
          <w:rPr>
            <w:rStyle w:val="Hyperlink"/>
          </w:rPr>
          <w:t>https://psnc.org.uk/wp-content/uploads/2022/04/PSNC-Briefing-013.22-Summary-of-the-results-of-PSNCs-2022-Pharmacy-Pressures-Survey.pdf</w:t>
        </w:r>
      </w:hyperlink>
    </w:p>
    <w:p w14:paraId="17154A7F" w14:textId="6B2F9300" w:rsidR="00FD7CFE" w:rsidRDefault="00DC3F76" w:rsidP="007212E0">
      <w:r>
        <w:t>Significant pressures were recorded in a wide range of areas</w:t>
      </w:r>
      <w:r w:rsidR="001B64C4">
        <w:t>, including significant increases in patients displaced from GPs to pharmacies, and incorrect information being provided by GP practices to patients. T</w:t>
      </w:r>
      <w:r w:rsidR="00746944">
        <w:t>his increase</w:t>
      </w:r>
      <w:r w:rsidR="003C3B6F">
        <w:t xml:space="preserve">d workload breakdown can be seen in Figure </w:t>
      </w:r>
      <w:r w:rsidR="00D25D53">
        <w:t>3</w:t>
      </w:r>
      <w:r w:rsidR="000B723A">
        <w:t>6</w:t>
      </w:r>
      <w:r w:rsidR="003C3B6F">
        <w:t>:</w:t>
      </w:r>
    </w:p>
    <w:p w14:paraId="5E7610F0" w14:textId="6F0FF620" w:rsidR="003C3B6F" w:rsidRDefault="0044339B" w:rsidP="007212E0">
      <w:r>
        <w:rPr>
          <w:noProof/>
          <w:color w:val="2B579A"/>
          <w:shd w:val="clear" w:color="auto" w:fill="E6E6E6"/>
        </w:rPr>
        <w:lastRenderedPageBreak/>
        <w:drawing>
          <wp:inline distT="0" distB="0" distL="0" distR="0" wp14:anchorId="52621D2A" wp14:editId="05310104">
            <wp:extent cx="6654800" cy="3598922"/>
            <wp:effectExtent l="0" t="0" r="12700" b="1905"/>
            <wp:docPr id="54" name="Chart 54">
              <a:extLst xmlns:a="http://schemas.openxmlformats.org/drawingml/2006/main">
                <a:ext uri="{FF2B5EF4-FFF2-40B4-BE49-F238E27FC236}">
                  <a16:creationId xmlns:a16="http://schemas.microsoft.com/office/drawing/2014/main" id="{F668799B-6079-48F7-B551-B797D6A3F0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7887CE1" w14:textId="7F33BCC6" w:rsidR="0044339B" w:rsidRDefault="00D25D53" w:rsidP="00D25D53">
      <w:pPr>
        <w:pStyle w:val="Caption"/>
      </w:pPr>
      <w:r>
        <w:t xml:space="preserve">Figure </w:t>
      </w:r>
      <w:r>
        <w:fldChar w:fldCharType="begin"/>
      </w:r>
      <w:r>
        <w:instrText>SEQ Figure \* ARABIC</w:instrText>
      </w:r>
      <w:r>
        <w:fldChar w:fldCharType="separate"/>
      </w:r>
      <w:r w:rsidR="006553F7">
        <w:rPr>
          <w:noProof/>
        </w:rPr>
        <w:t>36</w:t>
      </w:r>
      <w:r>
        <w:fldChar w:fldCharType="end"/>
      </w:r>
      <w:r w:rsidR="0044339B">
        <w:t>: Workload Increases Experienced by Pharmacy Teams</w:t>
      </w:r>
      <w:r>
        <w:br/>
      </w:r>
      <w:r w:rsidR="0044339B">
        <w:t xml:space="preserve">Source: </w:t>
      </w:r>
      <w:hyperlink r:id="rId74" w:history="1">
        <w:r w:rsidR="0044339B" w:rsidRPr="00417E4E">
          <w:rPr>
            <w:rStyle w:val="Hyperlink"/>
          </w:rPr>
          <w:t>https://psnc.org.uk/wp-content/uploads/2022/04/PSNC-Briefing-013.22-Summary-of-the-results-of-PSNCs-2022-Pharmacy-Pressures-Survey.pdf</w:t>
        </w:r>
      </w:hyperlink>
    </w:p>
    <w:p w14:paraId="77F46324" w14:textId="4F0E65E6" w:rsidR="0044339B" w:rsidRDefault="0094213B" w:rsidP="007212E0">
      <w:r>
        <w:t xml:space="preserve">Looking ahead to the future, the pharmacy companies were asked in the survey to rate how concerned they were about a range of issues. This was done on a scale of 1 to 10, 1 being no concern, 10 being extremely concerned. Figure </w:t>
      </w:r>
      <w:r w:rsidR="00D25D53">
        <w:t>3</w:t>
      </w:r>
      <w:r w:rsidR="000B723A">
        <w:t>7</w:t>
      </w:r>
      <w:r>
        <w:t xml:space="preserve"> shows the responses:</w:t>
      </w:r>
    </w:p>
    <w:p w14:paraId="7999AD05" w14:textId="6C8DD820" w:rsidR="0094213B" w:rsidRDefault="0070209A" w:rsidP="007212E0">
      <w:r>
        <w:rPr>
          <w:noProof/>
          <w:color w:val="2B579A"/>
          <w:shd w:val="clear" w:color="auto" w:fill="E6E6E6"/>
        </w:rPr>
        <w:lastRenderedPageBreak/>
        <w:drawing>
          <wp:inline distT="0" distB="0" distL="0" distR="0" wp14:anchorId="18A94674" wp14:editId="4400A236">
            <wp:extent cx="6386131" cy="3525520"/>
            <wp:effectExtent l="0" t="0" r="15240" b="17780"/>
            <wp:docPr id="56" name="Chart 56">
              <a:extLst xmlns:a="http://schemas.openxmlformats.org/drawingml/2006/main">
                <a:ext uri="{FF2B5EF4-FFF2-40B4-BE49-F238E27FC236}">
                  <a16:creationId xmlns:a16="http://schemas.microsoft.com/office/drawing/2014/main" id="{DA3E129C-4800-4C82-B16A-1F4CF01F3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7A54730" w14:textId="2A4A6C68" w:rsidR="0070209A" w:rsidRDefault="00D25D53" w:rsidP="00D25D53">
      <w:pPr>
        <w:pStyle w:val="Caption"/>
      </w:pPr>
      <w:r>
        <w:t xml:space="preserve">Figure </w:t>
      </w:r>
      <w:r>
        <w:fldChar w:fldCharType="begin"/>
      </w:r>
      <w:r>
        <w:instrText>SEQ Figure \* ARABIC</w:instrText>
      </w:r>
      <w:r>
        <w:fldChar w:fldCharType="separate"/>
      </w:r>
      <w:r w:rsidR="006553F7">
        <w:rPr>
          <w:noProof/>
        </w:rPr>
        <w:t>37</w:t>
      </w:r>
      <w:r>
        <w:fldChar w:fldCharType="end"/>
      </w:r>
      <w:r>
        <w:t>:</w:t>
      </w:r>
      <w:r w:rsidR="0070209A">
        <w:t xml:space="preserve"> How concerned are pharmacies about the following issues?</w:t>
      </w:r>
      <w:r>
        <w:br/>
      </w:r>
      <w:r w:rsidR="0070209A">
        <w:t xml:space="preserve">Source: </w:t>
      </w:r>
      <w:hyperlink r:id="rId76" w:history="1">
        <w:r w:rsidR="0070209A" w:rsidRPr="00417E4E">
          <w:rPr>
            <w:rStyle w:val="Hyperlink"/>
          </w:rPr>
          <w:t>https://psnc.org.uk/wp-content/uploads/2022/04/PSNC-Briefing-013.22-Summary-of-the-results-of-PSNCs-2022-Pharmacy-Pressures-Survey.pdf</w:t>
        </w:r>
      </w:hyperlink>
    </w:p>
    <w:p w14:paraId="72033E29" w14:textId="03882198" w:rsidR="005D0E94" w:rsidRDefault="00C91CC6" w:rsidP="00C91CC6">
      <w:r>
        <w:t>From analysis of the public survey undertaken for this PNA</w:t>
      </w:r>
      <w:r w:rsidR="00C923DA">
        <w:t xml:space="preserve">, </w:t>
      </w:r>
      <w:r w:rsidR="00E5494D">
        <w:t>when asked the question “When thinking about your pharmacy, what is most important to you?”</w:t>
      </w:r>
      <w:r w:rsidR="003F79DD">
        <w:t>,</w:t>
      </w:r>
      <w:r w:rsidR="00E5494D">
        <w:t xml:space="preserve"> 74% of respondents said “Efficient and quick service”</w:t>
      </w:r>
      <w:r w:rsidR="006B5956">
        <w:t>, 43% said “Friendly staff”, and 32% said “Know and trust the Pharmacist/Team”.</w:t>
      </w:r>
      <w:r w:rsidR="004A2E2A">
        <w:t xml:space="preserve"> The survey also indicated that respondents </w:t>
      </w:r>
      <w:r w:rsidR="003F79DD">
        <w:t>used the same pharmacy, with 60% saying they use the same pharmacy all the time, and 29% saying they use the same pharmacy most of the time.</w:t>
      </w:r>
      <w:r w:rsidR="006B5956">
        <w:t xml:space="preserve"> In the survey</w:t>
      </w:r>
      <w:r>
        <w:t>, pharmacies were praised for:</w:t>
      </w:r>
    </w:p>
    <w:p w14:paraId="21F35910" w14:textId="2D2FE659" w:rsidR="00C91CC6" w:rsidRDefault="00C91CC6" w:rsidP="008D3B10">
      <w:pPr>
        <w:pStyle w:val="ListParagraph"/>
        <w:numPr>
          <w:ilvl w:val="0"/>
          <w:numId w:val="26"/>
        </w:numPr>
      </w:pPr>
      <w:r>
        <w:t>Friendly</w:t>
      </w:r>
      <w:r w:rsidR="003F5285">
        <w:t>, knowledgeable staff</w:t>
      </w:r>
      <w:r w:rsidR="00C761F5">
        <w:t>.</w:t>
      </w:r>
    </w:p>
    <w:p w14:paraId="46CA5F0C" w14:textId="3AC0F69C" w:rsidR="00C761F5" w:rsidRDefault="00C761F5" w:rsidP="008D3B10">
      <w:pPr>
        <w:pStyle w:val="ListParagraph"/>
        <w:numPr>
          <w:ilvl w:val="0"/>
          <w:numId w:val="26"/>
        </w:numPr>
      </w:pPr>
      <w:r>
        <w:t>The local nature of a pharmacy was helpful to some as was staff who knew them and their health.</w:t>
      </w:r>
    </w:p>
    <w:p w14:paraId="7915EA7C" w14:textId="3A7EE991" w:rsidR="00C761F5" w:rsidRDefault="00C761F5" w:rsidP="008D3B10">
      <w:pPr>
        <w:pStyle w:val="ListParagraph"/>
        <w:numPr>
          <w:ilvl w:val="0"/>
          <w:numId w:val="26"/>
        </w:numPr>
      </w:pPr>
      <w:r>
        <w:t>Continuity of staff</w:t>
      </w:r>
      <w:r w:rsidR="008032EC">
        <w:t>.</w:t>
      </w:r>
    </w:p>
    <w:p w14:paraId="0F3E2F89" w14:textId="53EF1DF9" w:rsidR="008032EC" w:rsidRDefault="008032EC" w:rsidP="008D3B10">
      <w:pPr>
        <w:pStyle w:val="ListParagraph"/>
        <w:numPr>
          <w:ilvl w:val="0"/>
          <w:numId w:val="26"/>
        </w:numPr>
      </w:pPr>
      <w:r>
        <w:t>Advice about medication and wider health issues was welcomed and sometimes seen as an alternative to seeking a GP appointment.</w:t>
      </w:r>
    </w:p>
    <w:p w14:paraId="0035C1FA" w14:textId="4E49D70E" w:rsidR="008032EC" w:rsidRDefault="008032EC" w:rsidP="008D3B10">
      <w:pPr>
        <w:pStyle w:val="ListParagraph"/>
        <w:numPr>
          <w:ilvl w:val="0"/>
          <w:numId w:val="26"/>
        </w:numPr>
      </w:pPr>
      <w:r>
        <w:t>Good communication with GPs</w:t>
      </w:r>
    </w:p>
    <w:p w14:paraId="0F35ECA1" w14:textId="59A7DFB8" w:rsidR="008032EC" w:rsidRPr="000A1AE7" w:rsidRDefault="008032EC" w:rsidP="00FE7EF2">
      <w:pPr>
        <w:pBdr>
          <w:top w:val="single" w:sz="24" w:space="1" w:color="477CBF"/>
          <w:left w:val="single" w:sz="24" w:space="4" w:color="477CBF"/>
          <w:bottom w:val="single" w:sz="24" w:space="1" w:color="477CBF"/>
          <w:right w:val="single" w:sz="24" w:space="4" w:color="477CBF"/>
        </w:pBdr>
        <w:rPr>
          <w:i/>
          <w:iCs/>
        </w:rPr>
      </w:pPr>
      <w:r w:rsidRPr="000A1AE7">
        <w:rPr>
          <w:i/>
          <w:iCs/>
        </w:rPr>
        <w:t xml:space="preserve">“Fantastic, really friendly knowledgeable staff, I get reminders for reordering my prescriptions and notifications that they are ready to collect. When </w:t>
      </w:r>
      <w:r w:rsidR="00AE52D7" w:rsidRPr="000A1AE7">
        <w:rPr>
          <w:i/>
          <w:iCs/>
        </w:rPr>
        <w:t>I have a new medicine prescribed the member of staff double checks with me that I understand the dosage and that the Dr has explained the reason for the new/changed medicine. They are 1</w:t>
      </w:r>
      <w:r w:rsidR="00AE52D7" w:rsidRPr="000A1AE7">
        <w:rPr>
          <w:i/>
          <w:iCs/>
          <w:vertAlign w:val="superscript"/>
        </w:rPr>
        <w:t>st</w:t>
      </w:r>
      <w:r w:rsidR="00AE52D7" w:rsidRPr="000A1AE7">
        <w:rPr>
          <w:i/>
          <w:iCs/>
        </w:rPr>
        <w:t xml:space="preserve"> class.”</w:t>
      </w:r>
    </w:p>
    <w:p w14:paraId="32ECC918" w14:textId="1B0512F7" w:rsidR="00AE52D7" w:rsidRPr="000A1AE7" w:rsidRDefault="00AE52D7" w:rsidP="00FE7EF2">
      <w:pPr>
        <w:pBdr>
          <w:top w:val="single" w:sz="24" w:space="1" w:color="477CBF"/>
          <w:left w:val="single" w:sz="24" w:space="4" w:color="477CBF"/>
          <w:bottom w:val="single" w:sz="24" w:space="1" w:color="477CBF"/>
          <w:right w:val="single" w:sz="24" w:space="4" w:color="477CBF"/>
        </w:pBdr>
        <w:rPr>
          <w:i/>
          <w:iCs/>
        </w:rPr>
      </w:pPr>
      <w:r w:rsidRPr="000A1AE7">
        <w:rPr>
          <w:i/>
          <w:iCs/>
        </w:rPr>
        <w:lastRenderedPageBreak/>
        <w:t xml:space="preserve">“As a disabled person, with number health issues, my local pharmacy is literally a </w:t>
      </w:r>
      <w:r w:rsidR="00A37901" w:rsidRPr="000A1AE7">
        <w:rPr>
          <w:i/>
          <w:iCs/>
        </w:rPr>
        <w:t>lifeline.”</w:t>
      </w:r>
    </w:p>
    <w:p w14:paraId="62E6A687" w14:textId="5B8DA3E7" w:rsidR="00A37901" w:rsidRPr="000A1AE7" w:rsidRDefault="00A37901" w:rsidP="00FE7EF2">
      <w:pPr>
        <w:pBdr>
          <w:top w:val="single" w:sz="24" w:space="1" w:color="477CBF"/>
          <w:left w:val="single" w:sz="24" w:space="4" w:color="477CBF"/>
          <w:bottom w:val="single" w:sz="24" w:space="1" w:color="477CBF"/>
          <w:right w:val="single" w:sz="24" w:space="4" w:color="477CBF"/>
        </w:pBdr>
        <w:rPr>
          <w:i/>
          <w:iCs/>
        </w:rPr>
      </w:pPr>
      <w:r w:rsidRPr="000A1AE7">
        <w:rPr>
          <w:i/>
          <w:iCs/>
        </w:rPr>
        <w:t>“Excellent customer service and satisfaction over a good number of years.”</w:t>
      </w:r>
    </w:p>
    <w:p w14:paraId="282DBC1C" w14:textId="0449C6F4" w:rsidR="00C112A0" w:rsidRPr="000A1AE7" w:rsidRDefault="00C112A0" w:rsidP="00FE7EF2">
      <w:pPr>
        <w:pBdr>
          <w:top w:val="single" w:sz="24" w:space="1" w:color="477CBF"/>
          <w:left w:val="single" w:sz="24" w:space="4" w:color="477CBF"/>
          <w:bottom w:val="single" w:sz="24" w:space="1" w:color="477CBF"/>
          <w:right w:val="single" w:sz="24" w:space="4" w:color="477CBF"/>
        </w:pBdr>
        <w:rPr>
          <w:i/>
          <w:iCs/>
        </w:rPr>
      </w:pPr>
      <w:r w:rsidRPr="000A1AE7">
        <w:rPr>
          <w:i/>
          <w:iCs/>
        </w:rPr>
        <w:t>“Extremely helpful and easier and quicker to access than making a GP appointment.”</w:t>
      </w:r>
    </w:p>
    <w:p w14:paraId="5B90F5EA" w14:textId="05340035" w:rsidR="00C112A0" w:rsidRPr="000A1AE7" w:rsidRDefault="00C112A0" w:rsidP="00FE7EF2">
      <w:pPr>
        <w:pBdr>
          <w:top w:val="single" w:sz="24" w:space="1" w:color="477CBF"/>
          <w:left w:val="single" w:sz="24" w:space="4" w:color="477CBF"/>
          <w:bottom w:val="single" w:sz="24" w:space="1" w:color="477CBF"/>
          <w:right w:val="single" w:sz="24" w:space="4" w:color="477CBF"/>
        </w:pBdr>
        <w:rPr>
          <w:i/>
          <w:iCs/>
        </w:rPr>
      </w:pPr>
      <w:r w:rsidRPr="000A1AE7">
        <w:rPr>
          <w:i/>
          <w:iCs/>
        </w:rPr>
        <w:t>“Friendly, knowledgeable and is a quick alternative to a GP</w:t>
      </w:r>
      <w:r w:rsidR="000A1AE7" w:rsidRPr="000A1AE7">
        <w:rPr>
          <w:i/>
          <w:iCs/>
        </w:rPr>
        <w:t>. I am very happy with my pharmacist &amp; team.”</w:t>
      </w:r>
    </w:p>
    <w:p w14:paraId="7A86FA9B" w14:textId="430A1CF0" w:rsidR="000A1AE7" w:rsidRPr="000A1AE7" w:rsidRDefault="000A1AE7" w:rsidP="00FE7EF2">
      <w:pPr>
        <w:pBdr>
          <w:top w:val="single" w:sz="24" w:space="1" w:color="477CBF"/>
          <w:left w:val="single" w:sz="24" w:space="4" w:color="477CBF"/>
          <w:bottom w:val="single" w:sz="24" w:space="1" w:color="477CBF"/>
          <w:right w:val="single" w:sz="24" w:space="4" w:color="477CBF"/>
        </w:pBdr>
        <w:rPr>
          <w:i/>
          <w:iCs/>
        </w:rPr>
      </w:pPr>
      <w:r w:rsidRPr="000A1AE7">
        <w:rPr>
          <w:i/>
          <w:iCs/>
        </w:rPr>
        <w:t>“I prefer to go to the local pharmacy, as it is more personal, as it is more personal than a large city-centre chain store, and it is near where I live. I really value the local service.”</w:t>
      </w:r>
    </w:p>
    <w:p w14:paraId="376912DB" w14:textId="68D7F8EE" w:rsidR="000A1AE7" w:rsidRDefault="000A1AE7" w:rsidP="00FE7EF2">
      <w:pPr>
        <w:pBdr>
          <w:top w:val="single" w:sz="24" w:space="1" w:color="477CBF"/>
          <w:left w:val="single" w:sz="24" w:space="4" w:color="477CBF"/>
          <w:bottom w:val="single" w:sz="24" w:space="1" w:color="477CBF"/>
          <w:right w:val="single" w:sz="24" w:space="4" w:color="477CBF"/>
        </w:pBdr>
        <w:rPr>
          <w:i/>
          <w:iCs/>
        </w:rPr>
      </w:pPr>
      <w:r w:rsidRPr="000A1AE7">
        <w:rPr>
          <w:i/>
          <w:iCs/>
        </w:rPr>
        <w:t>“I receive a very efficient and helpful service from my local pharmacy.”</w:t>
      </w:r>
    </w:p>
    <w:p w14:paraId="47EBC30D" w14:textId="75B3EA46" w:rsidR="00A30E33" w:rsidRDefault="00A30E33" w:rsidP="00FE7EF2">
      <w:pPr>
        <w:pBdr>
          <w:top w:val="single" w:sz="24" w:space="1" w:color="477CBF"/>
          <w:left w:val="single" w:sz="24" w:space="4" w:color="477CBF"/>
          <w:bottom w:val="single" w:sz="24" w:space="1" w:color="477CBF"/>
          <w:right w:val="single" w:sz="24" w:space="4" w:color="477CBF"/>
        </w:pBdr>
        <w:rPr>
          <w:i/>
          <w:iCs/>
        </w:rPr>
      </w:pPr>
      <w:r>
        <w:rPr>
          <w:i/>
          <w:iCs/>
        </w:rPr>
        <w:t>“The team are lovely, helpful, efficient, caring, and the service has always been absolutely brilliant.”</w:t>
      </w:r>
    </w:p>
    <w:p w14:paraId="47EB1F8C" w14:textId="450F7A0B" w:rsidR="0094201B" w:rsidRPr="000A1AE7" w:rsidRDefault="0094201B" w:rsidP="00FE7EF2">
      <w:pPr>
        <w:pBdr>
          <w:top w:val="single" w:sz="24" w:space="1" w:color="477CBF"/>
          <w:left w:val="single" w:sz="24" w:space="4" w:color="477CBF"/>
          <w:bottom w:val="single" w:sz="24" w:space="1" w:color="477CBF"/>
          <w:right w:val="single" w:sz="24" w:space="4" w:color="477CBF"/>
        </w:pBdr>
        <w:rPr>
          <w:i/>
          <w:iCs/>
        </w:rPr>
      </w:pPr>
      <w:r>
        <w:rPr>
          <w:i/>
          <w:iCs/>
        </w:rPr>
        <w:t>“I was able to get immediate and effective advice from the Pharmacist at a time when there were no available appointments to see my GP”</w:t>
      </w:r>
    </w:p>
    <w:p w14:paraId="69B0347F" w14:textId="69B43AC4" w:rsidR="006D5843" w:rsidRDefault="006D5843" w:rsidP="007212E0"/>
    <w:p w14:paraId="138D3B62" w14:textId="27834DAF" w:rsidR="006D5843" w:rsidRDefault="006D5843" w:rsidP="007212E0">
      <w:r>
        <w:t xml:space="preserve">However, issues </w:t>
      </w:r>
      <w:r w:rsidR="005C6181">
        <w:t>were identifi</w:t>
      </w:r>
      <w:r w:rsidR="00DB67FB">
        <w:t xml:space="preserve">ed </w:t>
      </w:r>
      <w:r w:rsidR="00241A40">
        <w:t>that match the themes from both the PSNC Audit and PSNC Survey, including:</w:t>
      </w:r>
    </w:p>
    <w:p w14:paraId="294E4704" w14:textId="4F02E6AC" w:rsidR="00241A40" w:rsidRDefault="00241A40" w:rsidP="008D3B10">
      <w:pPr>
        <w:pStyle w:val="ListParagraph"/>
        <w:numPr>
          <w:ilvl w:val="0"/>
          <w:numId w:val="27"/>
        </w:numPr>
      </w:pPr>
      <w:r>
        <w:t xml:space="preserve">The length of time between ordering medicines and </w:t>
      </w:r>
      <w:r w:rsidR="00D16E7A">
        <w:t>prescriptions being available</w:t>
      </w:r>
      <w:r w:rsidR="00DA1CB2">
        <w:t xml:space="preserve"> – some respondents reported increases in more recent months.</w:t>
      </w:r>
    </w:p>
    <w:p w14:paraId="32537533" w14:textId="4B99D958" w:rsidR="00AB2805" w:rsidRDefault="00AB2805" w:rsidP="008D3B10">
      <w:pPr>
        <w:pStyle w:val="ListParagraph"/>
        <w:numPr>
          <w:ilvl w:val="0"/>
          <w:numId w:val="27"/>
        </w:numPr>
      </w:pPr>
      <w:r>
        <w:t>Prescriptions not being ready for collection leading to long queues or necessitating return visits to the pharmacy was a key issue.</w:t>
      </w:r>
    </w:p>
    <w:p w14:paraId="2AD4A768" w14:textId="387C73DE" w:rsidR="00AB2805" w:rsidRDefault="00AB2805" w:rsidP="008D3B10">
      <w:pPr>
        <w:pStyle w:val="ListParagraph"/>
        <w:numPr>
          <w:ilvl w:val="0"/>
          <w:numId w:val="27"/>
        </w:numPr>
      </w:pPr>
      <w:r>
        <w:t>Items not stocked or missing with return visits required.</w:t>
      </w:r>
    </w:p>
    <w:p w14:paraId="5B7E97BE" w14:textId="24A6BFD9" w:rsidR="00AB2805" w:rsidRDefault="00AB2805" w:rsidP="008D3B10">
      <w:pPr>
        <w:pStyle w:val="ListParagraph"/>
        <w:numPr>
          <w:ilvl w:val="0"/>
          <w:numId w:val="27"/>
        </w:numPr>
      </w:pPr>
      <w:r>
        <w:t>Wrong items/out of date medication.</w:t>
      </w:r>
    </w:p>
    <w:p w14:paraId="188AA069" w14:textId="450E37A4" w:rsidR="00AB2805" w:rsidRDefault="00AB2805" w:rsidP="008D3B10">
      <w:pPr>
        <w:pStyle w:val="ListParagraph"/>
        <w:numPr>
          <w:ilvl w:val="0"/>
          <w:numId w:val="27"/>
        </w:numPr>
      </w:pPr>
      <w:r>
        <w:t xml:space="preserve">System </w:t>
      </w:r>
      <w:r w:rsidR="00DF7654">
        <w:t>for finding prescriptions being disorganised.</w:t>
      </w:r>
    </w:p>
    <w:p w14:paraId="77ABF47A" w14:textId="7E757C40" w:rsidR="0041170F" w:rsidRDefault="0041170F" w:rsidP="008D3B10">
      <w:pPr>
        <w:pStyle w:val="ListParagraph"/>
        <w:numPr>
          <w:ilvl w:val="0"/>
          <w:numId w:val="27"/>
        </w:numPr>
      </w:pPr>
      <w:r>
        <w:t>Impromptu or random pharmacy closure due to staff shortages including pharmacists.</w:t>
      </w:r>
    </w:p>
    <w:p w14:paraId="46233CFB" w14:textId="66839CA5" w:rsidR="00DF7654" w:rsidRP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t>“It can take up to 7 days from the time the pharmacy receives the script to being able to collect medication”</w:t>
      </w:r>
    </w:p>
    <w:p w14:paraId="37F8816E" w14:textId="25B5CDAA" w:rsidR="00DF7654" w:rsidRP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t>“Always have to wait for the prescription to be filled even when ordered 5 days before”</w:t>
      </w:r>
    </w:p>
    <w:p w14:paraId="69D2FC4D" w14:textId="7D861B6B" w:rsidR="00DF7654" w:rsidRP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t>“Doesn’t matter how far in advance you order medications they are never ready when you go to collect”</w:t>
      </w:r>
    </w:p>
    <w:p w14:paraId="7ACCEFD2" w14:textId="4D6CCC7D" w:rsidR="00DF7654" w:rsidRP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t>“Long queues outside chemist, lack of supplies a big issue repeat prescriptions so we have to go back several times to collect”</w:t>
      </w:r>
    </w:p>
    <w:p w14:paraId="759C0298" w14:textId="404ED959" w:rsidR="00DF7654" w:rsidRP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t>“Don’t always have the tablets in stock”</w:t>
      </w:r>
    </w:p>
    <w:p w14:paraId="72E839B4" w14:textId="21546FD5" w:rsidR="00DF7654" w:rsidRDefault="00DF7654" w:rsidP="00DF7654">
      <w:pPr>
        <w:pBdr>
          <w:top w:val="single" w:sz="24" w:space="1" w:color="477CBF"/>
          <w:left w:val="single" w:sz="24" w:space="4" w:color="477CBF"/>
          <w:bottom w:val="single" w:sz="24" w:space="1" w:color="477CBF"/>
          <w:right w:val="single" w:sz="24" w:space="4" w:color="477CBF"/>
        </w:pBdr>
        <w:rPr>
          <w:i/>
          <w:iCs/>
        </w:rPr>
      </w:pPr>
      <w:r w:rsidRPr="00DF7654">
        <w:rPr>
          <w:i/>
          <w:iCs/>
        </w:rPr>
        <w:lastRenderedPageBreak/>
        <w:t>“Seem to take ages finding my prescriptions (which had been sent directly to them from the GP) have a muddled system to find things”</w:t>
      </w:r>
    </w:p>
    <w:p w14:paraId="57CB7924" w14:textId="5445FE3D" w:rsidR="00352E88" w:rsidRDefault="00352E88" w:rsidP="00DF7654">
      <w:pPr>
        <w:pBdr>
          <w:top w:val="single" w:sz="24" w:space="1" w:color="477CBF"/>
          <w:left w:val="single" w:sz="24" w:space="4" w:color="477CBF"/>
          <w:bottom w:val="single" w:sz="24" w:space="1" w:color="477CBF"/>
          <w:right w:val="single" w:sz="24" w:space="4" w:color="477CBF"/>
        </w:pBdr>
        <w:rPr>
          <w:i/>
          <w:iCs/>
        </w:rPr>
      </w:pPr>
      <w:r>
        <w:rPr>
          <w:i/>
          <w:iCs/>
        </w:rPr>
        <w:t>“</w:t>
      </w:r>
      <w:r w:rsidR="004E2C6D">
        <w:rPr>
          <w:i/>
          <w:iCs/>
        </w:rPr>
        <w:t>Recently been closed for time during day or all day as not enough staff”</w:t>
      </w:r>
    </w:p>
    <w:p w14:paraId="0E5C9F9B" w14:textId="3AA30660" w:rsidR="004E2C6D" w:rsidRDefault="004E2C6D" w:rsidP="00DF7654">
      <w:pPr>
        <w:pBdr>
          <w:top w:val="single" w:sz="24" w:space="1" w:color="477CBF"/>
          <w:left w:val="single" w:sz="24" w:space="4" w:color="477CBF"/>
          <w:bottom w:val="single" w:sz="24" w:space="1" w:color="477CBF"/>
          <w:right w:val="single" w:sz="24" w:space="4" w:color="477CBF"/>
        </w:pBdr>
        <w:rPr>
          <w:i/>
          <w:iCs/>
        </w:rPr>
      </w:pPr>
      <w:r>
        <w:rPr>
          <w:i/>
          <w:iCs/>
        </w:rPr>
        <w:t>“Pharmacist leaves the premises and staff are unable to give out prescriptions or sell things like lem</w:t>
      </w:r>
      <w:r w:rsidR="00980EF0">
        <w:rPr>
          <w:i/>
          <w:iCs/>
        </w:rPr>
        <w:t xml:space="preserve"> </w:t>
      </w:r>
      <w:r>
        <w:rPr>
          <w:i/>
          <w:iCs/>
        </w:rPr>
        <w:t>sip”</w:t>
      </w:r>
    </w:p>
    <w:p w14:paraId="5D0CAF8A" w14:textId="0EFB68F5" w:rsidR="00980EF0" w:rsidRDefault="00980EF0" w:rsidP="00DF7654">
      <w:pPr>
        <w:pBdr>
          <w:top w:val="single" w:sz="24" w:space="1" w:color="477CBF"/>
          <w:left w:val="single" w:sz="24" w:space="4" w:color="477CBF"/>
          <w:bottom w:val="single" w:sz="24" w:space="1" w:color="477CBF"/>
          <w:right w:val="single" w:sz="24" w:space="4" w:color="477CBF"/>
        </w:pBdr>
        <w:rPr>
          <w:i/>
          <w:iCs/>
        </w:rPr>
      </w:pPr>
      <w:r>
        <w:rPr>
          <w:i/>
          <w:iCs/>
        </w:rPr>
        <w:t>“My pharmacy is usually very busy which can make it feel uncomfortable to ask for any additional time from the staff (with questions or for advice) as they are clearly under a lot of pressure”</w:t>
      </w:r>
    </w:p>
    <w:p w14:paraId="206DDD46" w14:textId="27ECA735" w:rsidR="006F25D4" w:rsidRPr="00DF7654" w:rsidRDefault="006F25D4" w:rsidP="00DF7654">
      <w:pPr>
        <w:pBdr>
          <w:top w:val="single" w:sz="24" w:space="1" w:color="477CBF"/>
          <w:left w:val="single" w:sz="24" w:space="4" w:color="477CBF"/>
          <w:bottom w:val="single" w:sz="24" w:space="1" w:color="477CBF"/>
          <w:right w:val="single" w:sz="24" w:space="4" w:color="477CBF"/>
        </w:pBdr>
        <w:rPr>
          <w:i/>
          <w:iCs/>
        </w:rPr>
      </w:pPr>
      <w:r>
        <w:rPr>
          <w:i/>
          <w:iCs/>
        </w:rPr>
        <w:t>“Closes randomly without notice due to lack of pharmacists. Do not answer phone.”</w:t>
      </w:r>
    </w:p>
    <w:p w14:paraId="53DCD959" w14:textId="69A3411B" w:rsidR="006D5843" w:rsidRDefault="00413D21" w:rsidP="007212E0">
      <w:r>
        <w:t>From the public survey, collecting a prescription was the biggest r</w:t>
      </w:r>
      <w:r w:rsidR="002B3F13">
        <w:t xml:space="preserve">eason why respondents usually access a pharmacy (93%), followed by buying over the counter medicines (that do not need a prescription) (57%), and getting advice and information on medication (31%). </w:t>
      </w:r>
    </w:p>
    <w:p w14:paraId="211DE75C" w14:textId="77777777" w:rsidR="00A43B98" w:rsidRDefault="00A43B98" w:rsidP="007212E0"/>
    <w:p w14:paraId="28D5A30D" w14:textId="30462C4D" w:rsidR="00C950AC" w:rsidRDefault="00C950AC" w:rsidP="007212E0">
      <w:pPr>
        <w:rPr>
          <w:color w:val="477CBF" w:themeColor="accent1"/>
        </w:rPr>
      </w:pPr>
      <w:r w:rsidRPr="386301F0">
        <w:rPr>
          <w:color w:val="477CBF" w:themeColor="accent1"/>
        </w:rPr>
        <w:t>Workforce</w:t>
      </w:r>
    </w:p>
    <w:p w14:paraId="651A69D7" w14:textId="10F3FA10" w:rsidR="00BE34E9" w:rsidRPr="00CB4211" w:rsidRDefault="00CB4211" w:rsidP="007212E0">
      <w:r>
        <w:t>NHS Health Education England (HEE)</w:t>
      </w:r>
      <w:r w:rsidR="00440107">
        <w:t xml:space="preserve"> </w:t>
      </w:r>
      <w:r w:rsidR="00BE53AF">
        <w:t xml:space="preserve">produce pharmacist workforce data at National, Regional, and ICS geography level. </w:t>
      </w:r>
      <w:r w:rsidR="00B63A94">
        <w:t xml:space="preserve">Figure </w:t>
      </w:r>
      <w:r w:rsidR="00D25D53">
        <w:t>3</w:t>
      </w:r>
      <w:r w:rsidR="000B723A">
        <w:t>8</w:t>
      </w:r>
      <w:r w:rsidR="00B63A94">
        <w:t xml:space="preserve"> shows the pharmacist workforce levels in Coventry and Warwickshire ICS</w:t>
      </w:r>
      <w:r w:rsidR="003C6C5C">
        <w:t xml:space="preserve"> in Trust, Practice</w:t>
      </w:r>
      <w:r w:rsidR="00102F77">
        <w:t>,</w:t>
      </w:r>
      <w:r w:rsidR="003C6C5C">
        <w:t xml:space="preserve"> and </w:t>
      </w:r>
      <w:r w:rsidR="007B6CC2">
        <w:t>P</w:t>
      </w:r>
      <w:r w:rsidR="00C83D2C">
        <w:t xml:space="preserve">rimary Care Networks (PCN). </w:t>
      </w:r>
      <w:r w:rsidR="005173DF">
        <w:t xml:space="preserve">Between March 2019 and March 2022 Trust has increased their Pharmacist Workforce from 114 to </w:t>
      </w:r>
      <w:r w:rsidR="00992204">
        <w:t>150</w:t>
      </w:r>
      <w:r w:rsidR="00F6346C">
        <w:t xml:space="preserve">, Practice has increased from 4 to 11 and PCN has increased from 0 to 66. </w:t>
      </w:r>
      <w:r w:rsidR="007F3AE8">
        <w:t>There</w:t>
      </w:r>
      <w:r w:rsidR="003B4F9A">
        <w:t xml:space="preserve"> is currently no</w:t>
      </w:r>
      <w:r w:rsidR="008B42A9">
        <w:t xml:space="preserve"> equivalent</w:t>
      </w:r>
      <w:r w:rsidR="003B4F9A">
        <w:t xml:space="preserve"> </w:t>
      </w:r>
      <w:r w:rsidR="00E25CEB">
        <w:t xml:space="preserve">data on community pharmacies. </w:t>
      </w:r>
      <w:r w:rsidR="005425B8">
        <w:t>The</w:t>
      </w:r>
      <w:r w:rsidR="00140CB7">
        <w:t xml:space="preserve"> increase in numbers across Trust, Practice and PCN </w:t>
      </w:r>
      <w:r w:rsidR="00C34E32">
        <w:t xml:space="preserve">may cause concern </w:t>
      </w:r>
      <w:r w:rsidR="00644EBE">
        <w:t>as these increase</w:t>
      </w:r>
      <w:r w:rsidR="007E56D5">
        <w:t>s</w:t>
      </w:r>
      <w:r w:rsidR="00644EBE">
        <w:t xml:space="preserve"> may have come from </w:t>
      </w:r>
      <w:r w:rsidR="00646AAD">
        <w:t xml:space="preserve">workforce </w:t>
      </w:r>
      <w:r w:rsidR="00A20A88">
        <w:t xml:space="preserve">either </w:t>
      </w:r>
      <w:r w:rsidR="00646AAD">
        <w:t xml:space="preserve">leaving </w:t>
      </w:r>
      <w:r w:rsidR="00644EBE">
        <w:t>community pharmac</w:t>
      </w:r>
      <w:r w:rsidR="00A82EF3">
        <w:t>ies</w:t>
      </w:r>
      <w:r w:rsidR="00A20A88">
        <w:t xml:space="preserve">, or </w:t>
      </w:r>
      <w:r w:rsidR="00420BCD">
        <w:t>choosing</w:t>
      </w:r>
      <w:r w:rsidR="0046231D">
        <w:t xml:space="preserve"> to</w:t>
      </w:r>
      <w:r w:rsidR="00420BCD">
        <w:t xml:space="preserve"> continue</w:t>
      </w:r>
      <w:r w:rsidR="0046231D">
        <w:t xml:space="preserve"> their training </w:t>
      </w:r>
      <w:r w:rsidR="00420BCD">
        <w:t>in a</w:t>
      </w:r>
      <w:r w:rsidR="0046231D">
        <w:t xml:space="preserve"> Trust, Practice, </w:t>
      </w:r>
      <w:r w:rsidR="00D308EE">
        <w:t>or</w:t>
      </w:r>
      <w:r w:rsidR="0046231D">
        <w:t xml:space="preserve"> PCN</w:t>
      </w:r>
      <w:r w:rsidR="00AA4514">
        <w:t xml:space="preserve"> </w:t>
      </w:r>
      <w:r w:rsidR="00092B39">
        <w:t>rather than in</w:t>
      </w:r>
      <w:r w:rsidR="00AA4514">
        <w:t xml:space="preserve"> community pharmacies</w:t>
      </w:r>
      <w:r w:rsidR="00A82EF3">
        <w:t xml:space="preserve">. </w:t>
      </w:r>
      <w:r w:rsidR="00AA02C2">
        <w:t>Th</w:t>
      </w:r>
      <w:r w:rsidR="00E94C85">
        <w:t>e</w:t>
      </w:r>
      <w:r w:rsidR="00AA02C2">
        <w:t xml:space="preserve">re are a range of factors that contribute to this choice including training packages, salary, and financial </w:t>
      </w:r>
      <w:r w:rsidR="00E94C85">
        <w:t>security.</w:t>
      </w:r>
    </w:p>
    <w:p w14:paraId="612AB3DE" w14:textId="45CF3EB2" w:rsidR="00C950AC" w:rsidRDefault="00317685" w:rsidP="007212E0">
      <w:pPr>
        <w:rPr>
          <w:color w:val="477CBF"/>
        </w:rPr>
      </w:pPr>
      <w:r>
        <w:rPr>
          <w:noProof/>
        </w:rPr>
        <w:lastRenderedPageBreak/>
        <w:drawing>
          <wp:inline distT="0" distB="0" distL="0" distR="0" wp14:anchorId="74E60840" wp14:editId="0F94703E">
            <wp:extent cx="6332220" cy="2624455"/>
            <wp:effectExtent l="0" t="0" r="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7">
                      <a:extLst>
                        <a:ext uri="{FF2B5EF4-FFF2-40B4-BE49-F238E27FC236}">
                          <a16:creationId xmlns:oel="http://schemas.microsoft.com/office/2019/extlst"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AE9F24A6-8694-5477-E6AE-83A84F97613C}"/>
                        </a:ext>
                      </a:extLst>
                    </a:blip>
                    <a:stretch>
                      <a:fillRect/>
                    </a:stretch>
                  </pic:blipFill>
                  <pic:spPr>
                    <a:xfrm>
                      <a:off x="0" y="0"/>
                      <a:ext cx="6332220" cy="2624455"/>
                    </a:xfrm>
                    <a:prstGeom prst="rect">
                      <a:avLst/>
                    </a:prstGeom>
                  </pic:spPr>
                </pic:pic>
              </a:graphicData>
            </a:graphic>
          </wp:inline>
        </w:drawing>
      </w:r>
    </w:p>
    <w:p w14:paraId="534DFE46" w14:textId="2FB5A1DF" w:rsidR="00D25D53" w:rsidRDefault="00D25D53" w:rsidP="00D25D53">
      <w:pPr>
        <w:pStyle w:val="Caption"/>
        <w:rPr>
          <w:color w:val="477CBF"/>
        </w:rPr>
      </w:pPr>
      <w:r>
        <w:t xml:space="preserve">Figure </w:t>
      </w:r>
      <w:r>
        <w:fldChar w:fldCharType="begin"/>
      </w:r>
      <w:r>
        <w:instrText>SEQ Figure \* ARABIC</w:instrText>
      </w:r>
      <w:r>
        <w:fldChar w:fldCharType="separate"/>
      </w:r>
      <w:r w:rsidR="006553F7">
        <w:rPr>
          <w:noProof/>
        </w:rPr>
        <w:t>38</w:t>
      </w:r>
      <w:r>
        <w:fldChar w:fldCharType="end"/>
      </w:r>
      <w:r>
        <w:t>: Pharmacist Workforce in Coventry and Warwickshire ICS</w:t>
      </w:r>
      <w:r>
        <w:br/>
        <w:t>Source: HEE</w:t>
      </w:r>
    </w:p>
    <w:p w14:paraId="27E0E5EA" w14:textId="24EB3355" w:rsidR="004E283F" w:rsidRPr="004E283F" w:rsidRDefault="00974ED4" w:rsidP="004E283F">
      <w:r>
        <w:t>HEE have undertaken a Community Pharmacy Workforce Survey in 2021, with results expected to be published in early 2022.</w:t>
      </w:r>
      <w:r w:rsidR="005371F4">
        <w:t xml:space="preserve"> This</w:t>
      </w:r>
      <w:r w:rsidR="004E283F" w:rsidRPr="004E283F">
        <w:t xml:space="preserve"> will form part of a Community Pharmacy dashboard that can be shared with external stakeholders via the HEE eProduct platform.  The dashboard is in draft stage and has been shared within HEE for comments and recommended updates, with a view for publication in Summer 2022.</w:t>
      </w:r>
    </w:p>
    <w:p w14:paraId="58CA302E" w14:textId="4566F56E" w:rsidR="00317685" w:rsidRPr="004E283F" w:rsidRDefault="004E283F" w:rsidP="004E283F">
      <w:r w:rsidRPr="004E283F">
        <w:t xml:space="preserve">HEE are undertaking discussions to understand the possibility of undertaking an annual survey of community pharmacy workforce to support understanding of challenges </w:t>
      </w:r>
      <w:r w:rsidR="00EB369C" w:rsidRPr="004E283F">
        <w:t>and</w:t>
      </w:r>
      <w:r w:rsidRPr="004E283F">
        <w:t xml:space="preserve"> improve data completion/quality.  This is at the early stage, however, there is an appetite for this to be taken forward as it has been discussed at the Midlands Pharmacy Workforce Network</w:t>
      </w:r>
      <w:r w:rsidR="00AC7C7B">
        <w:t>.</w:t>
      </w:r>
    </w:p>
    <w:p w14:paraId="6BE74C66" w14:textId="77777777" w:rsidR="004E283F" w:rsidRDefault="004E283F" w:rsidP="007212E0">
      <w:pPr>
        <w:rPr>
          <w:color w:val="477CBF"/>
        </w:rPr>
      </w:pPr>
    </w:p>
    <w:p w14:paraId="54423105" w14:textId="04D0C961" w:rsidR="00A43B98" w:rsidRPr="00A43B98" w:rsidRDefault="00A43B98" w:rsidP="007212E0">
      <w:pPr>
        <w:rPr>
          <w:color w:val="477CBF"/>
        </w:rPr>
      </w:pPr>
      <w:r w:rsidRPr="00A43B98">
        <w:rPr>
          <w:color w:val="477CBF"/>
        </w:rPr>
        <w:t>Conclusion on Access to Pharmacies</w:t>
      </w:r>
    </w:p>
    <w:p w14:paraId="72E0865D" w14:textId="77777777" w:rsidR="00E1111B" w:rsidRDefault="00E206C8">
      <w:pPr>
        <w:spacing w:before="200" w:after="200" w:line="276" w:lineRule="auto"/>
      </w:pPr>
      <w:r>
        <w:t>Pharmacies with</w:t>
      </w:r>
      <w:r w:rsidR="002E1E32">
        <w:t xml:space="preserve">in Coventry and Warwickshire are well geographically distributed by population density and levels of deprivation. </w:t>
      </w:r>
      <w:r w:rsidR="009224C8">
        <w:t xml:space="preserve">Opening hours indicate a good level of access during usual working </w:t>
      </w:r>
      <w:r w:rsidR="002556AB">
        <w:t xml:space="preserve">hours, </w:t>
      </w:r>
      <w:r w:rsidR="008A004C">
        <w:t xml:space="preserve">and on weekends and evenings across the </w:t>
      </w:r>
      <w:r w:rsidR="008E093C">
        <w:t>Coventry and Warwickshire</w:t>
      </w:r>
      <w:r w:rsidR="008A004C">
        <w:t xml:space="preserve">. </w:t>
      </w:r>
      <w:r w:rsidR="008E093C">
        <w:t>Cross border availability of pharmaceutical services is also significant across Coventry and Warwickshire.</w:t>
      </w:r>
    </w:p>
    <w:p w14:paraId="6F5D6EFF" w14:textId="77777777" w:rsidR="00364960" w:rsidRDefault="00E1111B">
      <w:pPr>
        <w:spacing w:before="200" w:after="200" w:line="276" w:lineRule="auto"/>
      </w:pPr>
      <w:r>
        <w:t xml:space="preserve">It will be important to monitor the pressures on pharmacies and how this may impact on the workforce, particularly </w:t>
      </w:r>
      <w:r w:rsidR="00F75747">
        <w:t>with</w:t>
      </w:r>
      <w:r>
        <w:t xml:space="preserve"> the </w:t>
      </w:r>
      <w:r w:rsidR="00F75747">
        <w:t>cost-</w:t>
      </w:r>
      <w:r>
        <w:t>of</w:t>
      </w:r>
      <w:r w:rsidR="00F75747">
        <w:t xml:space="preserve">-living crisis further impacting pressures </w:t>
      </w:r>
      <w:r w:rsidR="00763848">
        <w:t>that have built up due to the COVID-19 pandemic</w:t>
      </w:r>
      <w:r>
        <w:t xml:space="preserve">. </w:t>
      </w:r>
      <w:r w:rsidR="00242B0D">
        <w:t>Supporting surveillance through the</w:t>
      </w:r>
      <w:r w:rsidR="00866CC1">
        <w:t xml:space="preserve"> annual HEE Community Pharmacy Workforce Survey</w:t>
      </w:r>
      <w:r w:rsidR="00F30829">
        <w:t xml:space="preserve"> will help to improve and understand data on this issue.</w:t>
      </w:r>
    </w:p>
    <w:p w14:paraId="1B9E332C" w14:textId="23D9D778" w:rsidR="002B3F13" w:rsidRPr="0076402D" w:rsidRDefault="00364960">
      <w:pPr>
        <w:spacing w:before="200" w:after="200" w:line="276" w:lineRule="auto"/>
      </w:pPr>
      <w:r>
        <w:lastRenderedPageBreak/>
        <w:t xml:space="preserve">Consideration should be made to population increases and </w:t>
      </w:r>
      <w:r w:rsidR="003C05CA">
        <w:t xml:space="preserve">significant </w:t>
      </w:r>
      <w:r w:rsidR="00637A59">
        <w:t>housing developments</w:t>
      </w:r>
      <w:r>
        <w:t xml:space="preserve"> being built as described in the “Households &amp; Housing Development Projections” section of the “Local Picture” chapter. </w:t>
      </w:r>
      <w:r w:rsidR="00D54EF2">
        <w:br w:type="page"/>
      </w:r>
    </w:p>
    <w:p w14:paraId="4C86712C" w14:textId="4C22594E" w:rsidR="00D54EF2" w:rsidRDefault="00D54EF2" w:rsidP="00D54EF2">
      <w:pPr>
        <w:pStyle w:val="Heading1"/>
      </w:pPr>
      <w:bookmarkStart w:id="54" w:name="_Toc113628611"/>
      <w:r>
        <w:lastRenderedPageBreak/>
        <w:t>Pharmacy Services</w:t>
      </w:r>
      <w:bookmarkEnd w:id="54"/>
    </w:p>
    <w:p w14:paraId="4EEE1583" w14:textId="48D317A2" w:rsidR="00D54EF2" w:rsidRDefault="00D54EF2" w:rsidP="00D54EF2">
      <w:r>
        <w:t>Community pharmacies provide a wide array of services</w:t>
      </w:r>
      <w:r w:rsidR="004D2282">
        <w:t xml:space="preserve"> that are defined/commissioned in different ways:</w:t>
      </w:r>
    </w:p>
    <w:p w14:paraId="2B18D015" w14:textId="6B58BC18" w:rsidR="004D2282" w:rsidRDefault="004D2282" w:rsidP="008D3B10">
      <w:pPr>
        <w:pStyle w:val="ListParagraph"/>
        <w:numPr>
          <w:ilvl w:val="0"/>
          <w:numId w:val="37"/>
        </w:numPr>
      </w:pPr>
      <w:r>
        <w:t>Essential Services – services which all pharmacies must provide as part of the CPCF regulations.</w:t>
      </w:r>
    </w:p>
    <w:p w14:paraId="71317DAD" w14:textId="25455B4D" w:rsidR="004D2282" w:rsidRDefault="004D2282" w:rsidP="008D3B10">
      <w:pPr>
        <w:pStyle w:val="ListParagraph"/>
        <w:numPr>
          <w:ilvl w:val="0"/>
          <w:numId w:val="37"/>
        </w:numPr>
      </w:pPr>
      <w:r>
        <w:t>Advanced Services – services the CPCF regulations allow pharmacies to opt in to providing.</w:t>
      </w:r>
    </w:p>
    <w:p w14:paraId="0D8375FB" w14:textId="0E52168D" w:rsidR="004D2282" w:rsidRPr="00D54EF2" w:rsidRDefault="004D2282" w:rsidP="008D3B10">
      <w:pPr>
        <w:pStyle w:val="ListParagraph"/>
        <w:numPr>
          <w:ilvl w:val="0"/>
          <w:numId w:val="37"/>
        </w:numPr>
      </w:pPr>
      <w:r>
        <w:t xml:space="preserve">Enhanced and Locally Commissioned services </w:t>
      </w:r>
      <w:r w:rsidR="00E94F76">
        <w:t>–</w:t>
      </w:r>
      <w:r>
        <w:t xml:space="preserve"> </w:t>
      </w:r>
      <w:r w:rsidR="00E94F76">
        <w:t xml:space="preserve">Services that are either commissioned by NHS England (enhanced services) or commissioned by a </w:t>
      </w:r>
      <w:r w:rsidR="000E5536">
        <w:t>ICB</w:t>
      </w:r>
      <w:r w:rsidR="00E94F76">
        <w:t xml:space="preserve"> or Local Authority (locally commissioned services). </w:t>
      </w:r>
    </w:p>
    <w:p w14:paraId="7B768DA4" w14:textId="7DBCBC08" w:rsidR="00A6022E" w:rsidRDefault="00A6022E" w:rsidP="00A6022E">
      <w:pPr>
        <w:pStyle w:val="Heading2"/>
      </w:pPr>
      <w:bookmarkStart w:id="55" w:name="_Toc113628612"/>
      <w:r>
        <w:t>Essential Services</w:t>
      </w:r>
      <w:bookmarkEnd w:id="55"/>
    </w:p>
    <w:p w14:paraId="10343A74" w14:textId="32F488D1" w:rsidR="00A6022E" w:rsidRDefault="00B27A86" w:rsidP="00A6022E">
      <w:r>
        <w:t xml:space="preserve">There are </w:t>
      </w:r>
      <w:r w:rsidR="009C4CE8">
        <w:t>9</w:t>
      </w:r>
      <w:r>
        <w:t xml:space="preserve"> essential services</w:t>
      </w:r>
      <w:r w:rsidR="00762F4C">
        <w:rPr>
          <w:rStyle w:val="FootnoteReference"/>
        </w:rPr>
        <w:footnoteReference w:id="40"/>
      </w:r>
      <w:r>
        <w:t xml:space="preserve"> which are summarised in the table below. All of the community pharmacies in Coventry and Warwickshire are </w:t>
      </w:r>
      <w:r w:rsidR="0041313B">
        <w:t>required</w:t>
      </w:r>
      <w:r>
        <w:t xml:space="preserve"> to provide these services a</w:t>
      </w:r>
      <w:r w:rsidR="0041313B">
        <w:t xml:space="preserve">s part of the CPCF regulations. </w:t>
      </w:r>
    </w:p>
    <w:tbl>
      <w:tblPr>
        <w:tblStyle w:val="TableGrid"/>
        <w:tblW w:w="10188" w:type="dxa"/>
        <w:tblLayout w:type="fixed"/>
        <w:tblLook w:val="04A0" w:firstRow="1" w:lastRow="0" w:firstColumn="1" w:lastColumn="0" w:noHBand="0" w:noVBand="1"/>
      </w:tblPr>
      <w:tblGrid>
        <w:gridCol w:w="2235"/>
        <w:gridCol w:w="7953"/>
      </w:tblGrid>
      <w:tr w:rsidR="00FF4655" w14:paraId="2B978D2C" w14:textId="77777777" w:rsidTr="00F8346A">
        <w:tc>
          <w:tcPr>
            <w:tcW w:w="2235" w:type="dxa"/>
          </w:tcPr>
          <w:p w14:paraId="31D40C36" w14:textId="2CF3CC48" w:rsidR="00FF4655" w:rsidRPr="00465C5C" w:rsidRDefault="00AD0F91" w:rsidP="00A6022E">
            <w:pPr>
              <w:rPr>
                <w:b/>
                <w:bCs/>
              </w:rPr>
            </w:pPr>
            <w:r w:rsidRPr="00465C5C">
              <w:rPr>
                <w:b/>
                <w:bCs/>
              </w:rPr>
              <w:t>Essential Service</w:t>
            </w:r>
          </w:p>
        </w:tc>
        <w:tc>
          <w:tcPr>
            <w:tcW w:w="7953" w:type="dxa"/>
          </w:tcPr>
          <w:p w14:paraId="2EE53E66" w14:textId="33E66536" w:rsidR="00FF4655" w:rsidRPr="00465C5C" w:rsidRDefault="00AD0F91" w:rsidP="00A6022E">
            <w:pPr>
              <w:rPr>
                <w:b/>
                <w:bCs/>
              </w:rPr>
            </w:pPr>
            <w:r w:rsidRPr="00465C5C">
              <w:rPr>
                <w:b/>
                <w:bCs/>
              </w:rPr>
              <w:t>Description</w:t>
            </w:r>
          </w:p>
        </w:tc>
      </w:tr>
      <w:tr w:rsidR="00FF4655" w14:paraId="5889851F" w14:textId="77777777" w:rsidTr="00F8346A">
        <w:tc>
          <w:tcPr>
            <w:tcW w:w="2235" w:type="dxa"/>
          </w:tcPr>
          <w:p w14:paraId="700F9AB6" w14:textId="7F35424B" w:rsidR="00FF4655" w:rsidRDefault="00FF7EB6" w:rsidP="00375943">
            <w:pPr>
              <w:jc w:val="left"/>
            </w:pPr>
            <w:r>
              <w:t>Dispensing</w:t>
            </w:r>
            <w:r w:rsidR="00762F4C">
              <w:t xml:space="preserve"> (</w:t>
            </w:r>
            <w:r w:rsidR="007B70B7">
              <w:t xml:space="preserve">Split into 2 different essential services - </w:t>
            </w:r>
            <w:r w:rsidR="00762F4C">
              <w:t>Medicines and Appliances</w:t>
            </w:r>
            <w:r w:rsidR="007B70B7">
              <w:t>)</w:t>
            </w:r>
          </w:p>
        </w:tc>
        <w:tc>
          <w:tcPr>
            <w:tcW w:w="7953" w:type="dxa"/>
          </w:tcPr>
          <w:p w14:paraId="21AF2E22" w14:textId="37E75A50" w:rsidR="00FF4655" w:rsidRDefault="00FF7EB6" w:rsidP="00375943">
            <w:pPr>
              <w:jc w:val="left"/>
            </w:pPr>
            <w:r>
              <w:t xml:space="preserve">The safe supply of medicines or appliances ordered on NHS prescriptions. Advice </w:t>
            </w:r>
            <w:r w:rsidR="00465C5C">
              <w:t xml:space="preserve">is given to the patient about the medicines being dispensed and information on how to use them safely and effectively. Records are kept of all medicines dispensed and maintained. </w:t>
            </w:r>
          </w:p>
        </w:tc>
      </w:tr>
      <w:tr w:rsidR="00FF4655" w14:paraId="01242DAB" w14:textId="77777777" w:rsidTr="00F8346A">
        <w:tc>
          <w:tcPr>
            <w:tcW w:w="2235" w:type="dxa"/>
          </w:tcPr>
          <w:p w14:paraId="2EC4EE00" w14:textId="2EEB2647" w:rsidR="00FF4655" w:rsidRDefault="00465C5C" w:rsidP="00375943">
            <w:pPr>
              <w:jc w:val="left"/>
            </w:pPr>
            <w:r>
              <w:t>Repeat Dispensing</w:t>
            </w:r>
          </w:p>
        </w:tc>
        <w:tc>
          <w:tcPr>
            <w:tcW w:w="7953" w:type="dxa"/>
          </w:tcPr>
          <w:p w14:paraId="53EB3384" w14:textId="1226A2C4" w:rsidR="00FF4655" w:rsidRDefault="00465C5C" w:rsidP="00375943">
            <w:pPr>
              <w:jc w:val="left"/>
            </w:pPr>
            <w:r>
              <w:t xml:space="preserve">The management and dispensing of repeatable NHS prescriptions for up to one year, in partnership with the patient and prescriber. The patient will return to the pharmacy for repeat supplies, without first having to visit the GP surgery. Before dispensing </w:t>
            </w:r>
            <w:r w:rsidR="00375943">
              <w:t xml:space="preserve">each supply the pharmacy will ascertain the patient’s need for a repeat supply of a particular medicine and communicate any clinically significant issues to the prescriber. </w:t>
            </w:r>
          </w:p>
        </w:tc>
      </w:tr>
      <w:tr w:rsidR="009C4CE8" w14:paraId="2CBD05F1" w14:textId="77777777" w:rsidTr="00F8346A">
        <w:tc>
          <w:tcPr>
            <w:tcW w:w="2235" w:type="dxa"/>
          </w:tcPr>
          <w:p w14:paraId="126F3390" w14:textId="3BB5D486" w:rsidR="009C4CE8" w:rsidRDefault="009C4CE8" w:rsidP="00375943">
            <w:r>
              <w:t xml:space="preserve">Discharge </w:t>
            </w:r>
            <w:r>
              <w:lastRenderedPageBreak/>
              <w:t>Medicines Service</w:t>
            </w:r>
          </w:p>
        </w:tc>
        <w:tc>
          <w:tcPr>
            <w:tcW w:w="7953" w:type="dxa"/>
          </w:tcPr>
          <w:p w14:paraId="4F19D2E9" w14:textId="0B00B7FE" w:rsidR="009C4CE8" w:rsidRDefault="00AD5D6A" w:rsidP="00375943">
            <w:r>
              <w:lastRenderedPageBreak/>
              <w:t xml:space="preserve">The Discharge Medicines Service (DMS) was added as a new Essential </w:t>
            </w:r>
            <w:r>
              <w:lastRenderedPageBreak/>
              <w:t>service within the CPCF regulations on 15</w:t>
            </w:r>
            <w:r w:rsidRPr="00AD5D6A">
              <w:rPr>
                <w:vertAlign w:val="superscript"/>
              </w:rPr>
              <w:t>th</w:t>
            </w:r>
            <w:r>
              <w:t xml:space="preserve"> February 2021</w:t>
            </w:r>
            <w:r w:rsidR="0061786A">
              <w:t xml:space="preserve">. </w:t>
            </w:r>
            <w:r w:rsidR="005F43ED">
              <w:t>This service allows NHS Trusts to refer patients</w:t>
            </w:r>
            <w:r w:rsidR="00F23C11">
              <w:t xml:space="preserve"> who would benefit from extra guidance around newly prescribed medicines</w:t>
            </w:r>
            <w:r w:rsidR="00DB732C">
              <w:t xml:space="preserve"> to the DMS service at their community pharmacy. </w:t>
            </w:r>
            <w:r w:rsidR="0071740B">
              <w:t xml:space="preserve">This service aims to be a significant contributor </w:t>
            </w:r>
            <w:r w:rsidR="000504CC">
              <w:t xml:space="preserve">to the safety of patients transition from care, and aims to reduce readmissions to hospital. </w:t>
            </w:r>
          </w:p>
        </w:tc>
      </w:tr>
      <w:tr w:rsidR="00FF4655" w14:paraId="15720836" w14:textId="77777777" w:rsidTr="00F8346A">
        <w:tc>
          <w:tcPr>
            <w:tcW w:w="2235" w:type="dxa"/>
          </w:tcPr>
          <w:p w14:paraId="63F89D03" w14:textId="56CA07A5" w:rsidR="00FF4655" w:rsidRDefault="00375943" w:rsidP="00375943">
            <w:pPr>
              <w:jc w:val="left"/>
            </w:pPr>
            <w:r>
              <w:lastRenderedPageBreak/>
              <w:t>Promotion of Health Lifestyles (Public Health)</w:t>
            </w:r>
          </w:p>
        </w:tc>
        <w:tc>
          <w:tcPr>
            <w:tcW w:w="7953" w:type="dxa"/>
          </w:tcPr>
          <w:p w14:paraId="53AC5627" w14:textId="052BEA50" w:rsidR="00FF4655" w:rsidRDefault="00F41FB5" w:rsidP="00375943">
            <w:pPr>
              <w:jc w:val="left"/>
            </w:pPr>
            <w:r>
              <w:t xml:space="preserve">The provision </w:t>
            </w:r>
            <w:r w:rsidR="00C04C98">
              <w:t>of opportunistic one to one advice is given on healthy lifestyle topics, such as stopping smoking, to certain patient groups who present prescriptions for dispensing. These groups include diabetic patients, patients at risk of coronary heart disease</w:t>
            </w:r>
            <w:r w:rsidR="009E516E">
              <w:t xml:space="preserve">, especially those with high blood pressure, patients who smoke and patients who are overweight. Pharmacies must also support up to six local campaigns a year, organised by NHS England. Campaign examples may include topics such as promotion of flu vaccination uptake, healthy living, or stop smoking. </w:t>
            </w:r>
          </w:p>
        </w:tc>
      </w:tr>
      <w:tr w:rsidR="00FF4655" w14:paraId="57D7AD22" w14:textId="77777777" w:rsidTr="00F8346A">
        <w:tc>
          <w:tcPr>
            <w:tcW w:w="2235" w:type="dxa"/>
          </w:tcPr>
          <w:p w14:paraId="52B1C4A0" w14:textId="183AFE6F" w:rsidR="00FF4655" w:rsidRDefault="00D3231D" w:rsidP="00D3231D">
            <w:pPr>
              <w:jc w:val="left"/>
            </w:pPr>
            <w:r>
              <w:t>Disposal of unwanted medicines</w:t>
            </w:r>
          </w:p>
        </w:tc>
        <w:tc>
          <w:tcPr>
            <w:tcW w:w="7953" w:type="dxa"/>
          </w:tcPr>
          <w:p w14:paraId="08D11322" w14:textId="78838E87" w:rsidR="00FF4655" w:rsidRDefault="00D3231D" w:rsidP="00D3231D">
            <w:pPr>
              <w:jc w:val="left"/>
            </w:pPr>
            <w:r>
              <w:t>Community pharmacies accept unwanted medicines from households and individuals which require safe disposal. The medicines are then safely disposed of by a waste contractor engaged by NHS England. Pharmacies are not under any obligation to accept sharps under the terms of this essential service. Needle and syringe programmes are a locally commissioned service.</w:t>
            </w:r>
          </w:p>
        </w:tc>
      </w:tr>
      <w:tr w:rsidR="00FF4655" w14:paraId="6B2D8A54" w14:textId="77777777" w:rsidTr="00F8346A">
        <w:tc>
          <w:tcPr>
            <w:tcW w:w="2235" w:type="dxa"/>
          </w:tcPr>
          <w:p w14:paraId="0819CA85" w14:textId="037B26AE" w:rsidR="00FF4655" w:rsidRDefault="00D3231D" w:rsidP="00A6022E">
            <w:r>
              <w:t>Signposting</w:t>
            </w:r>
          </w:p>
        </w:tc>
        <w:tc>
          <w:tcPr>
            <w:tcW w:w="7953" w:type="dxa"/>
          </w:tcPr>
          <w:p w14:paraId="607B09A3" w14:textId="1439A6C9" w:rsidR="00FF4655" w:rsidRDefault="00D3231D" w:rsidP="00D3231D">
            <w:pPr>
              <w:jc w:val="left"/>
            </w:pPr>
            <w:r>
              <w:t xml:space="preserve">The provision of information provided by pharmacists and staff to refer patients to other healthcare professionals or care providers when appropriate. The service also includes referral on to other sources of help such as local or national support groups. </w:t>
            </w:r>
          </w:p>
        </w:tc>
      </w:tr>
      <w:tr w:rsidR="00FF4655" w14:paraId="4F2D9314" w14:textId="77777777" w:rsidTr="00F8346A">
        <w:tc>
          <w:tcPr>
            <w:tcW w:w="2235" w:type="dxa"/>
          </w:tcPr>
          <w:p w14:paraId="4D20A9BB" w14:textId="4AAB0902" w:rsidR="00FF4655" w:rsidRDefault="00D3231D" w:rsidP="00D3231D">
            <w:pPr>
              <w:jc w:val="left"/>
            </w:pPr>
            <w:r>
              <w:t>Support for Self-Care</w:t>
            </w:r>
          </w:p>
        </w:tc>
        <w:tc>
          <w:tcPr>
            <w:tcW w:w="7953" w:type="dxa"/>
          </w:tcPr>
          <w:p w14:paraId="791C5674" w14:textId="6CE63F8E" w:rsidR="00FF4655" w:rsidRDefault="00D3231D" w:rsidP="00D3231D">
            <w:pPr>
              <w:jc w:val="left"/>
            </w:pPr>
            <w:r>
              <w:t xml:space="preserve">The provision of advice and support by pharmacy staff to enable people to derive maximum benefit from caring for themselves or their families. The main focus is on self-limiting illness, but support for people with long-term conditions is also a feature of the service. </w:t>
            </w:r>
          </w:p>
        </w:tc>
      </w:tr>
      <w:tr w:rsidR="008D1D6B" w14:paraId="2612F3DE" w14:textId="77777777" w:rsidTr="00F8346A">
        <w:tc>
          <w:tcPr>
            <w:tcW w:w="2235" w:type="dxa"/>
          </w:tcPr>
          <w:p w14:paraId="514A9791" w14:textId="67911B8F" w:rsidR="008D1D6B" w:rsidRDefault="008D1D6B" w:rsidP="00D3231D">
            <w:r>
              <w:t>Clinical Governance</w:t>
            </w:r>
          </w:p>
        </w:tc>
        <w:tc>
          <w:tcPr>
            <w:tcW w:w="7953" w:type="dxa"/>
          </w:tcPr>
          <w:p w14:paraId="34B590E2" w14:textId="585A96F2" w:rsidR="000013DC" w:rsidRDefault="002D018A" w:rsidP="00D3231D">
            <w:r>
              <w:t>Adherence with clinical governance requirements is part of the terms of service for pharmacies</w:t>
            </w:r>
            <w:r w:rsidR="00F20FE7">
              <w:t xml:space="preserve">, as set out in Part 4 of the NHS (Pharmaceutical and Local Pharmaceutical Services) Regulations 2013. </w:t>
            </w:r>
            <w:r w:rsidR="007403DA">
              <w:t xml:space="preserve">These cover a </w:t>
            </w:r>
            <w:r w:rsidR="007403DA">
              <w:lastRenderedPageBreak/>
              <w:t>range o</w:t>
            </w:r>
            <w:r w:rsidR="005A6F24">
              <w:t>f quality related issues</w:t>
            </w:r>
            <w:r w:rsidR="00BE7DA9">
              <w:t xml:space="preserve"> </w:t>
            </w:r>
            <w:r w:rsidR="00F761F7">
              <w:t>as set out in the following links:</w:t>
            </w:r>
          </w:p>
          <w:p w14:paraId="62C25123" w14:textId="34E6CE28" w:rsidR="00F761F7" w:rsidRDefault="00B74C22" w:rsidP="00D3231D">
            <w:hyperlink r:id="rId78" w:history="1">
              <w:r w:rsidR="00684049" w:rsidRPr="006C4988">
                <w:rPr>
                  <w:rStyle w:val="Hyperlink"/>
                </w:rPr>
                <w:t>https://www.psnc.org.uk/wp-content/uploads/2013/07/Clinical_Governance_guidance_updated_final.pdf</w:t>
              </w:r>
            </w:hyperlink>
          </w:p>
          <w:p w14:paraId="64FEFB68" w14:textId="7CDAFC20" w:rsidR="00684049" w:rsidRDefault="00B74C22" w:rsidP="00D3231D">
            <w:hyperlink r:id="rId79" w:history="1">
              <w:r w:rsidR="000013DC" w:rsidRPr="006C4988">
                <w:rPr>
                  <w:rStyle w:val="Hyperlink"/>
                </w:rPr>
                <w:t>https://www.england.nhs.uk/publication/approved-particulars/</w:t>
              </w:r>
            </w:hyperlink>
          </w:p>
          <w:p w14:paraId="1C734479" w14:textId="6F7F27A4" w:rsidR="000013DC" w:rsidRDefault="00B74C22" w:rsidP="00D3231D">
            <w:hyperlink r:id="rId80" w:history="1">
              <w:r w:rsidR="003B3670" w:rsidRPr="006C4988">
                <w:rPr>
                  <w:rStyle w:val="Hyperlink"/>
                </w:rPr>
                <w:t>https://www.psnc.org.uk/wp-content/uploads/2013/07/service20spec20es8202020clinical20governance20_v1201020oct2004_.pdf</w:t>
              </w:r>
            </w:hyperlink>
          </w:p>
          <w:p w14:paraId="35A56B52" w14:textId="75AEA4EC" w:rsidR="00C11F7E" w:rsidRDefault="00B74C22" w:rsidP="00D3231D">
            <w:hyperlink r:id="rId81" w:history="1">
              <w:r w:rsidR="00C11F7E" w:rsidRPr="006C4988">
                <w:rPr>
                  <w:rStyle w:val="Hyperlink"/>
                </w:rPr>
                <w:t>https://psnc.org.uk/services-commissioning/psnc-briefings-services-and-commissioning/psnc-briefing-01514-changes-to-contractual-requirements-201415/</w:t>
              </w:r>
            </w:hyperlink>
            <w:r w:rsidR="00C11F7E">
              <w:t xml:space="preserve"> </w:t>
            </w:r>
          </w:p>
        </w:tc>
      </w:tr>
    </w:tbl>
    <w:p w14:paraId="1F872CEE" w14:textId="77777777" w:rsidR="00AC41AA" w:rsidRDefault="00AC41AA" w:rsidP="00A6022E"/>
    <w:p w14:paraId="3689BCEC" w14:textId="756E6637" w:rsidR="001F07A5" w:rsidRPr="001F07A5" w:rsidRDefault="001F07A5" w:rsidP="00A6022E">
      <w:pPr>
        <w:rPr>
          <w:color w:val="477CBF"/>
        </w:rPr>
      </w:pPr>
      <w:r w:rsidRPr="07EB773D">
        <w:rPr>
          <w:color w:val="477CBF" w:themeColor="accent1"/>
        </w:rPr>
        <w:t>Dispensing</w:t>
      </w:r>
    </w:p>
    <w:p w14:paraId="3AE29967" w14:textId="797A78D7" w:rsidR="00E57A82" w:rsidRPr="00F115E3" w:rsidRDefault="00F115E3" w:rsidP="00A6022E">
      <w:r>
        <w:t xml:space="preserve">Table </w:t>
      </w:r>
      <w:r w:rsidR="00F11E54">
        <w:t>6</w:t>
      </w:r>
      <w:r>
        <w:t xml:space="preserve"> shows </w:t>
      </w:r>
      <w:r w:rsidR="00642646">
        <w:t xml:space="preserve">the number of items dispensed in 2020/21 and 2021/22 in England and across Coventry and Warwickshire. </w:t>
      </w:r>
    </w:p>
    <w:tbl>
      <w:tblPr>
        <w:tblStyle w:val="GridTable7Colorful-Accent1"/>
        <w:tblW w:w="9060" w:type="dxa"/>
        <w:tblLook w:val="04A0" w:firstRow="1" w:lastRow="0" w:firstColumn="1" w:lastColumn="0" w:noHBand="0" w:noVBand="1"/>
      </w:tblPr>
      <w:tblGrid>
        <w:gridCol w:w="4620"/>
        <w:gridCol w:w="2220"/>
        <w:gridCol w:w="2220"/>
      </w:tblGrid>
      <w:tr w:rsidR="00216733" w:rsidRPr="00216733" w14:paraId="41835BDA" w14:textId="77777777" w:rsidTr="001B7C26">
        <w:trPr>
          <w:cnfStyle w:val="100000000000" w:firstRow="1" w:lastRow="0" w:firstColumn="0" w:lastColumn="0" w:oddVBand="0" w:evenVBand="0" w:oddHBand="0" w:evenHBand="0" w:firstRowFirstColumn="0" w:firstRowLastColumn="0" w:lastRowFirstColumn="0" w:lastRowLastColumn="0"/>
          <w:trHeight w:val="570"/>
        </w:trPr>
        <w:tc>
          <w:tcPr>
            <w:cnfStyle w:val="001000000100" w:firstRow="0" w:lastRow="0" w:firstColumn="1" w:lastColumn="0" w:oddVBand="0" w:evenVBand="0" w:oddHBand="0" w:evenHBand="0" w:firstRowFirstColumn="1" w:firstRowLastColumn="0" w:lastRowFirstColumn="0" w:lastRowLastColumn="0"/>
            <w:tcW w:w="4620" w:type="dxa"/>
            <w:hideMark/>
          </w:tcPr>
          <w:p w14:paraId="604CCC9C" w14:textId="75979EC5" w:rsidR="00216733" w:rsidRPr="00216733" w:rsidRDefault="00216733" w:rsidP="001B7C26">
            <w:pPr>
              <w:spacing w:before="0" w:after="0" w:line="240" w:lineRule="auto"/>
              <w:jc w:val="center"/>
              <w:rPr>
                <w:rFonts w:eastAsia="Times New Roman" w:cs="Arial"/>
                <w:i w:val="0"/>
                <w:iCs w:val="0"/>
                <w:szCs w:val="24"/>
              </w:rPr>
            </w:pPr>
            <w:r w:rsidRPr="001B7C26">
              <w:rPr>
                <w:rFonts w:eastAsia="Times New Roman" w:cs="Arial"/>
                <w:i w:val="0"/>
                <w:iCs w:val="0"/>
                <w:szCs w:val="24"/>
              </w:rPr>
              <w:t>Area</w:t>
            </w:r>
          </w:p>
        </w:tc>
        <w:tc>
          <w:tcPr>
            <w:tcW w:w="2220" w:type="dxa"/>
            <w:hideMark/>
          </w:tcPr>
          <w:p w14:paraId="7D525888" w14:textId="77777777" w:rsidR="00216733" w:rsidRPr="00216733" w:rsidRDefault="00216733" w:rsidP="00216733">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Prescription items dispensed 2020/21</w:t>
            </w:r>
          </w:p>
        </w:tc>
        <w:tc>
          <w:tcPr>
            <w:tcW w:w="2220" w:type="dxa"/>
            <w:hideMark/>
          </w:tcPr>
          <w:p w14:paraId="5B1B4DC5" w14:textId="77777777" w:rsidR="00216733" w:rsidRPr="00216733" w:rsidRDefault="00216733" w:rsidP="00216733">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Prescription items dispensed 2021/22</w:t>
            </w:r>
          </w:p>
        </w:tc>
      </w:tr>
      <w:tr w:rsidR="00216733" w:rsidRPr="00216733" w14:paraId="27080694" w14:textId="77777777" w:rsidTr="001B7C2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620" w:type="dxa"/>
            <w:noWrap/>
            <w:hideMark/>
          </w:tcPr>
          <w:p w14:paraId="67679981" w14:textId="77777777" w:rsidR="00216733" w:rsidRPr="00216733" w:rsidRDefault="00216733" w:rsidP="001B7C26">
            <w:pPr>
              <w:spacing w:before="0" w:after="0" w:line="240" w:lineRule="auto"/>
              <w:jc w:val="center"/>
              <w:rPr>
                <w:rFonts w:eastAsia="Times New Roman" w:cs="Arial"/>
                <w:i w:val="0"/>
                <w:iCs w:val="0"/>
                <w:color w:val="000000"/>
                <w:szCs w:val="24"/>
              </w:rPr>
            </w:pPr>
            <w:r w:rsidRPr="00216733">
              <w:rPr>
                <w:rFonts w:eastAsia="Times New Roman" w:cs="Arial"/>
                <w:i w:val="0"/>
                <w:iCs w:val="0"/>
                <w:color w:val="000000"/>
                <w:szCs w:val="24"/>
              </w:rPr>
              <w:t>England</w:t>
            </w:r>
          </w:p>
        </w:tc>
        <w:tc>
          <w:tcPr>
            <w:tcW w:w="2220" w:type="dxa"/>
            <w:noWrap/>
            <w:hideMark/>
          </w:tcPr>
          <w:p w14:paraId="0C78C581" w14:textId="77777777" w:rsidR="00216733" w:rsidRPr="00216733" w:rsidRDefault="00216733" w:rsidP="0021673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1,016,445,333</w:t>
            </w:r>
          </w:p>
        </w:tc>
        <w:tc>
          <w:tcPr>
            <w:tcW w:w="2220" w:type="dxa"/>
            <w:noWrap/>
            <w:hideMark/>
          </w:tcPr>
          <w:p w14:paraId="103D9EF6" w14:textId="77777777" w:rsidR="00216733" w:rsidRPr="00216733" w:rsidRDefault="00216733" w:rsidP="0021673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1,042,674,399</w:t>
            </w:r>
          </w:p>
        </w:tc>
      </w:tr>
      <w:tr w:rsidR="00216733" w:rsidRPr="00216733" w14:paraId="29194867" w14:textId="77777777" w:rsidTr="001B7C26">
        <w:trPr>
          <w:trHeight w:val="285"/>
        </w:trPr>
        <w:tc>
          <w:tcPr>
            <w:cnfStyle w:val="001000000000" w:firstRow="0" w:lastRow="0" w:firstColumn="1" w:lastColumn="0" w:oddVBand="0" w:evenVBand="0" w:oddHBand="0" w:evenHBand="0" w:firstRowFirstColumn="0" w:firstRowLastColumn="0" w:lastRowFirstColumn="0" w:lastRowLastColumn="0"/>
            <w:tcW w:w="4620" w:type="dxa"/>
            <w:noWrap/>
            <w:hideMark/>
          </w:tcPr>
          <w:p w14:paraId="79F132FB" w14:textId="77777777" w:rsidR="00216733" w:rsidRPr="00216733" w:rsidRDefault="00216733" w:rsidP="001B7C26">
            <w:pPr>
              <w:spacing w:before="0" w:after="0" w:line="240" w:lineRule="auto"/>
              <w:jc w:val="center"/>
              <w:rPr>
                <w:rFonts w:eastAsia="Times New Roman" w:cs="Arial"/>
                <w:i w:val="0"/>
                <w:iCs w:val="0"/>
                <w:color w:val="000000"/>
                <w:szCs w:val="24"/>
              </w:rPr>
            </w:pPr>
            <w:r w:rsidRPr="00216733">
              <w:rPr>
                <w:rFonts w:eastAsia="Times New Roman" w:cs="Arial"/>
                <w:i w:val="0"/>
                <w:iCs w:val="0"/>
                <w:color w:val="000000"/>
                <w:szCs w:val="24"/>
              </w:rPr>
              <w:t>Coventry and Warwickshire CCG</w:t>
            </w:r>
          </w:p>
        </w:tc>
        <w:tc>
          <w:tcPr>
            <w:tcW w:w="2220" w:type="dxa"/>
            <w:noWrap/>
            <w:hideMark/>
          </w:tcPr>
          <w:p w14:paraId="353DB182" w14:textId="77777777" w:rsidR="00216733" w:rsidRPr="00216733" w:rsidRDefault="00216733" w:rsidP="0021673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16,701,448</w:t>
            </w:r>
          </w:p>
        </w:tc>
        <w:tc>
          <w:tcPr>
            <w:tcW w:w="2220" w:type="dxa"/>
            <w:noWrap/>
            <w:hideMark/>
          </w:tcPr>
          <w:p w14:paraId="1ACF987A" w14:textId="77777777" w:rsidR="00216733" w:rsidRPr="00216733" w:rsidRDefault="00216733" w:rsidP="0021673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17,195,484</w:t>
            </w:r>
          </w:p>
        </w:tc>
      </w:tr>
      <w:tr w:rsidR="00216733" w:rsidRPr="00216733" w14:paraId="700606B7" w14:textId="77777777" w:rsidTr="001B7C2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620" w:type="dxa"/>
            <w:noWrap/>
            <w:hideMark/>
          </w:tcPr>
          <w:p w14:paraId="49FB6737" w14:textId="77777777" w:rsidR="00216733" w:rsidRPr="00216733" w:rsidRDefault="00216733" w:rsidP="001B7C26">
            <w:pPr>
              <w:spacing w:before="0" w:after="0" w:line="240" w:lineRule="auto"/>
              <w:jc w:val="center"/>
              <w:rPr>
                <w:rFonts w:eastAsia="Times New Roman" w:cs="Arial"/>
                <w:i w:val="0"/>
                <w:iCs w:val="0"/>
                <w:color w:val="000000"/>
                <w:szCs w:val="24"/>
              </w:rPr>
            </w:pPr>
            <w:r w:rsidRPr="00216733">
              <w:rPr>
                <w:rFonts w:eastAsia="Times New Roman" w:cs="Arial"/>
                <w:i w:val="0"/>
                <w:iCs w:val="0"/>
                <w:color w:val="000000"/>
                <w:szCs w:val="24"/>
              </w:rPr>
              <w:t>Coventry Place</w:t>
            </w:r>
          </w:p>
        </w:tc>
        <w:tc>
          <w:tcPr>
            <w:tcW w:w="2220" w:type="dxa"/>
            <w:noWrap/>
            <w:hideMark/>
          </w:tcPr>
          <w:p w14:paraId="4CB393FA" w14:textId="77777777" w:rsidR="00216733" w:rsidRPr="00216733" w:rsidRDefault="00216733" w:rsidP="0021673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6,641,168</w:t>
            </w:r>
          </w:p>
        </w:tc>
        <w:tc>
          <w:tcPr>
            <w:tcW w:w="2220" w:type="dxa"/>
            <w:noWrap/>
            <w:hideMark/>
          </w:tcPr>
          <w:p w14:paraId="2040C659" w14:textId="77777777" w:rsidR="00216733" w:rsidRPr="00216733" w:rsidRDefault="00216733" w:rsidP="0021673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6,814,810</w:t>
            </w:r>
          </w:p>
        </w:tc>
      </w:tr>
      <w:tr w:rsidR="00216733" w:rsidRPr="00216733" w14:paraId="5A95BC03" w14:textId="77777777" w:rsidTr="001B7C26">
        <w:trPr>
          <w:trHeight w:val="285"/>
        </w:trPr>
        <w:tc>
          <w:tcPr>
            <w:cnfStyle w:val="001000000000" w:firstRow="0" w:lastRow="0" w:firstColumn="1" w:lastColumn="0" w:oddVBand="0" w:evenVBand="0" w:oddHBand="0" w:evenHBand="0" w:firstRowFirstColumn="0" w:firstRowLastColumn="0" w:lastRowFirstColumn="0" w:lastRowLastColumn="0"/>
            <w:tcW w:w="4620" w:type="dxa"/>
            <w:noWrap/>
            <w:hideMark/>
          </w:tcPr>
          <w:p w14:paraId="323C9823" w14:textId="28541484" w:rsidR="00216733" w:rsidRPr="00216733" w:rsidRDefault="00216733" w:rsidP="001B7C26">
            <w:pPr>
              <w:spacing w:before="0" w:after="0" w:line="240" w:lineRule="auto"/>
              <w:jc w:val="center"/>
              <w:rPr>
                <w:rFonts w:eastAsia="Times New Roman" w:cs="Arial"/>
                <w:i w:val="0"/>
                <w:iCs w:val="0"/>
                <w:color w:val="000000"/>
                <w:szCs w:val="24"/>
              </w:rPr>
            </w:pPr>
            <w:r w:rsidRPr="00216733">
              <w:rPr>
                <w:rFonts w:eastAsia="Times New Roman" w:cs="Arial"/>
                <w:i w:val="0"/>
                <w:iCs w:val="0"/>
                <w:color w:val="000000"/>
                <w:szCs w:val="24"/>
              </w:rPr>
              <w:t xml:space="preserve">Warwickshire (Rugby, </w:t>
            </w:r>
            <w:r w:rsidR="00254EFE">
              <w:rPr>
                <w:rFonts w:eastAsia="Times New Roman" w:cs="Arial"/>
                <w:i w:val="0"/>
                <w:iCs w:val="0"/>
                <w:color w:val="000000"/>
                <w:szCs w:val="24"/>
              </w:rPr>
              <w:t xml:space="preserve">Warwickshire </w:t>
            </w:r>
            <w:r w:rsidR="00026EA4">
              <w:rPr>
                <w:rFonts w:eastAsia="Times New Roman" w:cs="Arial"/>
                <w:i w:val="0"/>
                <w:iCs w:val="0"/>
                <w:color w:val="000000"/>
                <w:szCs w:val="24"/>
              </w:rPr>
              <w:t>North</w:t>
            </w:r>
            <w:r w:rsidR="00026EA4">
              <w:rPr>
                <w:rFonts w:eastAsia="Times New Roman" w:cs="Arial"/>
                <w:color w:val="000000"/>
                <w:szCs w:val="24"/>
              </w:rPr>
              <w:t>,</w:t>
            </w:r>
            <w:r w:rsidRPr="00216733">
              <w:rPr>
                <w:rFonts w:eastAsia="Times New Roman" w:cs="Arial"/>
                <w:i w:val="0"/>
                <w:iCs w:val="0"/>
                <w:color w:val="000000"/>
                <w:szCs w:val="24"/>
              </w:rPr>
              <w:t xml:space="preserve"> and </w:t>
            </w:r>
            <w:r w:rsidR="00254EFE">
              <w:rPr>
                <w:rFonts w:eastAsia="Times New Roman" w:cs="Arial"/>
                <w:i w:val="0"/>
                <w:iCs w:val="0"/>
                <w:color w:val="000000"/>
                <w:szCs w:val="24"/>
              </w:rPr>
              <w:t>South Warwickshire</w:t>
            </w:r>
            <w:r w:rsidRPr="00216733">
              <w:rPr>
                <w:rFonts w:eastAsia="Times New Roman" w:cs="Arial"/>
                <w:i w:val="0"/>
                <w:iCs w:val="0"/>
                <w:color w:val="000000"/>
                <w:szCs w:val="24"/>
              </w:rPr>
              <w:t xml:space="preserve"> places)</w:t>
            </w:r>
          </w:p>
        </w:tc>
        <w:tc>
          <w:tcPr>
            <w:tcW w:w="2220" w:type="dxa"/>
            <w:noWrap/>
            <w:hideMark/>
          </w:tcPr>
          <w:p w14:paraId="59A541B8" w14:textId="77777777" w:rsidR="00216733" w:rsidRPr="00216733" w:rsidRDefault="00216733" w:rsidP="0021673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10,060,280</w:t>
            </w:r>
          </w:p>
        </w:tc>
        <w:tc>
          <w:tcPr>
            <w:tcW w:w="2220" w:type="dxa"/>
            <w:noWrap/>
            <w:hideMark/>
          </w:tcPr>
          <w:p w14:paraId="33D702DE" w14:textId="77777777" w:rsidR="00216733" w:rsidRPr="00216733" w:rsidRDefault="00216733" w:rsidP="0021673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216733">
              <w:rPr>
                <w:rFonts w:eastAsia="Times New Roman" w:cs="Arial"/>
                <w:color w:val="000000"/>
                <w:szCs w:val="24"/>
              </w:rPr>
              <w:t>10,380,674</w:t>
            </w:r>
          </w:p>
        </w:tc>
      </w:tr>
    </w:tbl>
    <w:p w14:paraId="45F22152" w14:textId="44FF8964" w:rsidR="00DE5012" w:rsidRDefault="00F11E54" w:rsidP="00F11E54">
      <w:pPr>
        <w:pStyle w:val="Caption"/>
      </w:pPr>
      <w:r>
        <w:t xml:space="preserve">Table </w:t>
      </w:r>
      <w:r>
        <w:fldChar w:fldCharType="begin"/>
      </w:r>
      <w:r>
        <w:instrText>SEQ Table \* ARABIC</w:instrText>
      </w:r>
      <w:r>
        <w:fldChar w:fldCharType="separate"/>
      </w:r>
      <w:r w:rsidR="00AC4C6D">
        <w:rPr>
          <w:noProof/>
        </w:rPr>
        <w:t>6</w:t>
      </w:r>
      <w:r>
        <w:fldChar w:fldCharType="end"/>
      </w:r>
      <w:r>
        <w:t>: Number of items dispensed in 2020/21 and 2021/22 in England, Coventry and Warwickshire</w:t>
      </w:r>
      <w:r>
        <w:br/>
        <w:t xml:space="preserve">Source: </w:t>
      </w:r>
      <w:r w:rsidR="00987E2A">
        <w:t>NHS BSA</w:t>
      </w:r>
    </w:p>
    <w:p w14:paraId="544711A9" w14:textId="7D9E88C6" w:rsidR="00962369" w:rsidRPr="00B27511" w:rsidRDefault="00B27511" w:rsidP="00A6022E">
      <w:r>
        <w:t>Results from the 1,601</w:t>
      </w:r>
      <w:r w:rsidR="00014704">
        <w:t xml:space="preserve"> respondents of the public survey showed that out of the essential services 86% of respondents were aware </w:t>
      </w:r>
      <w:r w:rsidR="00561FBA">
        <w:t>they could discuss prescriptions, 70% were aware th</w:t>
      </w:r>
      <w:r w:rsidR="0039797A">
        <w:t xml:space="preserve">ey could get new prescriptions, 87% were aware of the disposal of old medicines service, and 65% were aware that the local pharmacy team can provide healthy living advice. </w:t>
      </w:r>
    </w:p>
    <w:p w14:paraId="75F59637" w14:textId="77777777" w:rsidR="00962369" w:rsidRPr="00962369" w:rsidRDefault="00962369" w:rsidP="00A6022E">
      <w:pPr>
        <w:rPr>
          <w:color w:val="FF0000"/>
        </w:rPr>
      </w:pPr>
    </w:p>
    <w:p w14:paraId="51F05FBB" w14:textId="463C5C73" w:rsidR="00E57A82" w:rsidRDefault="00E57A82" w:rsidP="00A6022E">
      <w:pPr>
        <w:rPr>
          <w:color w:val="477CBF"/>
        </w:rPr>
      </w:pPr>
      <w:r>
        <w:rPr>
          <w:color w:val="477CBF"/>
        </w:rPr>
        <w:t>Cross Border Dispensing</w:t>
      </w:r>
    </w:p>
    <w:p w14:paraId="2002C8EE" w14:textId="3B302477" w:rsidR="00DA64ED" w:rsidRDefault="00BB46BE" w:rsidP="00BB46BE">
      <w:r w:rsidRPr="10AFC29C">
        <w:t>The cross-border pharmacies help to service some areas in Coventry and Warwickshire. As noted in the pharmacy accessibility section of this PNA, the areas not covered by 15-minute drive time are largely rural with low population density.</w:t>
      </w:r>
      <w:r w:rsidR="003B2E17">
        <w:t xml:space="preserve"> Figure </w:t>
      </w:r>
      <w:r w:rsidR="00F11E54">
        <w:t>3</w:t>
      </w:r>
      <w:r w:rsidR="00703DFB">
        <w:t>9</w:t>
      </w:r>
      <w:r w:rsidR="003B2E17">
        <w:t xml:space="preserve"> shows the provision from </w:t>
      </w:r>
      <w:r w:rsidR="003B2E17">
        <w:lastRenderedPageBreak/>
        <w:t xml:space="preserve">pharmacies </w:t>
      </w:r>
      <w:r w:rsidR="0050315F">
        <w:t>outside of</w:t>
      </w:r>
      <w:r w:rsidR="003B2E17">
        <w:t xml:space="preserve"> the </w:t>
      </w:r>
      <w:r w:rsidR="0050315F">
        <w:t>Warwickshire boundary (solid orange line) to a distance of 5km (dashed orange line)</w:t>
      </w:r>
      <w:r w:rsidR="004F2390">
        <w:t>.</w:t>
      </w:r>
      <w:r w:rsidRPr="10AFC29C">
        <w:t xml:space="preserve"> For more information</w:t>
      </w:r>
      <w:r w:rsidR="00A10D7D">
        <w:t xml:space="preserve"> on these pharmacies</w:t>
      </w:r>
      <w:r w:rsidRPr="10AFC29C">
        <w:t xml:space="preserve">, please see the </w:t>
      </w:r>
      <w:r w:rsidR="00D6071E">
        <w:t>relevant</w:t>
      </w:r>
      <w:r w:rsidRPr="10AFC29C">
        <w:t xml:space="preserve"> PNAs. </w:t>
      </w:r>
    </w:p>
    <w:p w14:paraId="20C869DC" w14:textId="6A998EA9" w:rsidR="00BB46BE" w:rsidRDefault="00391724" w:rsidP="00A6022E">
      <w:r>
        <w:rPr>
          <w:noProof/>
        </w:rPr>
        <w:drawing>
          <wp:inline distT="0" distB="0" distL="0" distR="0" wp14:anchorId="7DD72AED" wp14:editId="5974F2C5">
            <wp:extent cx="5029200" cy="7097366"/>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82">
                      <a:extLst>
                        <a:ext uri="{28A0092B-C50C-407E-A947-70E740481C1C}">
                          <a14:useLocalDpi xmlns:a14="http://schemas.microsoft.com/office/drawing/2010/main" val="0"/>
                        </a:ext>
                      </a:extLst>
                    </a:blip>
                    <a:stretch>
                      <a:fillRect/>
                    </a:stretch>
                  </pic:blipFill>
                  <pic:spPr>
                    <a:xfrm>
                      <a:off x="0" y="0"/>
                      <a:ext cx="5050585" cy="7127545"/>
                    </a:xfrm>
                    <a:prstGeom prst="rect">
                      <a:avLst/>
                    </a:prstGeom>
                  </pic:spPr>
                </pic:pic>
              </a:graphicData>
            </a:graphic>
          </wp:inline>
        </w:drawing>
      </w:r>
    </w:p>
    <w:p w14:paraId="051D5DD6" w14:textId="673EB135" w:rsidR="00F11E54" w:rsidRDefault="00F11E54" w:rsidP="00F11E54">
      <w:pPr>
        <w:pStyle w:val="Caption"/>
      </w:pPr>
      <w:r>
        <w:t xml:space="preserve">Figure </w:t>
      </w:r>
      <w:r>
        <w:fldChar w:fldCharType="begin"/>
      </w:r>
      <w:r>
        <w:instrText>SEQ Figure \* ARABIC</w:instrText>
      </w:r>
      <w:r>
        <w:fldChar w:fldCharType="separate"/>
      </w:r>
      <w:r w:rsidR="006553F7">
        <w:rPr>
          <w:noProof/>
        </w:rPr>
        <w:t>39</w:t>
      </w:r>
      <w:r>
        <w:fldChar w:fldCharType="end"/>
      </w:r>
      <w:r>
        <w:t>: Location of pharmacies within Coventry and Warwickshire and within 5km outside of Coventry and Warwickshire</w:t>
      </w:r>
      <w:r>
        <w:br/>
        <w:t>Source: SHAPE</w:t>
      </w:r>
    </w:p>
    <w:p w14:paraId="723C7AB3" w14:textId="77777777" w:rsidR="003B17B2" w:rsidRDefault="003B17B2" w:rsidP="00BB46BE"/>
    <w:p w14:paraId="085CA0F3" w14:textId="6C9F8FEE" w:rsidR="00AA6D41" w:rsidRDefault="00E57A82" w:rsidP="00A6022E">
      <w:pPr>
        <w:rPr>
          <w:color w:val="477CBF"/>
        </w:rPr>
      </w:pPr>
      <w:r>
        <w:rPr>
          <w:color w:val="477CBF"/>
        </w:rPr>
        <w:t>Appliances</w:t>
      </w:r>
    </w:p>
    <w:p w14:paraId="0A1D1C72" w14:textId="542C2957" w:rsidR="00BF0A8A" w:rsidRDefault="006A3310" w:rsidP="00E77C30">
      <w:pPr>
        <w:spacing w:line="276" w:lineRule="auto"/>
      </w:pPr>
      <w:r>
        <w:t xml:space="preserve">Appliances can be dispensed by any pharmacy or appliance contractor and can be broadly categorised as stoma appliances, incontinence appliances, and dressings. </w:t>
      </w:r>
      <w:r w:rsidR="000E7CFF">
        <w:t xml:space="preserve">There is 1 dispensing appliance contractor in Coventry and </w:t>
      </w:r>
      <w:r w:rsidR="005D166A">
        <w:t xml:space="preserve">0 in </w:t>
      </w:r>
      <w:r w:rsidR="000E7CFF">
        <w:t xml:space="preserve">Warwickshire. </w:t>
      </w:r>
      <w:r w:rsidR="002070DD">
        <w:t>Results from the pharmacy survey show that of the 161 pharmacies that responded to the survey</w:t>
      </w:r>
      <w:r w:rsidR="0086353E">
        <w:t xml:space="preserve">, 159 (98%) dispense appliances. </w:t>
      </w:r>
    </w:p>
    <w:p w14:paraId="4EE71300" w14:textId="79454584" w:rsidR="00BF0A8A" w:rsidRDefault="00BF0A8A" w:rsidP="00A6022E"/>
    <w:p w14:paraId="56E74D30" w14:textId="2D51DF68" w:rsidR="10AFC29C" w:rsidRPr="002740E4" w:rsidRDefault="10AFC29C" w:rsidP="10AFC29C">
      <w:pPr>
        <w:rPr>
          <w:rFonts w:eastAsia="MS Mincho" w:cs="Arial"/>
          <w:color w:val="477CBF"/>
          <w:szCs w:val="24"/>
        </w:rPr>
      </w:pPr>
      <w:r w:rsidRPr="002740E4">
        <w:rPr>
          <w:rFonts w:eastAsia="MS Mincho" w:cs="Arial"/>
          <w:color w:val="477CBF"/>
          <w:szCs w:val="24"/>
        </w:rPr>
        <w:t>Prevention and Health Promotion</w:t>
      </w:r>
    </w:p>
    <w:p w14:paraId="756DA813" w14:textId="72FC8E2E" w:rsidR="00935E09" w:rsidRPr="00FE2EE5" w:rsidRDefault="00935E09" w:rsidP="00E77C30">
      <w:pPr>
        <w:pStyle w:val="NormalWeb"/>
        <w:spacing w:line="276" w:lineRule="auto"/>
        <w:jc w:val="both"/>
        <w:rPr>
          <w:rFonts w:ascii="Arial" w:hAnsi="Arial" w:cs="Arial"/>
        </w:rPr>
      </w:pPr>
      <w:r w:rsidRPr="00FE2EE5">
        <w:rPr>
          <w:rFonts w:ascii="Arial" w:hAnsi="Arial" w:cs="Arial"/>
        </w:rPr>
        <w:t>Each financial year (1st April to 31st March), pharmacies are required to participate in up to six health campaigns at the request of NHS England and NHS Improvement (NHSE&amp;I). This generally involves the display and distribution of leaflets provided by NHSE&amp;I.</w:t>
      </w:r>
    </w:p>
    <w:p w14:paraId="30452988" w14:textId="77777777" w:rsidR="00FE2EE5" w:rsidRPr="00FE2EE5" w:rsidRDefault="00FE2EE5" w:rsidP="00E77C30">
      <w:pPr>
        <w:spacing w:before="100" w:beforeAutospacing="1" w:after="100" w:afterAutospacing="1" w:line="276" w:lineRule="auto"/>
        <w:jc w:val="both"/>
        <w:rPr>
          <w:rFonts w:eastAsia="Times New Roman" w:cs="Arial"/>
          <w:szCs w:val="24"/>
        </w:rPr>
      </w:pPr>
      <w:r w:rsidRPr="00FE2EE5">
        <w:rPr>
          <w:rFonts w:eastAsia="Times New Roman" w:cs="Arial"/>
          <w:szCs w:val="24"/>
        </w:rPr>
        <w:t>Where requested to do so by NHSE&amp;I, each pharmacy must record the number of people to whom information is provided as part of one of these campaigns. NHSE&amp;I can also ask for additional information in relation to the campaign.</w:t>
      </w:r>
    </w:p>
    <w:p w14:paraId="68570D49" w14:textId="77777777" w:rsidR="00FE2EE5" w:rsidRPr="00FE2EE5" w:rsidRDefault="00FE2EE5" w:rsidP="00E77C30">
      <w:pPr>
        <w:spacing w:before="100" w:beforeAutospacing="1" w:after="100" w:afterAutospacing="1" w:line="276" w:lineRule="auto"/>
        <w:rPr>
          <w:rFonts w:eastAsia="Times New Roman" w:cs="Arial"/>
          <w:szCs w:val="24"/>
        </w:rPr>
      </w:pPr>
      <w:r w:rsidRPr="00FE2EE5">
        <w:rPr>
          <w:rFonts w:eastAsia="Times New Roman" w:cs="Arial"/>
          <w:szCs w:val="24"/>
        </w:rPr>
        <w:t>Any additional information to be requested will initially be discussed with PSNC. The aim of requesting additional information will be to help to evaluate the impact of the campaign and to assist with future policy development. Contractors will be notified of the additional information which needs to be collected and supplied in advance of the campaign starting.</w:t>
      </w:r>
    </w:p>
    <w:p w14:paraId="2453CAD5" w14:textId="3E135562" w:rsidR="002B6187" w:rsidRDefault="00FE2EE5" w:rsidP="00E77C30">
      <w:pPr>
        <w:spacing w:before="100" w:beforeAutospacing="1" w:after="100" w:afterAutospacing="1" w:line="276" w:lineRule="auto"/>
        <w:jc w:val="both"/>
        <w:rPr>
          <w:rFonts w:eastAsia="Times New Roman" w:cs="Arial"/>
          <w:szCs w:val="24"/>
        </w:rPr>
      </w:pPr>
      <w:r w:rsidRPr="00FE2EE5">
        <w:rPr>
          <w:rFonts w:eastAsia="Times New Roman" w:cs="Arial"/>
          <w:szCs w:val="24"/>
        </w:rPr>
        <w:t>NHSE&amp;I can request that the information on the campaign is provided to them electronically.</w:t>
      </w:r>
    </w:p>
    <w:p w14:paraId="77F047E4" w14:textId="77777777" w:rsidR="001E796B" w:rsidRPr="001E796B" w:rsidRDefault="001E796B" w:rsidP="001E796B">
      <w:pPr>
        <w:spacing w:before="100" w:beforeAutospacing="1" w:after="100" w:afterAutospacing="1" w:line="240" w:lineRule="auto"/>
        <w:jc w:val="both"/>
        <w:rPr>
          <w:rFonts w:eastAsia="Times New Roman" w:cs="Arial"/>
          <w:szCs w:val="24"/>
        </w:rPr>
      </w:pPr>
    </w:p>
    <w:p w14:paraId="34F8BE3F" w14:textId="03914A6D" w:rsidR="002B6187" w:rsidRPr="002B6187" w:rsidRDefault="002B6187" w:rsidP="10AFC29C">
      <w:pPr>
        <w:rPr>
          <w:rFonts w:eastAsia="MS Mincho" w:cs="Arial"/>
          <w:color w:val="477CBF"/>
          <w:szCs w:val="24"/>
        </w:rPr>
      </w:pPr>
      <w:r w:rsidRPr="002B6187">
        <w:rPr>
          <w:rFonts w:eastAsia="MS Mincho" w:cs="Arial"/>
          <w:color w:val="477CBF"/>
          <w:szCs w:val="24"/>
        </w:rPr>
        <w:t>Conclusion on Essential Services</w:t>
      </w:r>
    </w:p>
    <w:p w14:paraId="06490FC6" w14:textId="67617D8B" w:rsidR="001E796B" w:rsidRPr="001E796B" w:rsidRDefault="00F96DA7" w:rsidP="00E77C30">
      <w:pPr>
        <w:spacing w:line="276" w:lineRule="auto"/>
        <w:rPr>
          <w:rFonts w:eastAsia="MS Mincho" w:cs="Arial"/>
          <w:szCs w:val="24"/>
        </w:rPr>
      </w:pPr>
      <w:r>
        <w:rPr>
          <w:rFonts w:eastAsia="MS Mincho" w:cs="Arial"/>
          <w:szCs w:val="24"/>
        </w:rPr>
        <w:t>Essential Services are provided by all</w:t>
      </w:r>
      <w:r w:rsidR="006C7F52">
        <w:rPr>
          <w:rFonts w:eastAsia="MS Mincho" w:cs="Arial"/>
          <w:szCs w:val="24"/>
        </w:rPr>
        <w:t xml:space="preserve"> Coventry and</w:t>
      </w:r>
      <w:r>
        <w:rPr>
          <w:rFonts w:eastAsia="MS Mincho" w:cs="Arial"/>
          <w:szCs w:val="24"/>
        </w:rPr>
        <w:t xml:space="preserve"> Warwickshire pharmacy contractors. This includes dispensing of NHS prescriptions which is a fundamental service that is commissioned nationally by the NHS. As discussed with regard to pharmacy access, essential services appear to be accessible for the majority of</w:t>
      </w:r>
      <w:r w:rsidR="006C7F52">
        <w:rPr>
          <w:rFonts w:eastAsia="MS Mincho" w:cs="Arial"/>
          <w:szCs w:val="24"/>
        </w:rPr>
        <w:t xml:space="preserve"> Coventry and</w:t>
      </w:r>
      <w:r>
        <w:rPr>
          <w:rFonts w:eastAsia="MS Mincho" w:cs="Arial"/>
          <w:szCs w:val="24"/>
        </w:rPr>
        <w:t xml:space="preserve"> Warwickshire’s population both geographically and at different times of day. </w:t>
      </w:r>
      <w:r w:rsidR="006C7F52">
        <w:rPr>
          <w:rFonts w:eastAsia="MS Mincho" w:cs="Arial"/>
          <w:szCs w:val="24"/>
        </w:rPr>
        <w:t>Therefore,</w:t>
      </w:r>
      <w:r>
        <w:rPr>
          <w:rFonts w:eastAsia="MS Mincho" w:cs="Arial"/>
          <w:szCs w:val="24"/>
        </w:rPr>
        <w:t xml:space="preserve"> there are no gaps in the provision of essential service</w:t>
      </w:r>
      <w:r w:rsidR="006C7F52">
        <w:rPr>
          <w:rFonts w:eastAsia="MS Mincho" w:cs="Arial"/>
          <w:szCs w:val="24"/>
        </w:rPr>
        <w:t xml:space="preserve">s for Coventry and Warwickshire. </w:t>
      </w:r>
    </w:p>
    <w:p w14:paraId="3B70A804" w14:textId="77777777" w:rsidR="003B17B2" w:rsidRDefault="003B17B2" w:rsidP="10AFC29C">
      <w:pPr>
        <w:rPr>
          <w:rFonts w:eastAsia="MS Mincho" w:cs="Arial"/>
          <w:szCs w:val="24"/>
        </w:rPr>
      </w:pPr>
    </w:p>
    <w:p w14:paraId="71426326" w14:textId="77777777" w:rsidR="00311072" w:rsidRDefault="000B15D6" w:rsidP="000B15D6">
      <w:pPr>
        <w:pStyle w:val="Heading2"/>
      </w:pPr>
      <w:bookmarkStart w:id="56" w:name="_Toc113628613"/>
      <w:r>
        <w:lastRenderedPageBreak/>
        <w:t>Advanced Services</w:t>
      </w:r>
      <w:bookmarkEnd w:id="56"/>
      <w:r w:rsidR="003B2139">
        <w:t xml:space="preserve"> </w:t>
      </w:r>
    </w:p>
    <w:p w14:paraId="3ACA4CFD" w14:textId="5F23D9A4" w:rsidR="00B947EC" w:rsidRPr="007842E2" w:rsidRDefault="00453736" w:rsidP="00BC0430">
      <w:r>
        <w:t xml:space="preserve">In addition to essential services, the CPCF allows community pharmacies to opt to provide any of </w:t>
      </w:r>
      <w:r w:rsidR="00656997">
        <w:t>8</w:t>
      </w:r>
      <w:r>
        <w:t xml:space="preserve"> advanced services to support patients with the safe use of medicine following appropriate training or accreditation by NHS England. </w:t>
      </w:r>
    </w:p>
    <w:p w14:paraId="55F22203" w14:textId="79830825" w:rsidR="008873BC" w:rsidRPr="008452CB" w:rsidRDefault="008873BC" w:rsidP="008873BC">
      <w:pPr>
        <w:rPr>
          <w:color w:val="FF0000"/>
        </w:rPr>
      </w:pPr>
      <w:r w:rsidRPr="003E5B6B">
        <w:rPr>
          <w:color w:val="477CBF"/>
        </w:rPr>
        <w:t>New Medicines Service (NMS)</w:t>
      </w:r>
      <w:r w:rsidR="008452CB">
        <w:rPr>
          <w:color w:val="477CBF"/>
        </w:rPr>
        <w:t xml:space="preserve"> – </w:t>
      </w:r>
    </w:p>
    <w:p w14:paraId="690B2186" w14:textId="7849234A" w:rsidR="00146A35" w:rsidRDefault="00146A35" w:rsidP="00146A35">
      <w:r>
        <w:t xml:space="preserve">This service provides support for patients with long term conditions who have been newly prescribed a medicine </w:t>
      </w:r>
      <w:r w:rsidR="00445E66">
        <w:t>to</w:t>
      </w:r>
      <w:r>
        <w:t xml:space="preserve"> help improve patient medicine adherence. It is initially focused on particular patient groups and conditions. </w:t>
      </w:r>
      <w:r w:rsidR="00C5743A">
        <w:t>Specific conditions/medicines are covered by the service, they are:</w:t>
      </w:r>
    </w:p>
    <w:tbl>
      <w:tblPr>
        <w:tblStyle w:val="ListTable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217"/>
        <w:gridCol w:w="2218"/>
        <w:gridCol w:w="2671"/>
      </w:tblGrid>
      <w:tr w:rsidR="00090AAC" w:rsidRPr="007E4694" w14:paraId="22257A7A" w14:textId="77777777" w:rsidTr="007E4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023A1662" w14:textId="433A4ECA" w:rsidR="008D1BB4" w:rsidRPr="007E4694" w:rsidRDefault="008D1BB4" w:rsidP="00090AAC">
            <w:pPr>
              <w:jc w:val="center"/>
              <w:rPr>
                <w:b w:val="0"/>
                <w:bCs w:val="0"/>
              </w:rPr>
            </w:pPr>
            <w:r w:rsidRPr="007E4694">
              <w:rPr>
                <w:b w:val="0"/>
                <w:bCs w:val="0"/>
              </w:rPr>
              <w:t>Asthma and COPD</w:t>
            </w:r>
          </w:p>
        </w:tc>
        <w:tc>
          <w:tcPr>
            <w:tcW w:w="3217" w:type="dxa"/>
          </w:tcPr>
          <w:p w14:paraId="09796008" w14:textId="11C968B2" w:rsidR="008D1BB4" w:rsidRPr="007E4694" w:rsidRDefault="008D1BB4" w:rsidP="00090AAC">
            <w:pPr>
              <w:jc w:val="center"/>
              <w:cnfStyle w:val="100000000000" w:firstRow="1" w:lastRow="0" w:firstColumn="0" w:lastColumn="0" w:oddVBand="0" w:evenVBand="0" w:oddHBand="0" w:evenHBand="0" w:firstRowFirstColumn="0" w:firstRowLastColumn="0" w:lastRowFirstColumn="0" w:lastRowLastColumn="0"/>
              <w:rPr>
                <w:b w:val="0"/>
                <w:bCs w:val="0"/>
              </w:rPr>
            </w:pPr>
            <w:r w:rsidRPr="007E4694">
              <w:rPr>
                <w:b w:val="0"/>
                <w:bCs w:val="0"/>
              </w:rPr>
              <w:t>Diabetes (Type 2)</w:t>
            </w:r>
          </w:p>
        </w:tc>
        <w:tc>
          <w:tcPr>
            <w:tcW w:w="2218" w:type="dxa"/>
          </w:tcPr>
          <w:p w14:paraId="1065CFC1" w14:textId="002AA8F0" w:rsidR="008D1BB4" w:rsidRPr="007E4694" w:rsidRDefault="008D1BB4" w:rsidP="00090AAC">
            <w:pPr>
              <w:jc w:val="center"/>
              <w:cnfStyle w:val="100000000000" w:firstRow="1" w:lastRow="0" w:firstColumn="0" w:lastColumn="0" w:oddVBand="0" w:evenVBand="0" w:oddHBand="0" w:evenHBand="0" w:firstRowFirstColumn="0" w:firstRowLastColumn="0" w:lastRowFirstColumn="0" w:lastRowLastColumn="0"/>
              <w:rPr>
                <w:b w:val="0"/>
                <w:bCs w:val="0"/>
              </w:rPr>
            </w:pPr>
            <w:r w:rsidRPr="007E4694">
              <w:rPr>
                <w:b w:val="0"/>
                <w:bCs w:val="0"/>
              </w:rPr>
              <w:t>Hypertension</w:t>
            </w:r>
          </w:p>
        </w:tc>
        <w:tc>
          <w:tcPr>
            <w:tcW w:w="2671" w:type="dxa"/>
          </w:tcPr>
          <w:p w14:paraId="2CDFD61A" w14:textId="7971B783" w:rsidR="008D1BB4" w:rsidRPr="007E4694" w:rsidRDefault="008D1BB4" w:rsidP="00090AAC">
            <w:pPr>
              <w:jc w:val="center"/>
              <w:cnfStyle w:val="100000000000" w:firstRow="1" w:lastRow="0" w:firstColumn="0" w:lastColumn="0" w:oddVBand="0" w:evenVBand="0" w:oddHBand="0" w:evenHBand="0" w:firstRowFirstColumn="0" w:firstRowLastColumn="0" w:lastRowFirstColumn="0" w:lastRowLastColumn="0"/>
              <w:rPr>
                <w:b w:val="0"/>
                <w:bCs w:val="0"/>
              </w:rPr>
            </w:pPr>
            <w:r w:rsidRPr="007E4694">
              <w:rPr>
                <w:b w:val="0"/>
                <w:bCs w:val="0"/>
              </w:rPr>
              <w:t>Hypercholesterolaemia</w:t>
            </w:r>
          </w:p>
        </w:tc>
      </w:tr>
      <w:tr w:rsidR="00090AAC" w:rsidRPr="007E4694" w14:paraId="17B5C08F" w14:textId="77777777" w:rsidTr="007E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12D8600B" w14:textId="0AA2DD1B" w:rsidR="008D1BB4" w:rsidRPr="007E4694" w:rsidRDefault="008D1BB4" w:rsidP="00090AAC">
            <w:pPr>
              <w:jc w:val="center"/>
              <w:rPr>
                <w:b w:val="0"/>
                <w:bCs w:val="0"/>
              </w:rPr>
            </w:pPr>
            <w:r w:rsidRPr="007E4694">
              <w:rPr>
                <w:b w:val="0"/>
                <w:bCs w:val="0"/>
              </w:rPr>
              <w:t>Osteoporosis</w:t>
            </w:r>
          </w:p>
        </w:tc>
        <w:tc>
          <w:tcPr>
            <w:tcW w:w="3217" w:type="dxa"/>
          </w:tcPr>
          <w:p w14:paraId="11E94D4B" w14:textId="7F6E8E4B"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Gout</w:t>
            </w:r>
          </w:p>
        </w:tc>
        <w:tc>
          <w:tcPr>
            <w:tcW w:w="2218" w:type="dxa"/>
          </w:tcPr>
          <w:p w14:paraId="3E46F66C" w14:textId="6D6AA182"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Glaucoma</w:t>
            </w:r>
          </w:p>
        </w:tc>
        <w:tc>
          <w:tcPr>
            <w:tcW w:w="2671" w:type="dxa"/>
          </w:tcPr>
          <w:p w14:paraId="436869F5" w14:textId="4A629ACA"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Epilepsy</w:t>
            </w:r>
          </w:p>
        </w:tc>
      </w:tr>
      <w:tr w:rsidR="00090AAC" w:rsidRPr="007E4694" w14:paraId="240F4D99" w14:textId="77777777" w:rsidTr="007E4694">
        <w:tc>
          <w:tcPr>
            <w:cnfStyle w:val="001000000000" w:firstRow="0" w:lastRow="0" w:firstColumn="1" w:lastColumn="0" w:oddVBand="0" w:evenVBand="0" w:oddHBand="0" w:evenHBand="0" w:firstRowFirstColumn="0" w:firstRowLastColumn="0" w:lastRowFirstColumn="0" w:lastRowLastColumn="0"/>
            <w:tcW w:w="2082" w:type="dxa"/>
          </w:tcPr>
          <w:p w14:paraId="32A8FEA6" w14:textId="2ADC1DF3" w:rsidR="008D1BB4" w:rsidRPr="007E4694" w:rsidRDefault="008D1BB4" w:rsidP="00090AAC">
            <w:pPr>
              <w:jc w:val="center"/>
              <w:rPr>
                <w:b w:val="0"/>
                <w:bCs w:val="0"/>
              </w:rPr>
            </w:pPr>
            <w:r w:rsidRPr="007E4694">
              <w:rPr>
                <w:b w:val="0"/>
                <w:bCs w:val="0"/>
              </w:rPr>
              <w:t>Parkinson’s disease</w:t>
            </w:r>
          </w:p>
        </w:tc>
        <w:tc>
          <w:tcPr>
            <w:tcW w:w="3217" w:type="dxa"/>
          </w:tcPr>
          <w:p w14:paraId="183DF1D6" w14:textId="6DC678F3" w:rsidR="008D1BB4" w:rsidRPr="007E4694" w:rsidRDefault="008D1BB4" w:rsidP="00090AAC">
            <w:pPr>
              <w:jc w:val="center"/>
              <w:cnfStyle w:val="000000000000" w:firstRow="0" w:lastRow="0" w:firstColumn="0" w:lastColumn="0" w:oddVBand="0" w:evenVBand="0" w:oddHBand="0" w:evenHBand="0" w:firstRowFirstColumn="0" w:firstRowLastColumn="0" w:lastRowFirstColumn="0" w:lastRowLastColumn="0"/>
            </w:pPr>
            <w:r w:rsidRPr="007E4694">
              <w:t>Urinary incontinence/retention</w:t>
            </w:r>
          </w:p>
        </w:tc>
        <w:tc>
          <w:tcPr>
            <w:tcW w:w="2218" w:type="dxa"/>
          </w:tcPr>
          <w:p w14:paraId="1B7355D1" w14:textId="0BDC64E2" w:rsidR="008D1BB4" w:rsidRPr="007E4694" w:rsidRDefault="008D1BB4" w:rsidP="00090AAC">
            <w:pPr>
              <w:jc w:val="center"/>
              <w:cnfStyle w:val="000000000000" w:firstRow="0" w:lastRow="0" w:firstColumn="0" w:lastColumn="0" w:oddVBand="0" w:evenVBand="0" w:oddHBand="0" w:evenHBand="0" w:firstRowFirstColumn="0" w:firstRowLastColumn="0" w:lastRowFirstColumn="0" w:lastRowLastColumn="0"/>
            </w:pPr>
            <w:r w:rsidRPr="007E4694">
              <w:t>Heart Failure</w:t>
            </w:r>
          </w:p>
        </w:tc>
        <w:tc>
          <w:tcPr>
            <w:tcW w:w="2671" w:type="dxa"/>
          </w:tcPr>
          <w:p w14:paraId="32AFF9CF" w14:textId="088FC372" w:rsidR="008D1BB4" w:rsidRPr="007E4694" w:rsidRDefault="008D1BB4" w:rsidP="00090AAC">
            <w:pPr>
              <w:jc w:val="center"/>
              <w:cnfStyle w:val="000000000000" w:firstRow="0" w:lastRow="0" w:firstColumn="0" w:lastColumn="0" w:oddVBand="0" w:evenVBand="0" w:oddHBand="0" w:evenHBand="0" w:firstRowFirstColumn="0" w:firstRowLastColumn="0" w:lastRowFirstColumn="0" w:lastRowLastColumn="0"/>
            </w:pPr>
            <w:r w:rsidRPr="007E4694">
              <w:t>Acute coronary syndromes</w:t>
            </w:r>
          </w:p>
        </w:tc>
      </w:tr>
      <w:tr w:rsidR="00090AAC" w:rsidRPr="007E4694" w14:paraId="45FC0A33" w14:textId="77777777" w:rsidTr="007E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7A20A06C" w14:textId="149665E4" w:rsidR="008D1BB4" w:rsidRPr="007E4694" w:rsidRDefault="008D1BB4" w:rsidP="00090AAC">
            <w:pPr>
              <w:jc w:val="center"/>
              <w:rPr>
                <w:b w:val="0"/>
                <w:bCs w:val="0"/>
              </w:rPr>
            </w:pPr>
            <w:r w:rsidRPr="007E4694">
              <w:rPr>
                <w:b w:val="0"/>
                <w:bCs w:val="0"/>
              </w:rPr>
              <w:t>Atrial fibrillation</w:t>
            </w:r>
          </w:p>
        </w:tc>
        <w:tc>
          <w:tcPr>
            <w:tcW w:w="3217" w:type="dxa"/>
          </w:tcPr>
          <w:p w14:paraId="50B75821" w14:textId="5A9978E9"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Long term risks of venous thromboembolism/embolism</w:t>
            </w:r>
          </w:p>
        </w:tc>
        <w:tc>
          <w:tcPr>
            <w:tcW w:w="2218" w:type="dxa"/>
          </w:tcPr>
          <w:p w14:paraId="24BCBE6F" w14:textId="30785D0D"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Stroke/transient ischemic attack</w:t>
            </w:r>
          </w:p>
        </w:tc>
        <w:tc>
          <w:tcPr>
            <w:tcW w:w="2671" w:type="dxa"/>
          </w:tcPr>
          <w:p w14:paraId="77E276FF" w14:textId="5A1223BC" w:rsidR="008D1BB4" w:rsidRPr="007E4694" w:rsidRDefault="008D1BB4" w:rsidP="00090AAC">
            <w:pPr>
              <w:jc w:val="center"/>
              <w:cnfStyle w:val="000000100000" w:firstRow="0" w:lastRow="0" w:firstColumn="0" w:lastColumn="0" w:oddVBand="0" w:evenVBand="0" w:oddHBand="1" w:evenHBand="0" w:firstRowFirstColumn="0" w:firstRowLastColumn="0" w:lastRowFirstColumn="0" w:lastRowLastColumn="0"/>
            </w:pPr>
            <w:r w:rsidRPr="007E4694">
              <w:t>Coronary heart disease</w:t>
            </w:r>
          </w:p>
        </w:tc>
      </w:tr>
    </w:tbl>
    <w:p w14:paraId="4726DAAC" w14:textId="4BAEE2D3" w:rsidR="00A054F1" w:rsidRDefault="00A054F1" w:rsidP="00A054F1">
      <w:r>
        <w:t>The service is split into three sections:</w:t>
      </w:r>
    </w:p>
    <w:p w14:paraId="39EAACD6" w14:textId="46EF47B0" w:rsidR="00A054F1" w:rsidRDefault="004972C0" w:rsidP="008D3B10">
      <w:pPr>
        <w:pStyle w:val="ListParagraph"/>
        <w:numPr>
          <w:ilvl w:val="0"/>
          <w:numId w:val="31"/>
        </w:numPr>
      </w:pPr>
      <w:r>
        <w:t>Patient Engagement</w:t>
      </w:r>
    </w:p>
    <w:p w14:paraId="1E9447AC" w14:textId="16C61EAB" w:rsidR="004972C0" w:rsidRDefault="004972C0" w:rsidP="008D3B10">
      <w:pPr>
        <w:pStyle w:val="ListParagraph"/>
        <w:numPr>
          <w:ilvl w:val="0"/>
          <w:numId w:val="31"/>
        </w:numPr>
      </w:pPr>
      <w:r>
        <w:t>Intervention</w:t>
      </w:r>
    </w:p>
    <w:p w14:paraId="330F31FC" w14:textId="6FB14837" w:rsidR="004972C0" w:rsidRDefault="004972C0" w:rsidP="008D3B10">
      <w:pPr>
        <w:pStyle w:val="ListParagraph"/>
        <w:numPr>
          <w:ilvl w:val="0"/>
          <w:numId w:val="31"/>
        </w:numPr>
      </w:pPr>
      <w:r>
        <w:t>Follow up</w:t>
      </w:r>
    </w:p>
    <w:p w14:paraId="69CD569A" w14:textId="69B3CBB0" w:rsidR="00FC2C1B" w:rsidRDefault="00FC2C1B" w:rsidP="00FC2C1B">
      <w:r>
        <w:rPr>
          <w:b/>
          <w:bCs/>
        </w:rPr>
        <w:t xml:space="preserve">Patient Engagement </w:t>
      </w:r>
      <w:r w:rsidR="007D0DDC">
        <w:rPr>
          <w:b/>
          <w:bCs/>
        </w:rPr>
        <w:t>–</w:t>
      </w:r>
      <w:r>
        <w:rPr>
          <w:b/>
          <w:bCs/>
        </w:rPr>
        <w:t xml:space="preserve"> </w:t>
      </w:r>
      <w:r w:rsidR="007D0DDC">
        <w:t xml:space="preserve">After a new medicine has been prescribed for a long-term condition, patients will be recruited to the service by </w:t>
      </w:r>
      <w:r w:rsidR="002B6094">
        <w:t xml:space="preserve">prescriber referral or opportunistically by community pharmacy staff. </w:t>
      </w:r>
      <w:r w:rsidR="00E47324">
        <w:t>Once the new medicine has been dispensed and information given about its use a patient will be offered to use the NMS.</w:t>
      </w:r>
      <w:r w:rsidR="000F6A7F">
        <w:t xml:space="preserve"> If accepted, a method and time will be agreed for the </w:t>
      </w:r>
      <w:r w:rsidR="00D95F91">
        <w:t>“</w:t>
      </w:r>
      <w:r w:rsidR="000F6A7F">
        <w:t>Intervention</w:t>
      </w:r>
      <w:r w:rsidR="00D95F91">
        <w:t>”</w:t>
      </w:r>
      <w:r w:rsidR="000F6A7F">
        <w:t xml:space="preserve"> stage, usually between 7 and 14 days after patient engagement</w:t>
      </w:r>
      <w:r w:rsidR="006F682B">
        <w:t>.</w:t>
      </w:r>
    </w:p>
    <w:p w14:paraId="5FF718DB" w14:textId="4C2989FF" w:rsidR="002F391E" w:rsidRDefault="006F682B" w:rsidP="00FC2C1B">
      <w:r>
        <w:rPr>
          <w:b/>
          <w:bCs/>
        </w:rPr>
        <w:t>Intervention –</w:t>
      </w:r>
      <w:r>
        <w:t xml:space="preserve"> </w:t>
      </w:r>
      <w:r w:rsidR="00440253">
        <w:t xml:space="preserve">The pharmacist and patient will have a discussion to assess adherence to the medicine(s), identify any problems, and determine the patient’s need for further information and support. </w:t>
      </w:r>
      <w:r w:rsidR="004C0DCF">
        <w:t>Further support and information will be provided by the pharmacist and where no problems have been identified</w:t>
      </w:r>
      <w:r w:rsidR="00093AA6">
        <w:t xml:space="preserve"> a time for the </w:t>
      </w:r>
      <w:r w:rsidR="000973D3">
        <w:t>“</w:t>
      </w:r>
      <w:r w:rsidR="00093AA6">
        <w:t>Follow up</w:t>
      </w:r>
      <w:r w:rsidR="000973D3">
        <w:t>”</w:t>
      </w:r>
      <w:r w:rsidR="00093AA6">
        <w:t xml:space="preserve"> stage will be agreed, usually 14 to 21 </w:t>
      </w:r>
      <w:r w:rsidR="00093AA6">
        <w:lastRenderedPageBreak/>
        <w:t xml:space="preserve">days after the </w:t>
      </w:r>
      <w:r w:rsidR="000973D3">
        <w:t>“</w:t>
      </w:r>
      <w:r w:rsidR="00093AA6">
        <w:t>Intervention</w:t>
      </w:r>
      <w:r w:rsidR="000973D3">
        <w:t>”</w:t>
      </w:r>
      <w:r w:rsidR="00093AA6">
        <w:t xml:space="preserve"> stage. If problems are identifi</w:t>
      </w:r>
      <w:r w:rsidR="002F391E">
        <w:t xml:space="preserve">ed where the intervention of the patient’s prescriber is needed, the issue will be referred to them. </w:t>
      </w:r>
    </w:p>
    <w:p w14:paraId="5123306E" w14:textId="4F714266" w:rsidR="006F682B" w:rsidRPr="006F682B" w:rsidRDefault="002F391E" w:rsidP="00FC2C1B">
      <w:r>
        <w:rPr>
          <w:b/>
          <w:bCs/>
        </w:rPr>
        <w:t xml:space="preserve">Follow up </w:t>
      </w:r>
      <w:r w:rsidR="0062202A">
        <w:rPr>
          <w:b/>
          <w:bCs/>
        </w:rPr>
        <w:t>–</w:t>
      </w:r>
      <w:r>
        <w:t xml:space="preserve"> </w:t>
      </w:r>
      <w:r w:rsidR="0062202A">
        <w:t>The pharmacist and patient will again have a discussion to assess adherence to the medicine(s), identify any problems, and determine the patient’s need for further information and support. Further support and information will be provided by the pharmacist. If problems are identified where the intervention of the patient’s prescriber is needed, the issue will be referred to them.</w:t>
      </w:r>
    </w:p>
    <w:p w14:paraId="5CCFA797" w14:textId="7CAF94B7" w:rsidR="00146A35" w:rsidRDefault="00146A35" w:rsidP="00146A35">
      <w:r>
        <w:t>The NMS is conducted in a private consultation area</w:t>
      </w:r>
      <w:r w:rsidR="001670D7">
        <w:t xml:space="preserve"> or via telephone or video consultation,</w:t>
      </w:r>
      <w:r>
        <w:t xml:space="preserve"> which ensures patient confidentiality. Since the introduction of the NMS in October 2011, more than 90% of community pharmacies in England have provided it to their patients.</w:t>
      </w:r>
    </w:p>
    <w:p w14:paraId="2CD3261B" w14:textId="53A4A579" w:rsidR="00146A35" w:rsidRDefault="00146A35" w:rsidP="00146A35">
      <w:r>
        <w:t xml:space="preserve">The optimal use of appropriately prescribed medicines is vital to the management of </w:t>
      </w:r>
      <w:r w:rsidR="00445E66">
        <w:t>long-term</w:t>
      </w:r>
      <w:r>
        <w:t xml:space="preserve"> conditions</w:t>
      </w:r>
      <w:r w:rsidR="00776CBC">
        <w:t>.</w:t>
      </w:r>
      <w:r>
        <w:t xml:space="preserve"> The pharmacist is fundamental to this service as they can intervene and offer support and advice to patients who are newly prescribed a medicine that will be used to manage a </w:t>
      </w:r>
      <w:r w:rsidR="00445E66">
        <w:t>long-term</w:t>
      </w:r>
      <w:r>
        <w:t xml:space="preserve"> condition. </w:t>
      </w:r>
    </w:p>
    <w:p w14:paraId="71CE376C" w14:textId="6ECA9E9C" w:rsidR="00D330C8" w:rsidRDefault="00D330C8" w:rsidP="00D330C8">
      <w:r>
        <w:t xml:space="preserve">NHS BSA data shown in Table </w:t>
      </w:r>
      <w:r w:rsidR="00F11E54">
        <w:t>7</w:t>
      </w:r>
      <w:r>
        <w:t xml:space="preserve"> shows the number of </w:t>
      </w:r>
      <w:r w:rsidR="0046390A">
        <w:t>NMS interventions declared by community pharmacies between April 2021 – December 2021.</w:t>
      </w:r>
    </w:p>
    <w:tbl>
      <w:tblPr>
        <w:tblStyle w:val="GridTable4-Accent1"/>
        <w:tblW w:w="0" w:type="auto"/>
        <w:tblLook w:val="04A0" w:firstRow="1" w:lastRow="0" w:firstColumn="1" w:lastColumn="0" w:noHBand="0" w:noVBand="1"/>
      </w:tblPr>
      <w:tblGrid>
        <w:gridCol w:w="2184"/>
        <w:gridCol w:w="3736"/>
        <w:gridCol w:w="4253"/>
        <w:gridCol w:w="15"/>
      </w:tblGrid>
      <w:tr w:rsidR="00D330C8" w14:paraId="28C333D8" w14:textId="0B7C53AB" w:rsidTr="004F06CE">
        <w:trPr>
          <w:gridAfter w:val="1"/>
          <w:cnfStyle w:val="100000000000" w:firstRow="1" w:lastRow="0" w:firstColumn="0" w:lastColumn="0" w:oddVBand="0" w:evenVBand="0" w:oddHBand="0"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184" w:type="dxa"/>
          </w:tcPr>
          <w:p w14:paraId="0F311A7B" w14:textId="77777777" w:rsidR="00D330C8" w:rsidRDefault="00D330C8" w:rsidP="00B865AA">
            <w:r>
              <w:t>Area</w:t>
            </w:r>
          </w:p>
        </w:tc>
        <w:tc>
          <w:tcPr>
            <w:tcW w:w="3736" w:type="dxa"/>
          </w:tcPr>
          <w:p w14:paraId="69D1980E" w14:textId="65B8D953" w:rsidR="00D330C8" w:rsidRDefault="00D330C8" w:rsidP="00B865AA">
            <w:pPr>
              <w:cnfStyle w:val="100000000000" w:firstRow="1" w:lastRow="0" w:firstColumn="0" w:lastColumn="0" w:oddVBand="0" w:evenVBand="0" w:oddHBand="0" w:evenHBand="0" w:firstRowFirstColumn="0" w:firstRowLastColumn="0" w:lastRowFirstColumn="0" w:lastRowLastColumn="0"/>
            </w:pPr>
            <w:r>
              <w:t xml:space="preserve">Number of </w:t>
            </w:r>
            <w:r w:rsidR="0046390A">
              <w:t>NMS interventions declared</w:t>
            </w:r>
            <w:r>
              <w:t xml:space="preserve"> in the period </w:t>
            </w:r>
            <w:r w:rsidR="0054472A">
              <w:t>January</w:t>
            </w:r>
            <w:r>
              <w:t xml:space="preserve"> 2021 – December 2021 (inclusive).</w:t>
            </w:r>
          </w:p>
        </w:tc>
        <w:tc>
          <w:tcPr>
            <w:tcW w:w="4253" w:type="dxa"/>
          </w:tcPr>
          <w:p w14:paraId="50C9C58D" w14:textId="08ADCB77" w:rsidR="004F06CE" w:rsidRDefault="004F06CE" w:rsidP="007A194F">
            <w:pPr>
              <w:cnfStyle w:val="100000000000" w:firstRow="1" w:lastRow="0" w:firstColumn="0" w:lastColumn="0" w:oddVBand="0" w:evenVBand="0" w:oddHBand="0" w:evenHBand="0" w:firstRowFirstColumn="0" w:firstRowLastColumn="0" w:lastRowFirstColumn="0" w:lastRowLastColumn="0"/>
            </w:pPr>
            <w:r>
              <w:t xml:space="preserve">Mean number per pharmacy in the period </w:t>
            </w:r>
            <w:r w:rsidR="0054472A">
              <w:t>January</w:t>
            </w:r>
            <w:r>
              <w:t xml:space="preserve"> 2021 – December 2021 (inclusive). </w:t>
            </w:r>
          </w:p>
        </w:tc>
      </w:tr>
      <w:tr w:rsidR="00D330C8" w14:paraId="2156825C" w14:textId="30B570B8" w:rsidTr="004F06C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2184" w:type="dxa"/>
          </w:tcPr>
          <w:p w14:paraId="63A8A861" w14:textId="77777777" w:rsidR="00D330C8" w:rsidRDefault="00D330C8" w:rsidP="00B865AA">
            <w:r>
              <w:t>Coventry &amp; Warwickshire</w:t>
            </w:r>
          </w:p>
        </w:tc>
        <w:tc>
          <w:tcPr>
            <w:tcW w:w="3736" w:type="dxa"/>
          </w:tcPr>
          <w:p w14:paraId="585072F2" w14:textId="77A91C3E" w:rsidR="00D330C8" w:rsidRDefault="004F06CE" w:rsidP="00B865AA">
            <w:pPr>
              <w:cnfStyle w:val="000000100000" w:firstRow="0" w:lastRow="0" w:firstColumn="0" w:lastColumn="0" w:oddVBand="0" w:evenVBand="0" w:oddHBand="1" w:evenHBand="0" w:firstRowFirstColumn="0" w:firstRowLastColumn="0" w:lastRowFirstColumn="0" w:lastRowLastColumn="0"/>
            </w:pPr>
            <w:r>
              <w:t>2</w:t>
            </w:r>
            <w:r w:rsidR="00946559">
              <w:t>4,569</w:t>
            </w:r>
          </w:p>
        </w:tc>
        <w:tc>
          <w:tcPr>
            <w:tcW w:w="4253" w:type="dxa"/>
          </w:tcPr>
          <w:p w14:paraId="0D162A34" w14:textId="57452872" w:rsidR="009D2760" w:rsidRDefault="000056B3" w:rsidP="007A194F">
            <w:pPr>
              <w:cnfStyle w:val="000000100000" w:firstRow="0" w:lastRow="0" w:firstColumn="0" w:lastColumn="0" w:oddVBand="0" w:evenVBand="0" w:oddHBand="1" w:evenHBand="0" w:firstRowFirstColumn="0" w:firstRowLastColumn="0" w:lastRowFirstColumn="0" w:lastRowLastColumn="0"/>
            </w:pPr>
            <w:r>
              <w:t>173</w:t>
            </w:r>
          </w:p>
        </w:tc>
      </w:tr>
      <w:tr w:rsidR="004F06CE" w14:paraId="79C1F1E1" w14:textId="25B26663" w:rsidTr="004F06CE">
        <w:tc>
          <w:tcPr>
            <w:cnfStyle w:val="001000000000" w:firstRow="0" w:lastRow="0" w:firstColumn="1" w:lastColumn="0" w:oddVBand="0" w:evenVBand="0" w:oddHBand="0" w:evenHBand="0" w:firstRowFirstColumn="0" w:firstRowLastColumn="0" w:lastRowFirstColumn="0" w:lastRowLastColumn="0"/>
            <w:tcW w:w="2184" w:type="dxa"/>
          </w:tcPr>
          <w:p w14:paraId="5BDBBDA8" w14:textId="702C5DA4" w:rsidR="004F06CE" w:rsidRDefault="004F06CE" w:rsidP="007A194F">
            <w:r>
              <w:t>Nationally</w:t>
            </w:r>
          </w:p>
        </w:tc>
        <w:tc>
          <w:tcPr>
            <w:tcW w:w="3736" w:type="dxa"/>
          </w:tcPr>
          <w:p w14:paraId="1807AE99" w14:textId="411FE32E" w:rsidR="004F06CE" w:rsidRDefault="004F06CE" w:rsidP="007A194F">
            <w:pPr>
              <w:cnfStyle w:val="000000000000" w:firstRow="0" w:lastRow="0" w:firstColumn="0" w:lastColumn="0" w:oddVBand="0" w:evenVBand="0" w:oddHBand="0" w:evenHBand="0" w:firstRowFirstColumn="0" w:firstRowLastColumn="0" w:lastRowFirstColumn="0" w:lastRowLastColumn="0"/>
            </w:pPr>
            <w:r>
              <w:t>1,</w:t>
            </w:r>
            <w:r w:rsidR="0037761F">
              <w:t>640,036</w:t>
            </w:r>
          </w:p>
        </w:tc>
        <w:tc>
          <w:tcPr>
            <w:tcW w:w="4253" w:type="dxa"/>
            <w:gridSpan w:val="2"/>
          </w:tcPr>
          <w:p w14:paraId="69801FB8" w14:textId="2843D075" w:rsidR="004F06CE" w:rsidRDefault="0084087E" w:rsidP="007A194F">
            <w:pPr>
              <w:cnfStyle w:val="000000000000" w:firstRow="0" w:lastRow="0" w:firstColumn="0" w:lastColumn="0" w:oddVBand="0" w:evenVBand="0" w:oddHBand="0" w:evenHBand="0" w:firstRowFirstColumn="0" w:firstRowLastColumn="0" w:lastRowFirstColumn="0" w:lastRowLastColumn="0"/>
            </w:pPr>
            <w:r>
              <w:t>20</w:t>
            </w:r>
            <w:r w:rsidR="00C07E9C">
              <w:t>2</w:t>
            </w:r>
          </w:p>
        </w:tc>
      </w:tr>
    </w:tbl>
    <w:p w14:paraId="68F69FD5" w14:textId="420158EE" w:rsidR="00F11E54" w:rsidRDefault="00F11E54" w:rsidP="00F11E54">
      <w:pPr>
        <w:pStyle w:val="Caption"/>
      </w:pPr>
      <w:r>
        <w:t xml:space="preserve">Table </w:t>
      </w:r>
      <w:r>
        <w:fldChar w:fldCharType="begin"/>
      </w:r>
      <w:r>
        <w:instrText>SEQ Table \* ARABIC</w:instrText>
      </w:r>
      <w:r>
        <w:fldChar w:fldCharType="separate"/>
      </w:r>
      <w:r w:rsidR="00AC4C6D">
        <w:rPr>
          <w:noProof/>
        </w:rPr>
        <w:t>7</w:t>
      </w:r>
      <w:r>
        <w:fldChar w:fldCharType="end"/>
      </w:r>
      <w:r>
        <w:t>: NMS interventions declared in Community Pharmacies</w:t>
      </w:r>
      <w:r>
        <w:br/>
        <w:t>Source: NHS BSA</w:t>
      </w:r>
    </w:p>
    <w:p w14:paraId="0EA52D79" w14:textId="76926341" w:rsidR="00D330C8" w:rsidRDefault="0052175D" w:rsidP="00146A35">
      <w:r>
        <w:t xml:space="preserve">In the 2018 PNA Warwickshire </w:t>
      </w:r>
      <w:r w:rsidR="006711F4">
        <w:t>had a mean</w:t>
      </w:r>
      <w:r w:rsidR="00CB681E">
        <w:t xml:space="preserve"> number of NM</w:t>
      </w:r>
      <w:r w:rsidR="00B52808">
        <w:t>S</w:t>
      </w:r>
      <w:r w:rsidR="00CB681E">
        <w:t xml:space="preserve"> per pharmacy of 58 in 2016/17, and Coventry had 59. </w:t>
      </w:r>
      <w:r w:rsidR="00FE16D6">
        <w:t>This therefore shows a significant increase over the past 3 years</w:t>
      </w:r>
      <w:r w:rsidR="00497F35">
        <w:t>, which can also be seen nationally with the 2016/17</w:t>
      </w:r>
      <w:r w:rsidR="007242E3">
        <w:t xml:space="preserve"> </w:t>
      </w:r>
      <w:r w:rsidR="00E52595">
        <w:t xml:space="preserve">mean number per pharmacy being 74. </w:t>
      </w:r>
    </w:p>
    <w:p w14:paraId="13E7ADEA" w14:textId="3F1002FF" w:rsidR="5B9F09A6" w:rsidRDefault="00750461">
      <w:r>
        <w:t xml:space="preserve">184 of the 197 community pharmacies </w:t>
      </w:r>
      <w:r w:rsidR="00AE3508">
        <w:t xml:space="preserve">(93%) </w:t>
      </w:r>
      <w:r>
        <w:t>in Coventry and Warwickshire provide an NMS service</w:t>
      </w:r>
      <w:r w:rsidR="5B9F09A6">
        <w:t>.</w:t>
      </w:r>
      <w:r w:rsidR="001554D2">
        <w:t xml:space="preserve"> 79 </w:t>
      </w:r>
      <w:r w:rsidR="00F2148D">
        <w:t xml:space="preserve">(87%) </w:t>
      </w:r>
      <w:r w:rsidR="00A972C3">
        <w:t xml:space="preserve">of those pharmacies who provide the NMS service are in Coventry, 105 </w:t>
      </w:r>
      <w:r w:rsidR="0050128C">
        <w:t xml:space="preserve">(99%) </w:t>
      </w:r>
      <w:r w:rsidR="00A972C3">
        <w:t xml:space="preserve">are in Warwickshire. </w:t>
      </w:r>
    </w:p>
    <w:p w14:paraId="573C8F02" w14:textId="3BAF627D" w:rsidR="00EA5DF6" w:rsidRPr="00EA5DF6" w:rsidRDefault="00EA5DF6">
      <w:pPr>
        <w:rPr>
          <w:b/>
          <w:bCs/>
        </w:rPr>
      </w:pPr>
      <w:r>
        <w:rPr>
          <w:b/>
          <w:bCs/>
        </w:rPr>
        <w:t>Conclusion for NMS Service</w:t>
      </w:r>
    </w:p>
    <w:p w14:paraId="71B401E2" w14:textId="5D9ADD8E" w:rsidR="00155D91" w:rsidRPr="00155D91" w:rsidRDefault="00C87767">
      <w:r>
        <w:lastRenderedPageBreak/>
        <w:t>A lar</w:t>
      </w:r>
      <w:r w:rsidR="00AE3508">
        <w:t xml:space="preserve">ge proportion of the community pharmacies within </w:t>
      </w:r>
      <w:r w:rsidR="00902839">
        <w:t xml:space="preserve">Coventry and </w:t>
      </w:r>
      <w:r w:rsidR="00AE3508">
        <w:t>Warwickshire provide t</w:t>
      </w:r>
      <w:r w:rsidR="00C10404">
        <w:t xml:space="preserve">he NMS service. </w:t>
      </w:r>
      <w:r w:rsidR="007F2E3B">
        <w:t xml:space="preserve">No gaps have been identified from the information available. </w:t>
      </w:r>
    </w:p>
    <w:p w14:paraId="1214DA25" w14:textId="77777777" w:rsidR="001449C0" w:rsidRDefault="001449C0" w:rsidP="00146A35"/>
    <w:p w14:paraId="729B7602" w14:textId="77777777" w:rsidR="008873BC" w:rsidRPr="003E5B6B" w:rsidRDefault="008873BC" w:rsidP="008873BC">
      <w:pPr>
        <w:rPr>
          <w:color w:val="477CBF"/>
        </w:rPr>
      </w:pPr>
      <w:r w:rsidRPr="003E5B6B">
        <w:rPr>
          <w:color w:val="477CBF"/>
        </w:rPr>
        <w:t>Appliance Use Reviews (AUR)</w:t>
      </w:r>
    </w:p>
    <w:p w14:paraId="3002B1AE" w14:textId="6C22E64D" w:rsidR="008873BC" w:rsidRDefault="003D0AAD" w:rsidP="008873BC">
      <w:r>
        <w:t xml:space="preserve">This service can be carried out by a pharmacist or a specialist nurse, in the pharmacy or at a patient’s home, if more convenient. AURs should serve to improve the patient’s knowledge and use of any </w:t>
      </w:r>
      <w:r w:rsidR="00781D7F">
        <w:t>‘specified appliance’ by:</w:t>
      </w:r>
    </w:p>
    <w:p w14:paraId="7EAC7349" w14:textId="013E5BD0" w:rsidR="00781D7F" w:rsidRDefault="00781D7F" w:rsidP="008D3B10">
      <w:pPr>
        <w:pStyle w:val="ListParagraph"/>
        <w:numPr>
          <w:ilvl w:val="0"/>
          <w:numId w:val="5"/>
        </w:numPr>
      </w:pPr>
      <w:r>
        <w:t xml:space="preserve">Establishing the way the patient uses the appliance and the patient’s experience of such use. </w:t>
      </w:r>
    </w:p>
    <w:p w14:paraId="66BDF5F9" w14:textId="187B2A63" w:rsidR="00781D7F" w:rsidRDefault="00781D7F" w:rsidP="008D3B10">
      <w:pPr>
        <w:pStyle w:val="ListParagraph"/>
        <w:numPr>
          <w:ilvl w:val="0"/>
          <w:numId w:val="5"/>
        </w:numPr>
      </w:pPr>
      <w:r>
        <w:t>By identifying, discussing, and assisting in the resolution of poor or ineffective use of the appliance by the patient.</w:t>
      </w:r>
    </w:p>
    <w:p w14:paraId="07559DC9" w14:textId="6062A64E" w:rsidR="00781D7F" w:rsidRDefault="00781D7F" w:rsidP="008D3B10">
      <w:pPr>
        <w:pStyle w:val="ListParagraph"/>
        <w:numPr>
          <w:ilvl w:val="0"/>
          <w:numId w:val="5"/>
        </w:numPr>
      </w:pPr>
      <w:r>
        <w:t>Advising the patient on the safe and appropriate storage of the appliance; and</w:t>
      </w:r>
    </w:p>
    <w:p w14:paraId="770E1EE4" w14:textId="0B867C34" w:rsidR="00781D7F" w:rsidRDefault="00781D7F" w:rsidP="008D3B10">
      <w:pPr>
        <w:pStyle w:val="ListParagraph"/>
        <w:numPr>
          <w:ilvl w:val="0"/>
          <w:numId w:val="5"/>
        </w:numPr>
      </w:pPr>
      <w:r>
        <w:t xml:space="preserve">Advising the patient on the safe and proper disposal of the appliances that are used or unwanted. </w:t>
      </w:r>
    </w:p>
    <w:p w14:paraId="6A54C7A4" w14:textId="1CAC4CFC" w:rsidR="007A529B" w:rsidRPr="007A529B" w:rsidRDefault="007A529B" w:rsidP="007A529B">
      <w:r>
        <w:t xml:space="preserve">NHS BSA data shown in Table </w:t>
      </w:r>
      <w:r w:rsidR="00F11E54">
        <w:t>8</w:t>
      </w:r>
      <w:r>
        <w:t xml:space="preserve"> shows the number of </w:t>
      </w:r>
      <w:r w:rsidR="00C54A25">
        <w:t>AURs conducted at</w:t>
      </w:r>
      <w:r>
        <w:t xml:space="preserve"> community pharmacies between April 2021 – December 2021.</w:t>
      </w:r>
    </w:p>
    <w:p w14:paraId="6DAEF731" w14:textId="77777777" w:rsidR="007842E2" w:rsidRPr="007A529B" w:rsidRDefault="007842E2" w:rsidP="007A529B"/>
    <w:tbl>
      <w:tblPr>
        <w:tblStyle w:val="GridTable4-Accent1"/>
        <w:tblW w:w="0" w:type="auto"/>
        <w:tblLook w:val="04A0" w:firstRow="1" w:lastRow="0" w:firstColumn="1" w:lastColumn="0" w:noHBand="0" w:noVBand="1"/>
      </w:tblPr>
      <w:tblGrid>
        <w:gridCol w:w="3227"/>
        <w:gridCol w:w="6961"/>
      </w:tblGrid>
      <w:tr w:rsidR="007A529B" w14:paraId="2BB47984" w14:textId="77777777" w:rsidTr="00A235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517BDC4F" w14:textId="77777777" w:rsidR="007A529B" w:rsidRDefault="007A529B" w:rsidP="00A235BF">
            <w:r>
              <w:t>Area</w:t>
            </w:r>
          </w:p>
        </w:tc>
        <w:tc>
          <w:tcPr>
            <w:tcW w:w="6961" w:type="dxa"/>
          </w:tcPr>
          <w:p w14:paraId="17BF9499" w14:textId="62F15F58" w:rsidR="007A529B" w:rsidRDefault="007A529B" w:rsidP="00A235BF">
            <w:pPr>
              <w:cnfStyle w:val="100000000000" w:firstRow="1" w:lastRow="0" w:firstColumn="0" w:lastColumn="0" w:oddVBand="0" w:evenVBand="0" w:oddHBand="0" w:evenHBand="0" w:firstRowFirstColumn="0" w:firstRowLastColumn="0" w:lastRowFirstColumn="0" w:lastRowLastColumn="0"/>
            </w:pPr>
            <w:r>
              <w:t xml:space="preserve">Number of </w:t>
            </w:r>
            <w:r w:rsidR="00C54A25">
              <w:t>AURs conducted at community pharmacies</w:t>
            </w:r>
            <w:r>
              <w:t xml:space="preserve"> in the period April 2021 – December 2021 (inclusive).</w:t>
            </w:r>
          </w:p>
        </w:tc>
      </w:tr>
      <w:tr w:rsidR="007A529B" w14:paraId="23657440" w14:textId="77777777" w:rsidTr="00A235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5A67ED1" w14:textId="77777777" w:rsidR="007A529B" w:rsidRDefault="007A529B" w:rsidP="00A235BF">
            <w:r>
              <w:t>Coventry &amp; Warwickshire</w:t>
            </w:r>
          </w:p>
        </w:tc>
        <w:tc>
          <w:tcPr>
            <w:tcW w:w="6961" w:type="dxa"/>
          </w:tcPr>
          <w:p w14:paraId="1F5BE4CE" w14:textId="3CACBCF2" w:rsidR="007A529B" w:rsidRDefault="00C54A25" w:rsidP="00A235BF">
            <w:pPr>
              <w:cnfStyle w:val="000000100000" w:firstRow="0" w:lastRow="0" w:firstColumn="0" w:lastColumn="0" w:oddVBand="0" w:evenVBand="0" w:oddHBand="1" w:evenHBand="0" w:firstRowFirstColumn="0" w:firstRowLastColumn="0" w:lastRowFirstColumn="0" w:lastRowLastColumn="0"/>
            </w:pPr>
            <w:r>
              <w:t>171</w:t>
            </w:r>
          </w:p>
        </w:tc>
      </w:tr>
    </w:tbl>
    <w:p w14:paraId="4FA13C51" w14:textId="08CB6C9C" w:rsidR="00F11E54" w:rsidRDefault="00F11E54" w:rsidP="00F11E54">
      <w:pPr>
        <w:pStyle w:val="Caption"/>
      </w:pPr>
      <w:r>
        <w:t xml:space="preserve">Table </w:t>
      </w:r>
      <w:r>
        <w:fldChar w:fldCharType="begin"/>
      </w:r>
      <w:r>
        <w:instrText>SEQ Table \* ARABIC</w:instrText>
      </w:r>
      <w:r>
        <w:fldChar w:fldCharType="separate"/>
      </w:r>
      <w:r w:rsidR="00AC4C6D">
        <w:rPr>
          <w:noProof/>
        </w:rPr>
        <w:t>8</w:t>
      </w:r>
      <w:r>
        <w:fldChar w:fldCharType="end"/>
      </w:r>
      <w:r>
        <w:t>: Number of AURs conducted at community pharmacies in Coventry and Warwickshire</w:t>
      </w:r>
      <w:r>
        <w:br/>
        <w:t>Source: NHS BSA</w:t>
      </w:r>
    </w:p>
    <w:p w14:paraId="34A2F319" w14:textId="6E33ADD8" w:rsidR="007A529B" w:rsidRDefault="00D0124D" w:rsidP="00515CD1">
      <w:r>
        <w:t xml:space="preserve">In this time period there were no AURs conducted in </w:t>
      </w:r>
      <w:r w:rsidR="00AE0060">
        <w:t>user’s</w:t>
      </w:r>
      <w:r>
        <w:t xml:space="preserve"> homes. </w:t>
      </w:r>
    </w:p>
    <w:p w14:paraId="71C5FD73" w14:textId="7A6B5485" w:rsidR="00515CD1" w:rsidRDefault="005F6110" w:rsidP="00515CD1">
      <w:r>
        <w:t xml:space="preserve">Of the 161 pharmacies that responded to the pharmacy survey, </w:t>
      </w:r>
      <w:r w:rsidR="00285754">
        <w:t>25% in Coventry and 11% in Warwickshire currently provide the AUR service</w:t>
      </w:r>
      <w:r w:rsidR="00954C08">
        <w:t xml:space="preserve">. </w:t>
      </w:r>
    </w:p>
    <w:p w14:paraId="1B2EA243" w14:textId="5AA13B01" w:rsidR="00EA5DF6" w:rsidRPr="00EA5DF6" w:rsidRDefault="00EA5DF6" w:rsidP="00515CD1">
      <w:pPr>
        <w:rPr>
          <w:b/>
          <w:bCs/>
        </w:rPr>
      </w:pPr>
      <w:r>
        <w:rPr>
          <w:b/>
          <w:bCs/>
        </w:rPr>
        <w:t>Conclusion for AUR Service</w:t>
      </w:r>
    </w:p>
    <w:p w14:paraId="66458D58" w14:textId="08C214CB" w:rsidR="00781D7F" w:rsidRDefault="00FF0F7E" w:rsidP="00781D7F">
      <w:r>
        <w:t xml:space="preserve">Demand for the AUR service is lower than for other advanced services due to the much smaller proportion of the population that may be targeted. </w:t>
      </w:r>
      <w:r w:rsidR="007C7744">
        <w:t xml:space="preserve">No current gaps in provision have been identified based on the information available. </w:t>
      </w:r>
      <w:r w:rsidR="00225E24">
        <w:t xml:space="preserve">Coventry and Warwickshire residents may be receiving AURs from other national providers of appliances/AURs. The demands of the services should be assessed continually based on service models and demographic changes. </w:t>
      </w:r>
    </w:p>
    <w:p w14:paraId="7A602B65" w14:textId="77777777" w:rsidR="00E546A0" w:rsidRDefault="00E546A0" w:rsidP="00781D7F"/>
    <w:p w14:paraId="44567DE5" w14:textId="77777777" w:rsidR="008873BC" w:rsidRPr="003E5B6B" w:rsidRDefault="008873BC" w:rsidP="008873BC">
      <w:pPr>
        <w:rPr>
          <w:color w:val="477CBF"/>
        </w:rPr>
      </w:pPr>
      <w:r w:rsidRPr="003E5B6B">
        <w:rPr>
          <w:color w:val="477CBF"/>
        </w:rPr>
        <w:t>Stoma Application Customisation (SAC)</w:t>
      </w:r>
    </w:p>
    <w:p w14:paraId="42113994" w14:textId="5F52680E" w:rsidR="008873BC" w:rsidRDefault="00781D7F" w:rsidP="008873BC">
      <w:r>
        <w:t xml:space="preserve">The service involves customisation of a quantity of more than one stoma appliance, based on the patient’s measurements or template. The aim of the service is to ensure proper use and comfortable fitting of the stoma appliance and to improve the duration of usage, thereby reducing waste. </w:t>
      </w:r>
      <w:r w:rsidR="00700C60">
        <w:t xml:space="preserve">In order to provide this service certain criteria must be fulfilled, one of the main being the service must be provided from an ‘acceptable locations’ meaning: </w:t>
      </w:r>
    </w:p>
    <w:p w14:paraId="60C39066" w14:textId="0CD5AF99" w:rsidR="00700C60" w:rsidRDefault="00700C60" w:rsidP="008D3B10">
      <w:pPr>
        <w:pStyle w:val="ListParagraph"/>
        <w:numPr>
          <w:ilvl w:val="0"/>
          <w:numId w:val="6"/>
        </w:numPr>
      </w:pPr>
      <w:r>
        <w:t>An area within the pharmacy that is distinct from the public area</w:t>
      </w:r>
    </w:p>
    <w:p w14:paraId="531FF616" w14:textId="7CBE291D" w:rsidR="001E7410" w:rsidRDefault="001E7410" w:rsidP="008D3B10">
      <w:pPr>
        <w:pStyle w:val="ListParagraph"/>
        <w:numPr>
          <w:ilvl w:val="0"/>
          <w:numId w:val="6"/>
        </w:numPr>
      </w:pPr>
      <w:r>
        <w:t>Is clearly designated as a private area whilst the service is being provided</w:t>
      </w:r>
    </w:p>
    <w:p w14:paraId="6C28771C" w14:textId="263C4801" w:rsidR="001E7410" w:rsidRDefault="001E7410" w:rsidP="008D3B10">
      <w:pPr>
        <w:pStyle w:val="ListParagraph"/>
        <w:numPr>
          <w:ilvl w:val="0"/>
          <w:numId w:val="6"/>
        </w:numPr>
      </w:pPr>
      <w:r>
        <w:t>Is suitable and designated for the retention of the appropriate equipment for customisation</w:t>
      </w:r>
    </w:p>
    <w:p w14:paraId="2A365812" w14:textId="0F348AF2" w:rsidR="001E7410" w:rsidRDefault="001E7410" w:rsidP="008D3B10">
      <w:pPr>
        <w:pStyle w:val="ListParagraph"/>
        <w:numPr>
          <w:ilvl w:val="0"/>
          <w:numId w:val="6"/>
        </w:numPr>
      </w:pPr>
      <w:r>
        <w:t>Is suitable and designated for modification of the appliances</w:t>
      </w:r>
    </w:p>
    <w:p w14:paraId="4B6C2DEF" w14:textId="0F67441E" w:rsidR="0026779F" w:rsidRDefault="001E7410" w:rsidP="008D3B10">
      <w:pPr>
        <w:pStyle w:val="ListParagraph"/>
        <w:numPr>
          <w:ilvl w:val="0"/>
          <w:numId w:val="6"/>
        </w:numPr>
      </w:pPr>
      <w:r>
        <w:t>That is suitable for the volume of customisation being undertaken at any given time.</w:t>
      </w:r>
    </w:p>
    <w:p w14:paraId="4810F52A" w14:textId="573347DD" w:rsidR="0026779F" w:rsidRPr="0026779F" w:rsidRDefault="0026779F" w:rsidP="0026779F">
      <w:r>
        <w:t xml:space="preserve">NHS BSA data shown in Table </w:t>
      </w:r>
      <w:r w:rsidR="00F11E54">
        <w:t>9</w:t>
      </w:r>
      <w:r>
        <w:t xml:space="preserve"> shows the number of </w:t>
      </w:r>
      <w:r w:rsidR="007A529B">
        <w:t>Stoma Customisation Fees</w:t>
      </w:r>
      <w:r>
        <w:t xml:space="preserve"> by community pharmacies between April 2021 – December 2021.</w:t>
      </w:r>
    </w:p>
    <w:tbl>
      <w:tblPr>
        <w:tblStyle w:val="GridTable4-Accent1"/>
        <w:tblW w:w="0" w:type="auto"/>
        <w:tblLook w:val="04A0" w:firstRow="1" w:lastRow="0" w:firstColumn="1" w:lastColumn="0" w:noHBand="0" w:noVBand="1"/>
      </w:tblPr>
      <w:tblGrid>
        <w:gridCol w:w="3227"/>
        <w:gridCol w:w="6961"/>
      </w:tblGrid>
      <w:tr w:rsidR="0026779F" w14:paraId="626DE23E" w14:textId="77777777" w:rsidTr="00B86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D9A1683" w14:textId="77777777" w:rsidR="0026779F" w:rsidRDefault="0026779F" w:rsidP="00B865AA">
            <w:r>
              <w:t>Area</w:t>
            </w:r>
          </w:p>
        </w:tc>
        <w:tc>
          <w:tcPr>
            <w:tcW w:w="6961" w:type="dxa"/>
          </w:tcPr>
          <w:p w14:paraId="2B5E79A8" w14:textId="1A802400" w:rsidR="0026779F" w:rsidRDefault="0026779F" w:rsidP="00B865AA">
            <w:pPr>
              <w:cnfStyle w:val="100000000000" w:firstRow="1" w:lastRow="0" w:firstColumn="0" w:lastColumn="0" w:oddVBand="0" w:evenVBand="0" w:oddHBand="0" w:evenHBand="0" w:firstRowFirstColumn="0" w:firstRowLastColumn="0" w:lastRowFirstColumn="0" w:lastRowLastColumn="0"/>
            </w:pPr>
            <w:r>
              <w:t xml:space="preserve">Number of </w:t>
            </w:r>
            <w:r w:rsidR="007A529B">
              <w:t>Stoma Customisation Fees</w:t>
            </w:r>
            <w:r>
              <w:t xml:space="preserve"> in the period April 2021 – December 2021 (inclusive).</w:t>
            </w:r>
          </w:p>
        </w:tc>
      </w:tr>
      <w:tr w:rsidR="0026779F" w14:paraId="53F3399C" w14:textId="77777777" w:rsidTr="00B86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2C8D57EA" w14:textId="77777777" w:rsidR="0026779F" w:rsidRDefault="0026779F" w:rsidP="00B865AA">
            <w:r>
              <w:t>Coventry &amp; Warwickshire</w:t>
            </w:r>
          </w:p>
        </w:tc>
        <w:tc>
          <w:tcPr>
            <w:tcW w:w="6961" w:type="dxa"/>
          </w:tcPr>
          <w:p w14:paraId="45727B5B" w14:textId="2CDC79E3" w:rsidR="0026779F" w:rsidRDefault="007A529B" w:rsidP="00B865AA">
            <w:pPr>
              <w:cnfStyle w:val="000000100000" w:firstRow="0" w:lastRow="0" w:firstColumn="0" w:lastColumn="0" w:oddVBand="0" w:evenVBand="0" w:oddHBand="1" w:evenHBand="0" w:firstRowFirstColumn="0" w:firstRowLastColumn="0" w:lastRowFirstColumn="0" w:lastRowLastColumn="0"/>
            </w:pPr>
            <w:r>
              <w:t>180</w:t>
            </w:r>
          </w:p>
        </w:tc>
      </w:tr>
    </w:tbl>
    <w:p w14:paraId="743FA103" w14:textId="7F574C60" w:rsidR="0026779F" w:rsidRDefault="00F11E54" w:rsidP="00F11E54">
      <w:pPr>
        <w:pStyle w:val="Caption"/>
      </w:pPr>
      <w:r>
        <w:t xml:space="preserve">Table </w:t>
      </w:r>
      <w:r>
        <w:fldChar w:fldCharType="begin"/>
      </w:r>
      <w:r>
        <w:instrText>SEQ Table \* ARABIC</w:instrText>
      </w:r>
      <w:r>
        <w:fldChar w:fldCharType="separate"/>
      </w:r>
      <w:r w:rsidR="00AC4C6D">
        <w:rPr>
          <w:noProof/>
        </w:rPr>
        <w:t>9</w:t>
      </w:r>
      <w:r>
        <w:fldChar w:fldCharType="end"/>
      </w:r>
      <w:r>
        <w:t>: Number of Stoma Customisation Fees by community pharmacies in Coventry and Warwickshire</w:t>
      </w:r>
      <w:r>
        <w:br/>
        <w:t>Source: NHS BSA</w:t>
      </w:r>
    </w:p>
    <w:p w14:paraId="399E02F1" w14:textId="77777777" w:rsidR="00F11E54" w:rsidRDefault="00F11E54" w:rsidP="00954C08"/>
    <w:p w14:paraId="1D0E51DC" w14:textId="6910041E" w:rsidR="00954C08" w:rsidRDefault="00954C08" w:rsidP="00954C08">
      <w:r>
        <w:t xml:space="preserve">Of the 161 pharmacies that responded to the pharmacy survey, </w:t>
      </w:r>
      <w:r w:rsidR="00EC7992">
        <w:t>28% in Coventry and 8% in Warwickshire currently provide the SAC service</w:t>
      </w:r>
      <w:r>
        <w:t xml:space="preserve">. </w:t>
      </w:r>
    </w:p>
    <w:p w14:paraId="12D730DC" w14:textId="29E72528" w:rsidR="00EA5DF6" w:rsidRPr="00EA5DF6" w:rsidRDefault="00EA5DF6" w:rsidP="00954C08">
      <w:pPr>
        <w:rPr>
          <w:b/>
          <w:bCs/>
        </w:rPr>
      </w:pPr>
      <w:r>
        <w:rPr>
          <w:b/>
          <w:bCs/>
        </w:rPr>
        <w:t>Conclusion for SAC Service</w:t>
      </w:r>
    </w:p>
    <w:p w14:paraId="6A73D8BF" w14:textId="3A02FCAE" w:rsidR="001E7410" w:rsidRPr="00781D7F" w:rsidRDefault="00C7708A" w:rsidP="001E7410">
      <w:r>
        <w:t xml:space="preserve">Demand for the SAC service is lower than for other advanced services due to the much smaller proportion </w:t>
      </w:r>
      <w:r w:rsidR="006321E0">
        <w:t xml:space="preserve">of the population that may be targeted. </w:t>
      </w:r>
      <w:r w:rsidR="00C94D37">
        <w:t xml:space="preserve">No current gaps in provision have been identified based on the information available. </w:t>
      </w:r>
      <w:r w:rsidR="00395EF9">
        <w:t xml:space="preserve">Coventry and Warwickshire residents may be receiving SACs from other national providers of stomas. The demands of the services should be assessed continually based on service models and demographic changes. </w:t>
      </w:r>
      <w:r w:rsidR="001E7410">
        <w:t xml:space="preserve"> </w:t>
      </w:r>
    </w:p>
    <w:p w14:paraId="6E56E29F" w14:textId="77777777" w:rsidR="00C7708A" w:rsidRDefault="00C7708A" w:rsidP="001E7410"/>
    <w:p w14:paraId="2F25DF71" w14:textId="77777777" w:rsidR="000918D5" w:rsidRPr="00781D7F" w:rsidRDefault="000918D5" w:rsidP="001E7410"/>
    <w:p w14:paraId="0859D9AA" w14:textId="77777777" w:rsidR="008873BC" w:rsidRPr="003E5B6B" w:rsidRDefault="008873BC" w:rsidP="008873BC">
      <w:pPr>
        <w:rPr>
          <w:color w:val="477CBF"/>
        </w:rPr>
      </w:pPr>
      <w:r w:rsidRPr="660AD42D">
        <w:rPr>
          <w:color w:val="477CBF" w:themeColor="accent1"/>
        </w:rPr>
        <w:lastRenderedPageBreak/>
        <w:t>Seasonal Influenza (Flu) Vaccination</w:t>
      </w:r>
    </w:p>
    <w:p w14:paraId="6F0076D8" w14:textId="1CC07074" w:rsidR="008873BC" w:rsidRDefault="00963EC5" w:rsidP="008873BC">
      <w:r>
        <w:t>Each year the NHS runs a national seasonal flu vaccination campaign aiming to vaccinate all patients who are at risk of developing more serious complications from the virus. These include people aged 65 years and over, pregnant women and those with certain heal</w:t>
      </w:r>
      <w:r w:rsidR="00B941EA">
        <w:t>th conditions.</w:t>
      </w:r>
      <w:r w:rsidR="002B573A">
        <w:t xml:space="preserve"> The aims of the service are to:</w:t>
      </w:r>
    </w:p>
    <w:p w14:paraId="21CFD1E2" w14:textId="070DD1D1" w:rsidR="002B573A" w:rsidRDefault="00567F22" w:rsidP="008D3B10">
      <w:pPr>
        <w:pStyle w:val="ListParagraph"/>
        <w:numPr>
          <w:ilvl w:val="0"/>
          <w:numId w:val="7"/>
        </w:numPr>
      </w:pPr>
      <w:r>
        <w:t>S</w:t>
      </w:r>
      <w:r w:rsidR="002B573A">
        <w:t>ustain and maximise uptake of flu vaccine in at risk groups by building the capacity of community pharmacies as an alternative to general practice.</w:t>
      </w:r>
    </w:p>
    <w:p w14:paraId="2F85692F" w14:textId="72ECB5FD" w:rsidR="002B573A" w:rsidRDefault="00567F22" w:rsidP="008D3B10">
      <w:pPr>
        <w:pStyle w:val="ListParagraph"/>
        <w:numPr>
          <w:ilvl w:val="0"/>
          <w:numId w:val="7"/>
        </w:numPr>
      </w:pPr>
      <w:r>
        <w:t>P</w:t>
      </w:r>
      <w:r w:rsidR="002B573A">
        <w:t>rovide more opportunities and improve convenience for eligible patients to access flu vaccinations.</w:t>
      </w:r>
    </w:p>
    <w:p w14:paraId="1621A45C" w14:textId="06F630E3" w:rsidR="002B573A" w:rsidRDefault="00567F22" w:rsidP="008D3B10">
      <w:pPr>
        <w:pStyle w:val="ListParagraph"/>
        <w:numPr>
          <w:ilvl w:val="0"/>
          <w:numId w:val="7"/>
        </w:numPr>
      </w:pPr>
      <w:r>
        <w:t>R</w:t>
      </w:r>
      <w:r w:rsidR="002B573A">
        <w:t xml:space="preserve">educe variation and provide consistent levels of population coverage of community pharmacy flu vaccination across England by providing a national framework. </w:t>
      </w:r>
    </w:p>
    <w:p w14:paraId="2046E838" w14:textId="3BDE96D7" w:rsidR="002C29EB" w:rsidRDefault="005C407B" w:rsidP="002C29EB">
      <w:r>
        <w:t>There has been a local flu vaccination scheme in place since 2012 in Warwickshire and Coventry. From 2015/16 NHS England also commissioned flu vaccination scheme from community pharmacy as a new</w:t>
      </w:r>
      <w:r w:rsidR="00395412">
        <w:t xml:space="preserve"> Advanced Service. All pharmacy contractors can choose to provide the Flu vaccination service. Eligible adults have the choice of getting their flu vaccine at a pharmacy from September to March each year. This service sits alongside the nationally commissioned GP vaccination service, giving patients another choice of venue for their vaccination and helping commissioners to meet their NHS vaccination targets. </w:t>
      </w:r>
    </w:p>
    <w:p w14:paraId="381AC0B9" w14:textId="3A8F372C" w:rsidR="00BB2F90" w:rsidRDefault="00BB2F90" w:rsidP="002C29EB">
      <w:r>
        <w:t>Results from the pharmacy survey</w:t>
      </w:r>
      <w:r w:rsidR="00071F36">
        <w:t xml:space="preserve"> (Table </w:t>
      </w:r>
      <w:r w:rsidR="006803E4">
        <w:t>10</w:t>
      </w:r>
      <w:r w:rsidR="00071F36">
        <w:t>)</w:t>
      </w:r>
      <w:r>
        <w:t xml:space="preserve"> show that 132 of the 161 pharmacies who responded to the survey currently provide a seasonal influenza vaccination service </w:t>
      </w:r>
      <w:r w:rsidR="00071F36">
        <w:t xml:space="preserve">(82%). </w:t>
      </w:r>
      <w:r w:rsidR="005E1EA8">
        <w:t xml:space="preserve">In Coventry, 91% of the respondents to the pharmacy survey provide the vaccination service and </w:t>
      </w:r>
      <w:r w:rsidR="00647954">
        <w:t xml:space="preserve">in Warwickshire 86% provide the service. </w:t>
      </w:r>
      <w:r w:rsidR="00C80F3A">
        <w:t xml:space="preserve">The public survey showed that </w:t>
      </w:r>
      <w:r w:rsidR="007621A9">
        <w:t xml:space="preserve">84% of respondents were either aware of, or had used the service, only 10% saying they were not aware of the service. </w:t>
      </w:r>
    </w:p>
    <w:tbl>
      <w:tblPr>
        <w:tblStyle w:val="GridTable4-Accent1"/>
        <w:tblW w:w="0" w:type="auto"/>
        <w:tblLook w:val="04A0" w:firstRow="1" w:lastRow="0" w:firstColumn="1" w:lastColumn="0" w:noHBand="0" w:noVBand="1"/>
      </w:tblPr>
      <w:tblGrid>
        <w:gridCol w:w="2037"/>
        <w:gridCol w:w="2037"/>
        <w:gridCol w:w="2038"/>
        <w:gridCol w:w="2038"/>
        <w:gridCol w:w="2038"/>
      </w:tblGrid>
      <w:tr w:rsidR="005A14DF" w:rsidRPr="00597A2A" w14:paraId="14662316" w14:textId="77777777" w:rsidTr="00A41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tcPr>
          <w:p w14:paraId="0C184F3F" w14:textId="77777777" w:rsidR="005A14DF" w:rsidRPr="00597A2A" w:rsidRDefault="005A14DF" w:rsidP="00A41A87">
            <w:pPr>
              <w:spacing w:before="200" w:after="200" w:line="276" w:lineRule="auto"/>
              <w:rPr>
                <w:sz w:val="22"/>
                <w:szCs w:val="22"/>
              </w:rPr>
            </w:pPr>
            <w:r>
              <w:rPr>
                <w:sz w:val="22"/>
                <w:szCs w:val="22"/>
              </w:rPr>
              <w:t>Vaccination Service</w:t>
            </w:r>
          </w:p>
        </w:tc>
        <w:tc>
          <w:tcPr>
            <w:tcW w:w="2037" w:type="dxa"/>
          </w:tcPr>
          <w:p w14:paraId="1BA4D69E" w14:textId="77777777" w:rsidR="005A14DF" w:rsidRPr="00597A2A" w:rsidRDefault="005A14DF" w:rsidP="00A41A87">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1DCA1DC1" w14:textId="77777777" w:rsidR="005A14DF" w:rsidRPr="00597A2A" w:rsidRDefault="005A14DF" w:rsidP="00A41A87">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c>
          <w:tcPr>
            <w:tcW w:w="2038" w:type="dxa"/>
          </w:tcPr>
          <w:p w14:paraId="6DE42AFC" w14:textId="77777777" w:rsidR="005A14DF" w:rsidRPr="00597A2A" w:rsidRDefault="005A14DF" w:rsidP="00A41A87">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privately</w:t>
            </w:r>
          </w:p>
        </w:tc>
        <w:tc>
          <w:tcPr>
            <w:tcW w:w="2038" w:type="dxa"/>
          </w:tcPr>
          <w:p w14:paraId="6551F663" w14:textId="77777777" w:rsidR="005A14DF" w:rsidRPr="00597A2A" w:rsidRDefault="005A14DF" w:rsidP="00A41A87">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Wouldn’t provide if commissioned</w:t>
            </w:r>
          </w:p>
        </w:tc>
      </w:tr>
      <w:tr w:rsidR="005A14DF" w:rsidRPr="00A21997" w14:paraId="740CED3A" w14:textId="77777777" w:rsidTr="00A41A8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D5CC4C8" w14:textId="77777777" w:rsidR="005A14DF" w:rsidRPr="00A21997" w:rsidRDefault="005A14DF" w:rsidP="00A41A87">
            <w:pPr>
              <w:spacing w:before="0" w:after="0" w:line="240" w:lineRule="auto"/>
              <w:rPr>
                <w:rFonts w:eastAsia="Times New Roman" w:cs="Arial"/>
                <w:color w:val="000000"/>
                <w:sz w:val="20"/>
              </w:rPr>
            </w:pPr>
            <w:r w:rsidRPr="00A21997">
              <w:rPr>
                <w:rFonts w:eastAsia="Times New Roman" w:cs="Arial"/>
                <w:color w:val="000000"/>
                <w:sz w:val="20"/>
              </w:rPr>
              <w:t>Seasonal Influenza Vaccination service</w:t>
            </w:r>
          </w:p>
        </w:tc>
        <w:tc>
          <w:tcPr>
            <w:tcW w:w="2037" w:type="dxa"/>
            <w:noWrap/>
            <w:hideMark/>
          </w:tcPr>
          <w:p w14:paraId="5AF5F290" w14:textId="77777777" w:rsidR="005A14DF" w:rsidRPr="00A21997" w:rsidRDefault="005A14DF" w:rsidP="00A41A8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132</w:t>
            </w:r>
          </w:p>
        </w:tc>
        <w:tc>
          <w:tcPr>
            <w:tcW w:w="2038" w:type="dxa"/>
            <w:noWrap/>
            <w:hideMark/>
          </w:tcPr>
          <w:p w14:paraId="28676A36" w14:textId="77777777" w:rsidR="005A14DF" w:rsidRPr="00A21997" w:rsidRDefault="005A14DF" w:rsidP="00A41A8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16</w:t>
            </w:r>
          </w:p>
        </w:tc>
        <w:tc>
          <w:tcPr>
            <w:tcW w:w="2038" w:type="dxa"/>
            <w:noWrap/>
            <w:hideMark/>
          </w:tcPr>
          <w:p w14:paraId="226262AD" w14:textId="77777777" w:rsidR="005A14DF" w:rsidRPr="00A21997" w:rsidRDefault="005A14DF" w:rsidP="00A41A8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19</w:t>
            </w:r>
          </w:p>
        </w:tc>
        <w:tc>
          <w:tcPr>
            <w:tcW w:w="2038" w:type="dxa"/>
            <w:noWrap/>
            <w:hideMark/>
          </w:tcPr>
          <w:p w14:paraId="33703E25" w14:textId="77777777" w:rsidR="005A14DF" w:rsidRPr="00A21997" w:rsidRDefault="005A14DF" w:rsidP="00A41A8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8</w:t>
            </w:r>
          </w:p>
        </w:tc>
      </w:tr>
    </w:tbl>
    <w:p w14:paraId="7D38410E" w14:textId="7F0CB555" w:rsidR="009D2D8F" w:rsidRDefault="00F11E54" w:rsidP="00F11E54">
      <w:pPr>
        <w:pStyle w:val="Caption"/>
      </w:pPr>
      <w:r>
        <w:t xml:space="preserve">Table </w:t>
      </w:r>
      <w:r>
        <w:fldChar w:fldCharType="begin"/>
      </w:r>
      <w:r>
        <w:instrText>SEQ Table \* ARABIC</w:instrText>
      </w:r>
      <w:r>
        <w:fldChar w:fldCharType="separate"/>
      </w:r>
      <w:r w:rsidR="00AC4C6D">
        <w:rPr>
          <w:noProof/>
        </w:rPr>
        <w:t>10</w:t>
      </w:r>
      <w:r>
        <w:fldChar w:fldCharType="end"/>
      </w:r>
      <w:r>
        <w:t xml:space="preserve">: </w:t>
      </w:r>
      <w:r w:rsidR="00476304">
        <w:t>Number of pharmacies providing, would provide, or wouldn’t provide in Coventry and Warwickshire</w:t>
      </w:r>
      <w:r w:rsidR="00476304">
        <w:br/>
        <w:t xml:space="preserve">Source: </w:t>
      </w:r>
      <w:r w:rsidR="006803E4">
        <w:t>Pharmacy Survey for 2022 PNA</w:t>
      </w:r>
    </w:p>
    <w:p w14:paraId="68732CCC" w14:textId="49B2184F" w:rsidR="00395412" w:rsidRPr="007D442D" w:rsidRDefault="00B024B8" w:rsidP="002C29EB">
      <w:pPr>
        <w:rPr>
          <w:color w:val="FF0000"/>
        </w:rPr>
      </w:pPr>
      <w:r>
        <w:t xml:space="preserve">NHS BSA data shown in Table </w:t>
      </w:r>
      <w:r w:rsidR="007A06B1">
        <w:t>11</w:t>
      </w:r>
      <w:r>
        <w:t xml:space="preserve"> </w:t>
      </w:r>
      <w:r w:rsidR="003B7C13">
        <w:t xml:space="preserve">shows </w:t>
      </w:r>
      <w:r w:rsidR="007B455B">
        <w:t xml:space="preserve">the number of community pharmacy seasonal influenza </w:t>
      </w:r>
      <w:r w:rsidR="00AE3FBD">
        <w:t>vaccination advanced service fee.</w:t>
      </w:r>
      <w:r w:rsidR="007D442D">
        <w:t xml:space="preserve"> </w:t>
      </w:r>
      <w:r w:rsidR="007D442D">
        <w:rPr>
          <w:color w:val="FF0000"/>
        </w:rPr>
        <w:t xml:space="preserve"> </w:t>
      </w:r>
    </w:p>
    <w:p w14:paraId="67692CE9" w14:textId="77777777" w:rsidR="007842E2" w:rsidRPr="007D442D" w:rsidRDefault="007842E2" w:rsidP="002C29EB">
      <w:pPr>
        <w:rPr>
          <w:color w:val="FF0000"/>
        </w:rPr>
      </w:pPr>
    </w:p>
    <w:tbl>
      <w:tblPr>
        <w:tblStyle w:val="GridTable4-Accent1"/>
        <w:tblW w:w="0" w:type="auto"/>
        <w:tblLook w:val="04A0" w:firstRow="1" w:lastRow="0" w:firstColumn="1" w:lastColumn="0" w:noHBand="0" w:noVBand="1"/>
      </w:tblPr>
      <w:tblGrid>
        <w:gridCol w:w="3227"/>
        <w:gridCol w:w="6961"/>
      </w:tblGrid>
      <w:tr w:rsidR="00AE3FBD" w14:paraId="53C8C150" w14:textId="77777777" w:rsidTr="002308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622DBD5" w14:textId="234BAF01" w:rsidR="00AE3FBD" w:rsidRDefault="00AE3FBD" w:rsidP="002C29EB">
            <w:r>
              <w:lastRenderedPageBreak/>
              <w:t>Are</w:t>
            </w:r>
            <w:r w:rsidR="00F56306">
              <w:t>a</w:t>
            </w:r>
          </w:p>
        </w:tc>
        <w:tc>
          <w:tcPr>
            <w:tcW w:w="6961" w:type="dxa"/>
          </w:tcPr>
          <w:p w14:paraId="42586288" w14:textId="2F0F60EB" w:rsidR="00AE3FBD" w:rsidRDefault="00F56306" w:rsidP="002C29EB">
            <w:pPr>
              <w:cnfStyle w:val="100000000000" w:firstRow="1" w:lastRow="0" w:firstColumn="0" w:lastColumn="0" w:oddVBand="0" w:evenVBand="0" w:oddHBand="0" w:evenHBand="0" w:firstRowFirstColumn="0" w:firstRowLastColumn="0" w:lastRowFirstColumn="0" w:lastRowLastColumn="0"/>
            </w:pPr>
            <w:r>
              <w:t xml:space="preserve">Number of community pharmacy seasonal influenza vaccinations in the </w:t>
            </w:r>
            <w:r w:rsidR="00D03A74">
              <w:t>period</w:t>
            </w:r>
            <w:r>
              <w:t xml:space="preserve"> April 2021 – December 2021 (inclusive).</w:t>
            </w:r>
          </w:p>
        </w:tc>
      </w:tr>
      <w:tr w:rsidR="00AE3FBD" w14:paraId="295447E5" w14:textId="77777777" w:rsidTr="002308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57AD05F5" w14:textId="060EAC9D" w:rsidR="00AE3FBD" w:rsidRDefault="00230855" w:rsidP="002C29EB">
            <w:r>
              <w:t>Coventry &amp; Warwickshire</w:t>
            </w:r>
          </w:p>
        </w:tc>
        <w:tc>
          <w:tcPr>
            <w:tcW w:w="6961" w:type="dxa"/>
          </w:tcPr>
          <w:p w14:paraId="23CA776D" w14:textId="6371D2FA" w:rsidR="00AE3FBD" w:rsidRDefault="00230855" w:rsidP="002C29EB">
            <w:pPr>
              <w:cnfStyle w:val="000000100000" w:firstRow="0" w:lastRow="0" w:firstColumn="0" w:lastColumn="0" w:oddVBand="0" w:evenVBand="0" w:oddHBand="1" w:evenHBand="0" w:firstRowFirstColumn="0" w:firstRowLastColumn="0" w:lastRowFirstColumn="0" w:lastRowLastColumn="0"/>
            </w:pPr>
            <w:r>
              <w:t>66,570</w:t>
            </w:r>
          </w:p>
        </w:tc>
      </w:tr>
    </w:tbl>
    <w:p w14:paraId="45B16911" w14:textId="4DF8436E" w:rsidR="006803E4" w:rsidRPr="006803E4" w:rsidRDefault="006803E4" w:rsidP="006803E4">
      <w:pPr>
        <w:pStyle w:val="Caption"/>
      </w:pPr>
      <w:r>
        <w:t xml:space="preserve">Table </w:t>
      </w:r>
      <w:r>
        <w:fldChar w:fldCharType="begin"/>
      </w:r>
      <w:r>
        <w:instrText>SEQ Table \* ARABIC</w:instrText>
      </w:r>
      <w:r>
        <w:fldChar w:fldCharType="separate"/>
      </w:r>
      <w:r w:rsidR="00AC4C6D">
        <w:rPr>
          <w:noProof/>
        </w:rPr>
        <w:t>11</w:t>
      </w:r>
      <w:r>
        <w:fldChar w:fldCharType="end"/>
      </w:r>
      <w:r>
        <w:t>: Number of community pharmacy seasonal influenza vassincation advanced service fees.</w:t>
      </w:r>
      <w:r>
        <w:br/>
        <w:t>Source: NHS BSA</w:t>
      </w:r>
    </w:p>
    <w:p w14:paraId="35D29399" w14:textId="08D0819F" w:rsidR="00AE3FBD" w:rsidRPr="001057A7" w:rsidRDefault="001057A7" w:rsidP="002C29EB">
      <w:r w:rsidRPr="001057A7">
        <w:t xml:space="preserve">Figure </w:t>
      </w:r>
      <w:r w:rsidR="00703DFB">
        <w:t>40</w:t>
      </w:r>
      <w:r>
        <w:t xml:space="preserve"> shows the percentage of over 65-year-olds who </w:t>
      </w:r>
      <w:r w:rsidR="00EB6A00">
        <w:t>received the flu vaccination between 1</w:t>
      </w:r>
      <w:r w:rsidR="00EB6A00" w:rsidRPr="00EB6A00">
        <w:rPr>
          <w:vertAlign w:val="superscript"/>
        </w:rPr>
        <w:t>st</w:t>
      </w:r>
      <w:r w:rsidR="00EB6A00">
        <w:t xml:space="preserve"> September to the end of February in a primary care setting. </w:t>
      </w:r>
      <w:r w:rsidR="00D22BEE">
        <w:t>The target percentage uptake of the flu vaccine each year is 75%.</w:t>
      </w:r>
      <w:r w:rsidR="001D143C">
        <w:t xml:space="preserve"> </w:t>
      </w:r>
      <w:r w:rsidR="00F27184">
        <w:t>Until 2020/21, Coventry and England were below that target with Warwickshire being slightly under or on the target.</w:t>
      </w:r>
      <w:r w:rsidR="00515291">
        <w:t xml:space="preserve"> In 2020/21 Coventry, Warwickshire, and England all achieved over 75% coverage, with Coventry at 78% and Warwickshire at 82.9%.</w:t>
      </w:r>
    </w:p>
    <w:p w14:paraId="5DF081E5" w14:textId="3511292A" w:rsidR="00795236" w:rsidRDefault="00795236" w:rsidP="002C29EB">
      <w:pPr>
        <w:rPr>
          <w:b/>
          <w:bCs/>
        </w:rPr>
      </w:pPr>
      <w:r>
        <w:rPr>
          <w:noProof/>
        </w:rPr>
        <w:drawing>
          <wp:inline distT="0" distB="0" distL="0" distR="0" wp14:anchorId="6E64F244" wp14:editId="1A7A3296">
            <wp:extent cx="6569613" cy="3953022"/>
            <wp:effectExtent l="0" t="0" r="3175" b="9525"/>
            <wp:docPr id="60" name="Chart 60">
              <a:extLst xmlns:a="http://schemas.openxmlformats.org/drawingml/2006/main">
                <a:ext uri="{FF2B5EF4-FFF2-40B4-BE49-F238E27FC236}">
                  <a16:creationId xmlns:a16="http://schemas.microsoft.com/office/drawing/2014/main" id="{25E1E019-39BA-4089-AD59-72A3C4ADC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1BD85B8" w14:textId="25F331C0" w:rsidR="002442D6" w:rsidRPr="002442D6" w:rsidRDefault="007A06B1" w:rsidP="007A06B1">
      <w:pPr>
        <w:pStyle w:val="Caption"/>
      </w:pPr>
      <w:r>
        <w:t xml:space="preserve">Figure </w:t>
      </w:r>
      <w:r>
        <w:fldChar w:fldCharType="begin"/>
      </w:r>
      <w:r>
        <w:instrText>SEQ Figure \* ARABIC</w:instrText>
      </w:r>
      <w:r>
        <w:fldChar w:fldCharType="separate"/>
      </w:r>
      <w:r w:rsidR="006553F7">
        <w:rPr>
          <w:noProof/>
        </w:rPr>
        <w:t>40</w:t>
      </w:r>
      <w:r>
        <w:fldChar w:fldCharType="end"/>
      </w:r>
      <w:r w:rsidR="002442D6">
        <w:t>: Percentage of over 65-year-olds who received the flu vaccine between 1</w:t>
      </w:r>
      <w:r w:rsidR="002442D6" w:rsidRPr="002442D6">
        <w:rPr>
          <w:vertAlign w:val="superscript"/>
        </w:rPr>
        <w:t>st</w:t>
      </w:r>
      <w:r w:rsidR="002442D6">
        <w:t xml:space="preserve"> September to the end of February in a primary care setting</w:t>
      </w:r>
      <w:r>
        <w:br/>
      </w:r>
      <w:r w:rsidR="002442D6">
        <w:t>Source: Fingertips</w:t>
      </w:r>
    </w:p>
    <w:p w14:paraId="3AC52A60" w14:textId="77777777" w:rsidR="000918D5" w:rsidRDefault="000918D5" w:rsidP="002C29EB">
      <w:pPr>
        <w:rPr>
          <w:b/>
          <w:bCs/>
        </w:rPr>
      </w:pPr>
    </w:p>
    <w:p w14:paraId="05FC4FBD" w14:textId="77777777" w:rsidR="000918D5" w:rsidRDefault="000918D5" w:rsidP="002C29EB">
      <w:pPr>
        <w:rPr>
          <w:b/>
          <w:bCs/>
        </w:rPr>
      </w:pPr>
    </w:p>
    <w:p w14:paraId="1DE6E7C3" w14:textId="5AF9C346" w:rsidR="00B118BB" w:rsidRDefault="00B118BB" w:rsidP="002C29EB">
      <w:pPr>
        <w:rPr>
          <w:b/>
          <w:bCs/>
        </w:rPr>
      </w:pPr>
      <w:r>
        <w:rPr>
          <w:b/>
          <w:bCs/>
        </w:rPr>
        <w:lastRenderedPageBreak/>
        <w:t>Conclusion for Flu Vaccination service</w:t>
      </w:r>
    </w:p>
    <w:p w14:paraId="07D540CA" w14:textId="0362699A" w:rsidR="00386571" w:rsidRPr="00B118BB" w:rsidRDefault="00B118BB" w:rsidP="002C29EB">
      <w:r>
        <w:t>There is adequate provision of this service in</w:t>
      </w:r>
      <w:r w:rsidR="00076029">
        <w:t xml:space="preserve"> Coventry and</w:t>
      </w:r>
      <w:r>
        <w:t xml:space="preserve"> Warwickshire</w:t>
      </w:r>
      <w:r w:rsidR="00076029">
        <w:t xml:space="preserve">. </w:t>
      </w:r>
      <w:r w:rsidR="00386571">
        <w:t xml:space="preserve">The Flu service is also accessible from GPs and other Healthcare providers. Pharmacies in </w:t>
      </w:r>
      <w:r w:rsidR="00076029">
        <w:t xml:space="preserve">Coventry and </w:t>
      </w:r>
      <w:r w:rsidR="00386571">
        <w:t xml:space="preserve">Warwickshire should continue to be encouraged to provide the flu vaccine. Flu immunisation is a </w:t>
      </w:r>
      <w:r w:rsidR="00313DAF">
        <w:t>cost-effective</w:t>
      </w:r>
      <w:r w:rsidR="00386571">
        <w:t xml:space="preserve"> health protection intervention, which supports the prevention of the spread of infectious disease, reducing illness, and complications of </w:t>
      </w:r>
      <w:r w:rsidR="00313DAF">
        <w:t xml:space="preserve">flu, which, although a mild illness in most, can be fatal. </w:t>
      </w:r>
    </w:p>
    <w:p w14:paraId="796E9E45" w14:textId="274F921F" w:rsidR="00406354" w:rsidRDefault="00406354" w:rsidP="002C29EB"/>
    <w:p w14:paraId="22EF1CFA" w14:textId="5A9C5103" w:rsidR="006644B5" w:rsidRDefault="0059106C" w:rsidP="008873BC">
      <w:pPr>
        <w:rPr>
          <w:color w:val="477CBF"/>
        </w:rPr>
      </w:pPr>
      <w:r w:rsidRPr="39CC85E6">
        <w:rPr>
          <w:color w:val="477CBF" w:themeColor="accent1"/>
        </w:rPr>
        <w:t>Community Pharmacist Consultation Service (</w:t>
      </w:r>
      <w:r w:rsidR="006644B5" w:rsidRPr="39CC85E6">
        <w:rPr>
          <w:color w:val="477CBF" w:themeColor="accent1"/>
        </w:rPr>
        <w:t>CPCS</w:t>
      </w:r>
      <w:r w:rsidRPr="39CC85E6">
        <w:rPr>
          <w:color w:val="477CBF" w:themeColor="accent1"/>
        </w:rPr>
        <w:t>)</w:t>
      </w:r>
    </w:p>
    <w:p w14:paraId="3A16ECC5" w14:textId="7DDAF1AB" w:rsidR="0059106C" w:rsidRPr="00DB51AA" w:rsidRDefault="00DB51AA" w:rsidP="008873BC">
      <w:r>
        <w:t>The Community Pharmacist Consultation Service (CPCS) was launched on 29</w:t>
      </w:r>
      <w:r w:rsidRPr="00DB51AA">
        <w:rPr>
          <w:vertAlign w:val="superscript"/>
        </w:rPr>
        <w:t>th</w:t>
      </w:r>
      <w:r>
        <w:t xml:space="preserve"> October 2019</w:t>
      </w:r>
      <w:r w:rsidR="00520139">
        <w:t xml:space="preserve">, </w:t>
      </w:r>
      <w:r w:rsidR="004707A7">
        <w:t>allowing</w:t>
      </w:r>
      <w:r w:rsidR="00520139">
        <w:t xml:space="preserve"> </w:t>
      </w:r>
      <w:r w:rsidR="00A15008">
        <w:t>referrals into community pharmacies from NHS 111.</w:t>
      </w:r>
      <w:r w:rsidR="00520139">
        <w:t xml:space="preserve"> </w:t>
      </w:r>
      <w:r w:rsidR="005F206D">
        <w:t>On 1</w:t>
      </w:r>
      <w:r w:rsidR="005F206D" w:rsidRPr="005F206D">
        <w:rPr>
          <w:vertAlign w:val="superscript"/>
        </w:rPr>
        <w:t>st</w:t>
      </w:r>
      <w:r w:rsidR="005F206D">
        <w:t xml:space="preserve"> November 2020 this service was extended to GP CPCS which allowed </w:t>
      </w:r>
      <w:r w:rsidR="004707A7">
        <w:t>gener</w:t>
      </w:r>
      <w:r w:rsidR="00520139">
        <w:t>al practices to refer patients for a minor illness consultation</w:t>
      </w:r>
      <w:r w:rsidR="004707A7">
        <w:t xml:space="preserve"> via CPCS, once a local referral pathway has been agreed. This service</w:t>
      </w:r>
      <w:r w:rsidR="00A1405B">
        <w:t xml:space="preserve"> replaced the NUMSAS and DMIRS pilots. </w:t>
      </w:r>
    </w:p>
    <w:p w14:paraId="1964BE92" w14:textId="596AB7DB" w:rsidR="00924127" w:rsidRPr="00DB51AA" w:rsidRDefault="00924127" w:rsidP="008873BC">
      <w:r>
        <w:t xml:space="preserve">The CPCS aims to relieve pressure on the wider NHS by connecting patients </w:t>
      </w:r>
      <w:r w:rsidR="00FF646F">
        <w:t>to community pharmacies which can deliver a swift, convenient, and effective service to meet their needs. Since this service was launched, an average of 10,500 patients per week are being referred for a consultation with a pharmacist following a call to NHS 111</w:t>
      </w:r>
      <w:r w:rsidR="00FF646F">
        <w:rPr>
          <w:rStyle w:val="FootnoteReference"/>
        </w:rPr>
        <w:footnoteReference w:id="41"/>
      </w:r>
      <w:r w:rsidR="00FF646F">
        <w:t xml:space="preserve">. These patients may otherwise have gone to see their GP. </w:t>
      </w:r>
    </w:p>
    <w:p w14:paraId="088597DC" w14:textId="09FBCE18" w:rsidR="00CD455D" w:rsidRPr="0026779F" w:rsidRDefault="00CD455D" w:rsidP="00CD455D">
      <w:r>
        <w:t xml:space="preserve">NHS BSA data shown in Table </w:t>
      </w:r>
      <w:r w:rsidR="007A06B1">
        <w:t>12</w:t>
      </w:r>
      <w:r>
        <w:t xml:space="preserve"> shows the number of </w:t>
      </w:r>
      <w:r w:rsidR="005D2B75">
        <w:t>CPCS</w:t>
      </w:r>
      <w:r>
        <w:t xml:space="preserve"> Fees by community pharmacies between April 2021 – December 2021.</w:t>
      </w:r>
    </w:p>
    <w:tbl>
      <w:tblPr>
        <w:tblStyle w:val="GridTable4-Accent1"/>
        <w:tblW w:w="0" w:type="auto"/>
        <w:tblLook w:val="04A0" w:firstRow="1" w:lastRow="0" w:firstColumn="1" w:lastColumn="0" w:noHBand="0" w:noVBand="1"/>
      </w:tblPr>
      <w:tblGrid>
        <w:gridCol w:w="3227"/>
        <w:gridCol w:w="6961"/>
      </w:tblGrid>
      <w:tr w:rsidR="00CD455D" w14:paraId="72283E0D" w14:textId="77777777" w:rsidTr="00FE5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81F85A7" w14:textId="77777777" w:rsidR="00CD455D" w:rsidRDefault="00CD455D" w:rsidP="00FE54F9">
            <w:r>
              <w:t>Area</w:t>
            </w:r>
          </w:p>
        </w:tc>
        <w:tc>
          <w:tcPr>
            <w:tcW w:w="6961" w:type="dxa"/>
          </w:tcPr>
          <w:p w14:paraId="3C570A05" w14:textId="1B460146" w:rsidR="00CD455D" w:rsidRDefault="00CD455D" w:rsidP="00FE54F9">
            <w:pPr>
              <w:cnfStyle w:val="100000000000" w:firstRow="1" w:lastRow="0" w:firstColumn="0" w:lastColumn="0" w:oddVBand="0" w:evenVBand="0" w:oddHBand="0" w:evenHBand="0" w:firstRowFirstColumn="0" w:firstRowLastColumn="0" w:lastRowFirstColumn="0" w:lastRowLastColumn="0"/>
            </w:pPr>
            <w:r>
              <w:t xml:space="preserve">Number of </w:t>
            </w:r>
            <w:r w:rsidR="005D2B75">
              <w:t>CPCS</w:t>
            </w:r>
            <w:r>
              <w:t xml:space="preserve"> Fees in the period April 2021 – December 2021 (inclusive).</w:t>
            </w:r>
          </w:p>
        </w:tc>
      </w:tr>
      <w:tr w:rsidR="00CD455D" w14:paraId="74996C1C" w14:textId="77777777" w:rsidTr="00FE5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CE16991" w14:textId="77777777" w:rsidR="00CD455D" w:rsidRDefault="00CD455D" w:rsidP="00FE54F9">
            <w:r>
              <w:t>Coventry &amp; Warwickshire</w:t>
            </w:r>
          </w:p>
        </w:tc>
        <w:tc>
          <w:tcPr>
            <w:tcW w:w="6961" w:type="dxa"/>
          </w:tcPr>
          <w:p w14:paraId="3E9BA86E" w14:textId="11E9A0BB" w:rsidR="00CD455D" w:rsidRDefault="009935C6" w:rsidP="00FE54F9">
            <w:pPr>
              <w:cnfStyle w:val="000000100000" w:firstRow="0" w:lastRow="0" w:firstColumn="0" w:lastColumn="0" w:oddVBand="0" w:evenVBand="0" w:oddHBand="1" w:evenHBand="0" w:firstRowFirstColumn="0" w:firstRowLastColumn="0" w:lastRowFirstColumn="0" w:lastRowLastColumn="0"/>
            </w:pPr>
            <w:r>
              <w:t>6,837</w:t>
            </w:r>
          </w:p>
        </w:tc>
      </w:tr>
    </w:tbl>
    <w:p w14:paraId="38BC6C17" w14:textId="052BAA8F" w:rsidR="007A06B1" w:rsidRDefault="007A06B1" w:rsidP="007A06B1">
      <w:pPr>
        <w:pStyle w:val="Caption"/>
      </w:pPr>
      <w:r>
        <w:t xml:space="preserve">Table </w:t>
      </w:r>
      <w:r>
        <w:fldChar w:fldCharType="begin"/>
      </w:r>
      <w:r>
        <w:instrText>SEQ Table \* ARABIC</w:instrText>
      </w:r>
      <w:r>
        <w:fldChar w:fldCharType="separate"/>
      </w:r>
      <w:r w:rsidR="00AC4C6D">
        <w:rPr>
          <w:noProof/>
        </w:rPr>
        <w:t>12</w:t>
      </w:r>
      <w:r>
        <w:fldChar w:fldCharType="end"/>
      </w:r>
      <w:r>
        <w:t>: Number of CPCS Fees by community pharmacies in Coventry and Warwickshire</w:t>
      </w:r>
      <w:r>
        <w:br/>
        <w:t>Source: NHS BSA</w:t>
      </w:r>
    </w:p>
    <w:p w14:paraId="4C1624E7" w14:textId="6BF1DD1C" w:rsidR="00CD455D" w:rsidRPr="00DB51AA" w:rsidRDefault="00D96972" w:rsidP="008873BC">
      <w:r>
        <w:t>188 of the 197 pharmacies in Coventry and Warwickshire currently provide</w:t>
      </w:r>
      <w:r w:rsidR="00DA1E02">
        <w:t xml:space="preserve"> a CPCS service. </w:t>
      </w:r>
    </w:p>
    <w:p w14:paraId="7B6118D7" w14:textId="77777777" w:rsidR="000918D5" w:rsidRDefault="000918D5" w:rsidP="008873BC">
      <w:pPr>
        <w:rPr>
          <w:b/>
          <w:bCs/>
        </w:rPr>
      </w:pPr>
    </w:p>
    <w:p w14:paraId="07866D5B" w14:textId="3B8BC068" w:rsidR="00FB6FD8" w:rsidRPr="00FB6FD8" w:rsidRDefault="00FB6FD8" w:rsidP="008873BC">
      <w:pPr>
        <w:rPr>
          <w:b/>
          <w:bCs/>
        </w:rPr>
      </w:pPr>
      <w:r>
        <w:rPr>
          <w:b/>
          <w:bCs/>
        </w:rPr>
        <w:lastRenderedPageBreak/>
        <w:t>Conclusion for CPCS Service</w:t>
      </w:r>
    </w:p>
    <w:p w14:paraId="6A1A70C6" w14:textId="12A9195F" w:rsidR="00AC67D9" w:rsidRPr="001D4830" w:rsidRDefault="00AE2FF2" w:rsidP="00AC67D9">
      <w:r>
        <w:t xml:space="preserve">There is a good </w:t>
      </w:r>
      <w:r w:rsidR="0012166A">
        <w:t>provision of CPCS across Coventry and Warwickshire</w:t>
      </w:r>
      <w:r w:rsidR="00107CD4">
        <w:t xml:space="preserve">. No current gaps have been identified based on the information available. </w:t>
      </w:r>
    </w:p>
    <w:p w14:paraId="313C8DE3" w14:textId="77777777" w:rsidR="00AE2FF2" w:rsidRPr="001D4830" w:rsidRDefault="00AE2FF2" w:rsidP="00AC67D9"/>
    <w:p w14:paraId="68682910" w14:textId="3B05386F" w:rsidR="0052561E" w:rsidRDefault="0052561E" w:rsidP="008873BC">
      <w:pPr>
        <w:rPr>
          <w:color w:val="477CBF"/>
        </w:rPr>
      </w:pPr>
      <w:r>
        <w:rPr>
          <w:color w:val="477CBF"/>
        </w:rPr>
        <w:t>Hepatitis C Testing Service</w:t>
      </w:r>
    </w:p>
    <w:p w14:paraId="139944A6" w14:textId="344305D0" w:rsidR="00516EB9" w:rsidRDefault="00480129" w:rsidP="008873BC">
      <w:r>
        <w:t xml:space="preserve">The Hepatitis C testing service focuses on the provision </w:t>
      </w:r>
      <w:r w:rsidR="00F40EB6">
        <w:t xml:space="preserve">of point of care testing for Hepatitis C </w:t>
      </w:r>
      <w:r w:rsidR="008E305F">
        <w:t xml:space="preserve">(Hep C) </w:t>
      </w:r>
      <w:r w:rsidR="00F40EB6">
        <w:t xml:space="preserve">antibodies </w:t>
      </w:r>
      <w:r w:rsidR="00393870">
        <w:t xml:space="preserve">in people </w:t>
      </w:r>
      <w:r w:rsidR="006A0F54">
        <w:t xml:space="preserve">who </w:t>
      </w:r>
      <w:r w:rsidR="00564BEF">
        <w:t>inject dru</w:t>
      </w:r>
      <w:r w:rsidR="0010259B">
        <w:t>gs (for example people who inject illicit drugs such as steroids or heroin</w:t>
      </w:r>
      <w:r w:rsidR="00E06E85">
        <w:t>) but</w:t>
      </w:r>
      <w:r w:rsidR="0010259B">
        <w:t xml:space="preserve"> </w:t>
      </w:r>
      <w:r w:rsidR="008E305F">
        <w:t xml:space="preserve">aren’t yet accepting treatment for their substance use. Should an individual test positive for Hep C </w:t>
      </w:r>
      <w:r w:rsidR="00E06E85">
        <w:t xml:space="preserve">antibodies they are referred for a </w:t>
      </w:r>
      <w:r w:rsidR="001370EE">
        <w:t xml:space="preserve">PCR </w:t>
      </w:r>
      <w:r w:rsidR="00E06E85">
        <w:t xml:space="preserve">confirmatory test and treatment. </w:t>
      </w:r>
      <w:r w:rsidR="007F5F24">
        <w:t>The aim of the service is to:</w:t>
      </w:r>
    </w:p>
    <w:p w14:paraId="5E2562D1" w14:textId="54FA1E1D" w:rsidR="007F5F24" w:rsidRDefault="007F5F24" w:rsidP="008D3B10">
      <w:pPr>
        <w:pStyle w:val="ListParagraph"/>
        <w:numPr>
          <w:ilvl w:val="0"/>
          <w:numId w:val="29"/>
        </w:numPr>
      </w:pPr>
      <w:r>
        <w:t>Increase the number of diagnoses of HCV</w:t>
      </w:r>
      <w:r w:rsidR="00EA4DE6">
        <w:t xml:space="preserve"> infection</w:t>
      </w:r>
    </w:p>
    <w:p w14:paraId="5DB80C32" w14:textId="1FD44701" w:rsidR="006F7B2A" w:rsidRDefault="006F7B2A" w:rsidP="008D3B10">
      <w:pPr>
        <w:pStyle w:val="ListParagraph"/>
        <w:numPr>
          <w:ilvl w:val="0"/>
          <w:numId w:val="29"/>
        </w:numPr>
      </w:pPr>
      <w:r>
        <w:t>Permit effective interventions to lessen the burden of illness to the individual</w:t>
      </w:r>
    </w:p>
    <w:p w14:paraId="09BF5444" w14:textId="4CF93588" w:rsidR="006F7B2A" w:rsidRDefault="006F7B2A" w:rsidP="008D3B10">
      <w:pPr>
        <w:pStyle w:val="ListParagraph"/>
        <w:numPr>
          <w:ilvl w:val="0"/>
          <w:numId w:val="29"/>
        </w:numPr>
      </w:pPr>
      <w:r>
        <w:t>Decrease long-term costs of treatment</w:t>
      </w:r>
    </w:p>
    <w:p w14:paraId="59B6A594" w14:textId="7B69AD3B" w:rsidR="006F7B2A" w:rsidRDefault="006F7B2A" w:rsidP="008D3B10">
      <w:pPr>
        <w:pStyle w:val="ListParagraph"/>
        <w:numPr>
          <w:ilvl w:val="0"/>
          <w:numId w:val="29"/>
        </w:numPr>
      </w:pPr>
      <w:r>
        <w:t>Decrease onward transmission of HCV</w:t>
      </w:r>
    </w:p>
    <w:p w14:paraId="5D439BAC" w14:textId="7990F9EA" w:rsidR="00CC2BA0" w:rsidRPr="00516EB9" w:rsidRDefault="00CC2BA0" w:rsidP="008873BC">
      <w:r>
        <w:t>This service was added to the Community</w:t>
      </w:r>
      <w:r w:rsidR="00E82C50">
        <w:t xml:space="preserve"> Pharmacy</w:t>
      </w:r>
      <w:r>
        <w:t xml:space="preserve"> Contract</w:t>
      </w:r>
      <w:r w:rsidR="00E82C50">
        <w:t xml:space="preserve">ual Framework (CPCF) in 2020, starting on the </w:t>
      </w:r>
      <w:r w:rsidR="008B15EA">
        <w:t>1</w:t>
      </w:r>
      <w:r w:rsidR="008B15EA" w:rsidRPr="00E82C50">
        <w:rPr>
          <w:vertAlign w:val="superscript"/>
        </w:rPr>
        <w:t>st of</w:t>
      </w:r>
      <w:r w:rsidR="00E82C50">
        <w:t xml:space="preserve"> September. This was originally </w:t>
      </w:r>
      <w:r w:rsidR="00567F22">
        <w:t>trialled</w:t>
      </w:r>
      <w:r w:rsidR="00580633">
        <w:t xml:space="preserve"> in the 5-year CPCF agreement</w:t>
      </w:r>
      <w:r w:rsidR="00993D97">
        <w:rPr>
          <w:rStyle w:val="FootnoteReference"/>
        </w:rPr>
        <w:footnoteReference w:id="42"/>
      </w:r>
      <w:r w:rsidR="00580633">
        <w:t xml:space="preserve">, </w:t>
      </w:r>
      <w:r w:rsidR="008B15EA">
        <w:t xml:space="preserve">and its planned introduction in April 2020 was delayed due to the Covid-19 pandemic. </w:t>
      </w:r>
      <w:r w:rsidR="00A25041">
        <w:t>This service is currently commissioned until 31</w:t>
      </w:r>
      <w:r w:rsidR="00A25041" w:rsidRPr="00A25041">
        <w:rPr>
          <w:vertAlign w:val="superscript"/>
        </w:rPr>
        <w:t>st</w:t>
      </w:r>
      <w:r w:rsidR="00A25041">
        <w:t xml:space="preserve"> March 2023. </w:t>
      </w:r>
    </w:p>
    <w:p w14:paraId="5D3254D4" w14:textId="31C754DE" w:rsidR="00606C97" w:rsidRPr="0026779F" w:rsidRDefault="00606C97" w:rsidP="00606C97">
      <w:r>
        <w:t xml:space="preserve">NHS BSA data shown in Table </w:t>
      </w:r>
      <w:r w:rsidR="007A06B1">
        <w:t>13</w:t>
      </w:r>
      <w:r>
        <w:t xml:space="preserve"> shows the number of Hepatitis C Antibody Testing Service Fees by community pharmacies between April 2021 – December 2021.</w:t>
      </w:r>
    </w:p>
    <w:tbl>
      <w:tblPr>
        <w:tblStyle w:val="GridTable4-Accent1"/>
        <w:tblW w:w="0" w:type="auto"/>
        <w:tblLook w:val="04A0" w:firstRow="1" w:lastRow="0" w:firstColumn="1" w:lastColumn="0" w:noHBand="0" w:noVBand="1"/>
      </w:tblPr>
      <w:tblGrid>
        <w:gridCol w:w="3227"/>
        <w:gridCol w:w="6961"/>
      </w:tblGrid>
      <w:tr w:rsidR="00606C97" w14:paraId="6C3B6ECB" w14:textId="77777777" w:rsidTr="00B86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EED3150" w14:textId="77777777" w:rsidR="00606C97" w:rsidRDefault="00606C97" w:rsidP="00B86C3B">
            <w:r>
              <w:t>Area</w:t>
            </w:r>
          </w:p>
        </w:tc>
        <w:tc>
          <w:tcPr>
            <w:tcW w:w="6961" w:type="dxa"/>
          </w:tcPr>
          <w:p w14:paraId="1C89C446" w14:textId="77E880B8" w:rsidR="00606C97" w:rsidRDefault="00606C97" w:rsidP="00B86C3B">
            <w:pPr>
              <w:cnfStyle w:val="100000000000" w:firstRow="1" w:lastRow="0" w:firstColumn="0" w:lastColumn="0" w:oddVBand="0" w:evenVBand="0" w:oddHBand="0" w:evenHBand="0" w:firstRowFirstColumn="0" w:firstRowLastColumn="0" w:lastRowFirstColumn="0" w:lastRowLastColumn="0"/>
            </w:pPr>
            <w:r>
              <w:t>Number of Hepatitis C Antibody Testing Service Fees in the period April 2021 – December 2021 (inclusive).</w:t>
            </w:r>
          </w:p>
        </w:tc>
      </w:tr>
      <w:tr w:rsidR="00606C97" w14:paraId="18C28EA4" w14:textId="77777777" w:rsidTr="00B86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F1658E2" w14:textId="77777777" w:rsidR="00606C97" w:rsidRDefault="00606C97" w:rsidP="00B86C3B">
            <w:r>
              <w:t>Coventry &amp; Warwickshire</w:t>
            </w:r>
          </w:p>
        </w:tc>
        <w:tc>
          <w:tcPr>
            <w:tcW w:w="6961" w:type="dxa"/>
          </w:tcPr>
          <w:p w14:paraId="575CA8BF" w14:textId="01777EE0" w:rsidR="00606C97" w:rsidRDefault="00606C97" w:rsidP="00B86C3B">
            <w:pPr>
              <w:cnfStyle w:val="000000100000" w:firstRow="0" w:lastRow="0" w:firstColumn="0" w:lastColumn="0" w:oddVBand="0" w:evenVBand="0" w:oddHBand="1" w:evenHBand="0" w:firstRowFirstColumn="0" w:firstRowLastColumn="0" w:lastRowFirstColumn="0" w:lastRowLastColumn="0"/>
            </w:pPr>
            <w:r>
              <w:t>9</w:t>
            </w:r>
          </w:p>
        </w:tc>
      </w:tr>
    </w:tbl>
    <w:p w14:paraId="489A464A" w14:textId="1E978B42" w:rsidR="007A06B1" w:rsidRDefault="007A06B1" w:rsidP="007A06B1">
      <w:pPr>
        <w:pStyle w:val="Caption"/>
        <w:rPr>
          <w:rFonts w:eastAsia="Arial" w:cs="Arial"/>
          <w:b w:val="0"/>
          <w:bCs w:val="0"/>
          <w:color w:val="202A30"/>
          <w:szCs w:val="24"/>
        </w:rPr>
      </w:pPr>
      <w:r>
        <w:t xml:space="preserve">Table </w:t>
      </w:r>
      <w:r>
        <w:fldChar w:fldCharType="begin"/>
      </w:r>
      <w:r>
        <w:instrText>SEQ Table \* ARABIC</w:instrText>
      </w:r>
      <w:r>
        <w:fldChar w:fldCharType="separate"/>
      </w:r>
      <w:r w:rsidR="00AC4C6D">
        <w:rPr>
          <w:noProof/>
        </w:rPr>
        <w:t>13</w:t>
      </w:r>
      <w:r>
        <w:fldChar w:fldCharType="end"/>
      </w:r>
      <w:r>
        <w:t>: Number of Hepatitis C Antibody testing service Fees in Coventry and Warwickshire</w:t>
      </w:r>
      <w:r>
        <w:br/>
        <w:t>Source: NHS BSA</w:t>
      </w:r>
    </w:p>
    <w:p w14:paraId="13421CB1" w14:textId="77777777" w:rsidR="000918D5" w:rsidRDefault="000918D5" w:rsidP="00E51B0B">
      <w:pPr>
        <w:rPr>
          <w:rFonts w:eastAsia="Arial" w:cs="Arial"/>
          <w:b/>
          <w:bCs/>
          <w:color w:val="202A30"/>
          <w:szCs w:val="24"/>
        </w:rPr>
      </w:pPr>
    </w:p>
    <w:p w14:paraId="1AD66797" w14:textId="77777777" w:rsidR="000918D5" w:rsidRDefault="000918D5" w:rsidP="00E51B0B">
      <w:pPr>
        <w:rPr>
          <w:rFonts w:eastAsia="Arial" w:cs="Arial"/>
          <w:b/>
          <w:bCs/>
          <w:color w:val="202A30"/>
          <w:szCs w:val="24"/>
        </w:rPr>
      </w:pPr>
    </w:p>
    <w:p w14:paraId="0D21FBB0" w14:textId="6A535AFC" w:rsidR="00E51B0B" w:rsidRPr="00FB6FD8" w:rsidRDefault="00E51B0B" w:rsidP="00E51B0B">
      <w:pPr>
        <w:rPr>
          <w:rFonts w:eastAsia="MS Mincho" w:cs="Arial"/>
          <w:b/>
          <w:bCs/>
          <w:color w:val="202A30"/>
          <w:szCs w:val="24"/>
        </w:rPr>
      </w:pPr>
      <w:r>
        <w:rPr>
          <w:rFonts w:eastAsia="Arial" w:cs="Arial"/>
          <w:b/>
          <w:bCs/>
          <w:color w:val="202A30"/>
          <w:szCs w:val="24"/>
        </w:rPr>
        <w:lastRenderedPageBreak/>
        <w:t>Conclusion for Hepatitis C Testing Service</w:t>
      </w:r>
    </w:p>
    <w:p w14:paraId="542802C7" w14:textId="11C22BDD" w:rsidR="006927D0" w:rsidRDefault="006927D0" w:rsidP="008873BC">
      <w:r>
        <w:t xml:space="preserve">Pathways </w:t>
      </w:r>
      <w:r w:rsidR="00607F43">
        <w:t xml:space="preserve">for referral to a confirmatory PCR test </w:t>
      </w:r>
      <w:r>
        <w:t>are currently under developmen</w:t>
      </w:r>
      <w:r w:rsidR="00552937">
        <w:t xml:space="preserve">t. </w:t>
      </w:r>
      <w:r w:rsidR="000F466F">
        <w:t xml:space="preserve">This should be supported to help develop the service as there is currently a limited pathway for PCR testing. </w:t>
      </w:r>
    </w:p>
    <w:p w14:paraId="4C211DC5" w14:textId="77777777" w:rsidR="0052561E" w:rsidRDefault="0052561E" w:rsidP="008873BC">
      <w:pPr>
        <w:rPr>
          <w:color w:val="477CBF"/>
        </w:rPr>
      </w:pPr>
    </w:p>
    <w:p w14:paraId="1EB05335" w14:textId="15ECA9C3" w:rsidR="0052561E" w:rsidRPr="00E0777C" w:rsidRDefault="0052561E" w:rsidP="008873BC">
      <w:pPr>
        <w:rPr>
          <w:color w:val="477CBF"/>
          <w:szCs w:val="24"/>
        </w:rPr>
      </w:pPr>
      <w:r w:rsidRPr="00E0777C">
        <w:rPr>
          <w:color w:val="477CBF" w:themeColor="accent1"/>
          <w:szCs w:val="24"/>
        </w:rPr>
        <w:t xml:space="preserve">Smoking Cessation </w:t>
      </w:r>
      <w:r w:rsidR="005801E7">
        <w:rPr>
          <w:color w:val="477CBF" w:themeColor="accent1"/>
          <w:szCs w:val="24"/>
        </w:rPr>
        <w:t xml:space="preserve">Advanced </w:t>
      </w:r>
      <w:r w:rsidRPr="00E0777C">
        <w:rPr>
          <w:color w:val="477CBF" w:themeColor="accent1"/>
          <w:szCs w:val="24"/>
        </w:rPr>
        <w:t>Service</w:t>
      </w:r>
      <w:r w:rsidR="00EA7D69">
        <w:rPr>
          <w:color w:val="477CBF" w:themeColor="accent1"/>
          <w:szCs w:val="24"/>
        </w:rPr>
        <w:t xml:space="preserve"> – Secondary Care to Community Service</w:t>
      </w:r>
    </w:p>
    <w:p w14:paraId="1B1B61B8" w14:textId="6CEB4F44" w:rsidR="0052561E" w:rsidRPr="00E0777C" w:rsidRDefault="10AFC29C" w:rsidP="008873BC">
      <w:pPr>
        <w:rPr>
          <w:szCs w:val="24"/>
        </w:rPr>
      </w:pPr>
      <w:r w:rsidRPr="00E0777C">
        <w:rPr>
          <w:rFonts w:eastAsia="Arial" w:cs="Arial"/>
          <w:color w:val="202A30"/>
          <w:szCs w:val="24"/>
        </w:rPr>
        <w:t>NHS community pharmacies are a great place for patients to receive stop smoking advice and support. Through this service hospitals can refer patients to community pharmacy to continue the stop smoking journey they started in hospital.</w:t>
      </w:r>
    </w:p>
    <w:p w14:paraId="0E9AAEDA" w14:textId="2B39A747" w:rsidR="0052561E" w:rsidRPr="00E0777C" w:rsidRDefault="10AFC29C" w:rsidP="008873BC">
      <w:pPr>
        <w:rPr>
          <w:szCs w:val="24"/>
        </w:rPr>
      </w:pPr>
      <w:r w:rsidRPr="00E0777C">
        <w:rPr>
          <w:rFonts w:eastAsia="Arial" w:cs="Arial"/>
          <w:color w:val="202A30"/>
          <w:szCs w:val="24"/>
        </w:rPr>
        <w:t>The service:</w:t>
      </w:r>
    </w:p>
    <w:p w14:paraId="383D4EAA" w14:textId="435F74F1" w:rsidR="0052561E" w:rsidRPr="00E0777C" w:rsidRDefault="10AFC29C" w:rsidP="008D3B10">
      <w:pPr>
        <w:pStyle w:val="ListParagraph"/>
        <w:numPr>
          <w:ilvl w:val="0"/>
          <w:numId w:val="14"/>
        </w:numPr>
        <w:rPr>
          <w:rFonts w:asciiTheme="minorHAnsi" w:eastAsiaTheme="minorEastAsia" w:hAnsiTheme="minorHAnsi"/>
          <w:color w:val="202A30"/>
          <w:szCs w:val="24"/>
        </w:rPr>
      </w:pPr>
      <w:r w:rsidRPr="00E0777C">
        <w:rPr>
          <w:rFonts w:eastAsia="Arial" w:cs="Arial"/>
          <w:color w:val="202A30"/>
          <w:szCs w:val="24"/>
        </w:rPr>
        <w:t>supports patients who started a stop smoking programme in hospital to continue their journey in community pharmacy upon discharge</w:t>
      </w:r>
    </w:p>
    <w:p w14:paraId="02073912" w14:textId="7AEF2861" w:rsidR="0052561E" w:rsidRPr="00E0777C" w:rsidRDefault="10AFC29C" w:rsidP="008D3B10">
      <w:pPr>
        <w:pStyle w:val="ListParagraph"/>
        <w:numPr>
          <w:ilvl w:val="0"/>
          <w:numId w:val="14"/>
        </w:numPr>
        <w:rPr>
          <w:rFonts w:asciiTheme="minorHAnsi" w:eastAsiaTheme="minorEastAsia" w:hAnsiTheme="minorHAnsi"/>
          <w:color w:val="202A30"/>
          <w:szCs w:val="24"/>
        </w:rPr>
      </w:pPr>
      <w:r w:rsidRPr="00E0777C">
        <w:rPr>
          <w:rFonts w:eastAsia="Arial" w:cs="Arial"/>
          <w:color w:val="202A30"/>
          <w:szCs w:val="24"/>
        </w:rPr>
        <w:t>promotes healthy behaviours to service users</w:t>
      </w:r>
    </w:p>
    <w:p w14:paraId="1B0347B6" w14:textId="5FCF192A" w:rsidR="0052561E" w:rsidRDefault="10AFC29C" w:rsidP="10AFC29C">
      <w:pPr>
        <w:rPr>
          <w:rFonts w:eastAsia="Arial" w:cs="Arial"/>
          <w:color w:val="202A30"/>
          <w:szCs w:val="24"/>
        </w:rPr>
      </w:pPr>
      <w:r w:rsidRPr="00E0777C">
        <w:rPr>
          <w:rFonts w:eastAsia="Arial" w:cs="Arial"/>
          <w:color w:val="202A30"/>
          <w:szCs w:val="24"/>
        </w:rPr>
        <w:t>This service was commissioned in March 2022.</w:t>
      </w:r>
      <w:r w:rsidR="00C81DCC">
        <w:rPr>
          <w:rFonts w:eastAsia="Arial" w:cs="Arial"/>
          <w:color w:val="202A30"/>
          <w:szCs w:val="24"/>
        </w:rPr>
        <w:t xml:space="preserve"> There are currently </w:t>
      </w:r>
      <w:r w:rsidR="00F77160">
        <w:rPr>
          <w:rFonts w:eastAsia="Arial" w:cs="Arial"/>
          <w:color w:val="202A30"/>
          <w:szCs w:val="24"/>
        </w:rPr>
        <w:t>52</w:t>
      </w:r>
      <w:r w:rsidR="00C81DCC">
        <w:rPr>
          <w:rFonts w:eastAsia="Arial" w:cs="Arial"/>
          <w:color w:val="202A30"/>
          <w:szCs w:val="24"/>
        </w:rPr>
        <w:t xml:space="preserve"> pharmacies delivering this service in Coventry</w:t>
      </w:r>
      <w:r w:rsidR="00F77160">
        <w:rPr>
          <w:rFonts w:eastAsia="Arial" w:cs="Arial"/>
          <w:color w:val="202A30"/>
          <w:szCs w:val="24"/>
        </w:rPr>
        <w:t xml:space="preserve"> (28)</w:t>
      </w:r>
      <w:r w:rsidR="00C81DCC">
        <w:rPr>
          <w:rFonts w:eastAsia="Arial" w:cs="Arial"/>
          <w:color w:val="202A30"/>
          <w:szCs w:val="24"/>
        </w:rPr>
        <w:t xml:space="preserve"> and Warwickshire</w:t>
      </w:r>
      <w:r w:rsidR="00F77160">
        <w:rPr>
          <w:rFonts w:eastAsia="Arial" w:cs="Arial"/>
          <w:color w:val="202A30"/>
          <w:szCs w:val="24"/>
        </w:rPr>
        <w:t xml:space="preserve"> (24)</w:t>
      </w:r>
      <w:r w:rsidR="00567F22">
        <w:rPr>
          <w:rFonts w:eastAsia="Arial" w:cs="Arial"/>
          <w:color w:val="202A30"/>
          <w:szCs w:val="24"/>
        </w:rPr>
        <w:t>.</w:t>
      </w:r>
      <w:r w:rsidR="00564441">
        <w:rPr>
          <w:rFonts w:eastAsia="Arial" w:cs="Arial"/>
          <w:color w:val="202A30"/>
          <w:szCs w:val="24"/>
        </w:rPr>
        <w:t xml:space="preserve"> </w:t>
      </w:r>
    </w:p>
    <w:p w14:paraId="5BCF7088" w14:textId="0AA54EFB" w:rsidR="00564441" w:rsidRDefault="00564441" w:rsidP="10AFC29C">
      <w:pPr>
        <w:rPr>
          <w:rFonts w:eastAsia="Arial" w:cs="Arial"/>
          <w:color w:val="202A30"/>
          <w:szCs w:val="24"/>
        </w:rPr>
      </w:pPr>
      <w:r>
        <w:rPr>
          <w:rFonts w:eastAsia="Arial" w:cs="Arial"/>
          <w:color w:val="202A30"/>
          <w:szCs w:val="24"/>
        </w:rPr>
        <w:t>Additional smoking cessation pharmacy services:</w:t>
      </w:r>
    </w:p>
    <w:p w14:paraId="6C819DB6" w14:textId="31309707" w:rsidR="00564441" w:rsidRDefault="00564441" w:rsidP="00A12509">
      <w:pPr>
        <w:pStyle w:val="ListParagraph"/>
        <w:numPr>
          <w:ilvl w:val="0"/>
          <w:numId w:val="14"/>
        </w:numPr>
        <w:rPr>
          <w:rFonts w:eastAsia="Arial" w:cs="Arial"/>
          <w:color w:val="202A30"/>
          <w:szCs w:val="24"/>
        </w:rPr>
      </w:pPr>
      <w:r w:rsidRPr="00564441">
        <w:rPr>
          <w:rFonts w:eastAsia="Arial" w:cs="Arial"/>
          <w:color w:val="202A30"/>
          <w:szCs w:val="24"/>
        </w:rPr>
        <w:t>NRT (nicotine replacement therapy) voucher scheme</w:t>
      </w:r>
      <w:r>
        <w:rPr>
          <w:rFonts w:eastAsia="Arial" w:cs="Arial"/>
          <w:color w:val="202A30"/>
          <w:szCs w:val="24"/>
        </w:rPr>
        <w:t>:</w:t>
      </w:r>
      <w:r w:rsidRPr="00564441">
        <w:rPr>
          <w:rFonts w:eastAsia="Arial" w:cs="Arial"/>
          <w:color w:val="202A30"/>
          <w:szCs w:val="24"/>
        </w:rPr>
        <w:t xml:space="preserve"> all clients who are part of a smoking cessation </w:t>
      </w:r>
      <w:r>
        <w:rPr>
          <w:rFonts w:eastAsia="Arial" w:cs="Arial"/>
          <w:color w:val="202A30"/>
          <w:szCs w:val="24"/>
        </w:rPr>
        <w:t>scheme</w:t>
      </w:r>
      <w:r w:rsidRPr="00564441">
        <w:rPr>
          <w:rFonts w:eastAsia="Arial" w:cs="Arial"/>
          <w:color w:val="202A30"/>
          <w:szCs w:val="24"/>
        </w:rPr>
        <w:t xml:space="preserve"> will receive a voucher. The client will redeem this at a community pharmacy. </w:t>
      </w:r>
    </w:p>
    <w:p w14:paraId="301EABF4" w14:textId="7C84A063" w:rsidR="00564441" w:rsidRDefault="00564441" w:rsidP="00A12509">
      <w:pPr>
        <w:pStyle w:val="ListParagraph"/>
        <w:numPr>
          <w:ilvl w:val="0"/>
          <w:numId w:val="14"/>
        </w:numPr>
        <w:rPr>
          <w:rFonts w:eastAsia="Arial" w:cs="Arial"/>
          <w:color w:val="202A30"/>
          <w:szCs w:val="24"/>
        </w:rPr>
      </w:pPr>
      <w:r w:rsidRPr="001C3251">
        <w:rPr>
          <w:rFonts w:eastAsia="Arial" w:cs="Arial"/>
          <w:color w:val="202A30"/>
          <w:szCs w:val="24"/>
        </w:rPr>
        <w:t>Champix/Varenicline review and provision: this provision is specific to Coventry and operates under a Patient Group Directive (PGD)</w:t>
      </w:r>
    </w:p>
    <w:p w14:paraId="40510B4A" w14:textId="3F72C806" w:rsidR="00564441" w:rsidRDefault="001C3251" w:rsidP="001C3251">
      <w:pPr>
        <w:pStyle w:val="ListParagraph"/>
        <w:numPr>
          <w:ilvl w:val="0"/>
          <w:numId w:val="14"/>
        </w:numPr>
        <w:rPr>
          <w:rFonts w:eastAsia="Arial" w:cs="Arial"/>
          <w:color w:val="202A30"/>
          <w:szCs w:val="24"/>
        </w:rPr>
      </w:pPr>
      <w:r>
        <w:rPr>
          <w:rFonts w:eastAsia="Arial" w:cs="Arial"/>
          <w:color w:val="202A30"/>
          <w:szCs w:val="24"/>
        </w:rPr>
        <w:t xml:space="preserve">Psychosocial interventions: </w:t>
      </w:r>
      <w:r w:rsidRPr="001C3251">
        <w:rPr>
          <w:rFonts w:cs="Arial"/>
          <w:color w:val="202124"/>
          <w:shd w:val="clear" w:color="auto" w:fill="FFFFFF"/>
        </w:rPr>
        <w:t>includes structured counselling, motivational enhancement, case</w:t>
      </w:r>
      <w:r w:rsidRPr="0000220D">
        <w:rPr>
          <w:rFonts w:cs="Arial"/>
          <w:color w:val="202124"/>
          <w:shd w:val="clear" w:color="auto" w:fill="FFFFFF"/>
        </w:rPr>
        <w:t xml:space="preserve"> management, care-coordination, psychotherapy and relapse prevention.</w:t>
      </w:r>
    </w:p>
    <w:p w14:paraId="6A9128D7" w14:textId="2CA5109B" w:rsidR="00FB6FD8" w:rsidRDefault="00FB6FD8" w:rsidP="10AFC29C">
      <w:pPr>
        <w:rPr>
          <w:rFonts w:eastAsia="Arial" w:cs="Arial"/>
          <w:b/>
          <w:color w:val="202A30"/>
          <w:szCs w:val="24"/>
        </w:rPr>
      </w:pPr>
      <w:r>
        <w:rPr>
          <w:rFonts w:eastAsia="Arial" w:cs="Arial"/>
          <w:b/>
          <w:bCs/>
          <w:color w:val="202A30"/>
          <w:szCs w:val="24"/>
        </w:rPr>
        <w:t xml:space="preserve">Conclusion for </w:t>
      </w:r>
      <w:r w:rsidR="00E51B0B">
        <w:rPr>
          <w:rFonts w:eastAsia="Arial" w:cs="Arial"/>
          <w:b/>
          <w:bCs/>
          <w:color w:val="202A30"/>
          <w:szCs w:val="24"/>
        </w:rPr>
        <w:t>Smoking Cessation Service</w:t>
      </w:r>
    </w:p>
    <w:p w14:paraId="793D1DF2" w14:textId="3E3FB058" w:rsidR="005342B3" w:rsidRPr="005342B3" w:rsidRDefault="003B57A2" w:rsidP="10AFC29C">
      <w:pPr>
        <w:rPr>
          <w:rFonts w:eastAsia="MS Mincho" w:cs="Arial"/>
          <w:color w:val="202A30"/>
          <w:szCs w:val="24"/>
        </w:rPr>
      </w:pPr>
      <w:r>
        <w:rPr>
          <w:rFonts w:eastAsia="Arial" w:cs="Arial"/>
          <w:color w:val="202A30"/>
          <w:szCs w:val="24"/>
        </w:rPr>
        <w:t xml:space="preserve">As this is a newly commissioned service pharmacies are still signing up to provide it. </w:t>
      </w:r>
      <w:r w:rsidR="004B2123">
        <w:rPr>
          <w:rFonts w:eastAsia="Arial" w:cs="Arial"/>
          <w:color w:val="202A30"/>
          <w:szCs w:val="24"/>
        </w:rPr>
        <w:t xml:space="preserve">The number of pharmacies </w:t>
      </w:r>
      <w:r w:rsidR="008550ED">
        <w:rPr>
          <w:rFonts w:eastAsia="Arial" w:cs="Arial"/>
          <w:color w:val="202A30"/>
          <w:szCs w:val="24"/>
        </w:rPr>
        <w:t>providing this service should be monitored</w:t>
      </w:r>
      <w:r w:rsidR="006C24AB">
        <w:rPr>
          <w:rFonts w:eastAsia="Arial" w:cs="Arial"/>
          <w:color w:val="202A30"/>
          <w:szCs w:val="24"/>
        </w:rPr>
        <w:t xml:space="preserve"> </w:t>
      </w:r>
      <w:r w:rsidR="0093041E">
        <w:rPr>
          <w:rFonts w:eastAsia="Arial" w:cs="Arial"/>
          <w:color w:val="202A30"/>
          <w:szCs w:val="24"/>
        </w:rPr>
        <w:t>whilst this initial sign-up is taking place.</w:t>
      </w:r>
      <w:r w:rsidR="001C0B2B">
        <w:rPr>
          <w:rFonts w:eastAsia="Arial" w:cs="Arial"/>
          <w:color w:val="202A30"/>
          <w:szCs w:val="24"/>
        </w:rPr>
        <w:t xml:space="preserve"> </w:t>
      </w:r>
      <w:r w:rsidR="005D344C">
        <w:rPr>
          <w:rFonts w:eastAsia="Arial" w:cs="Arial"/>
          <w:color w:val="202A30"/>
          <w:szCs w:val="24"/>
        </w:rPr>
        <w:t>The referral pathway from Trusts into community smoking cessation services are being developed, this work should be supported as part of the NHS long term plan tobacco dependency work.</w:t>
      </w:r>
    </w:p>
    <w:p w14:paraId="13A22F7B" w14:textId="21E720FF" w:rsidR="0052561E" w:rsidRDefault="0052561E" w:rsidP="008873BC">
      <w:pPr>
        <w:rPr>
          <w:rFonts w:eastAsia="MS Mincho" w:cs="Arial"/>
          <w:color w:val="477CBF"/>
          <w:szCs w:val="24"/>
        </w:rPr>
      </w:pPr>
    </w:p>
    <w:p w14:paraId="6D699349" w14:textId="77777777" w:rsidR="000918D5" w:rsidRDefault="000918D5" w:rsidP="008873BC">
      <w:pPr>
        <w:rPr>
          <w:rFonts w:eastAsia="MS Mincho" w:cs="Arial"/>
          <w:color w:val="477CBF"/>
          <w:szCs w:val="24"/>
        </w:rPr>
      </w:pPr>
    </w:p>
    <w:p w14:paraId="060BAFC9" w14:textId="77777777" w:rsidR="000918D5" w:rsidRDefault="000918D5" w:rsidP="008873BC">
      <w:pPr>
        <w:rPr>
          <w:rFonts w:eastAsia="MS Mincho" w:cs="Arial"/>
          <w:color w:val="477CBF"/>
          <w:szCs w:val="24"/>
        </w:rPr>
      </w:pPr>
    </w:p>
    <w:p w14:paraId="472514B2" w14:textId="77777777" w:rsidR="000918D5" w:rsidRDefault="000918D5" w:rsidP="008873BC">
      <w:pPr>
        <w:rPr>
          <w:rFonts w:eastAsia="MS Mincho" w:cs="Arial"/>
          <w:color w:val="477CBF"/>
          <w:szCs w:val="24"/>
        </w:rPr>
      </w:pPr>
    </w:p>
    <w:p w14:paraId="4BC8DF74" w14:textId="01DE05C0" w:rsidR="0052561E" w:rsidRPr="00E0777C" w:rsidRDefault="005D041E" w:rsidP="008873BC">
      <w:pPr>
        <w:rPr>
          <w:color w:val="477CBF"/>
          <w:szCs w:val="24"/>
        </w:rPr>
      </w:pPr>
      <w:r>
        <w:rPr>
          <w:color w:val="477CBF" w:themeColor="accent1"/>
          <w:szCs w:val="24"/>
        </w:rPr>
        <w:t>NHS Blood Pressure Check</w:t>
      </w:r>
      <w:r w:rsidR="0052561E" w:rsidRPr="00E0777C">
        <w:rPr>
          <w:color w:val="477CBF" w:themeColor="accent1"/>
          <w:szCs w:val="24"/>
        </w:rPr>
        <w:t xml:space="preserve"> Service</w:t>
      </w:r>
    </w:p>
    <w:p w14:paraId="2EA8FF4B" w14:textId="4D8F8B2C" w:rsidR="0052561E" w:rsidRPr="00E0777C" w:rsidRDefault="10AFC29C" w:rsidP="008873BC">
      <w:pPr>
        <w:rPr>
          <w:szCs w:val="24"/>
        </w:rPr>
      </w:pPr>
      <w:r w:rsidRPr="00E0777C">
        <w:rPr>
          <w:rFonts w:eastAsia="Arial" w:cs="Arial"/>
          <w:color w:val="202A30"/>
          <w:szCs w:val="24"/>
        </w:rPr>
        <w:t>The NHS Community Pharmacy Blood Pressure Check Service supports risk identification and prevention of cardiovascular disease (CVD).</w:t>
      </w:r>
      <w:r w:rsidR="00D44400">
        <w:rPr>
          <w:rFonts w:eastAsia="Arial" w:cs="Arial"/>
          <w:color w:val="202A30"/>
          <w:szCs w:val="24"/>
        </w:rPr>
        <w:t xml:space="preserve"> There are currently 118 community pharmacies in Coventry and Warwickshire </w:t>
      </w:r>
      <w:r w:rsidR="00992C30">
        <w:rPr>
          <w:rFonts w:eastAsia="Arial" w:cs="Arial"/>
          <w:color w:val="202A30"/>
          <w:szCs w:val="24"/>
        </w:rPr>
        <w:t xml:space="preserve">delivering this service. </w:t>
      </w:r>
    </w:p>
    <w:p w14:paraId="0A912C8D" w14:textId="6B5AE028" w:rsidR="0052561E" w:rsidRPr="00E0777C" w:rsidRDefault="10AFC29C" w:rsidP="008873BC">
      <w:pPr>
        <w:rPr>
          <w:szCs w:val="24"/>
        </w:rPr>
      </w:pPr>
      <w:r w:rsidRPr="00E0777C">
        <w:rPr>
          <w:rFonts w:eastAsia="Arial" w:cs="Arial"/>
          <w:color w:val="202A30"/>
          <w:szCs w:val="24"/>
        </w:rPr>
        <w:t>This service will:</w:t>
      </w:r>
    </w:p>
    <w:p w14:paraId="74736397" w14:textId="56C3C0EF" w:rsidR="0052561E" w:rsidRPr="00E0777C" w:rsidRDefault="10AFC29C" w:rsidP="008D3B10">
      <w:pPr>
        <w:pStyle w:val="ListParagraph"/>
        <w:numPr>
          <w:ilvl w:val="0"/>
          <w:numId w:val="14"/>
        </w:numPr>
        <w:rPr>
          <w:rFonts w:asciiTheme="minorHAnsi" w:eastAsiaTheme="minorEastAsia" w:hAnsiTheme="minorHAnsi"/>
          <w:color w:val="202A30"/>
          <w:szCs w:val="24"/>
        </w:rPr>
      </w:pPr>
      <w:r w:rsidRPr="00E0777C">
        <w:rPr>
          <w:rFonts w:eastAsia="Arial" w:cs="Arial"/>
          <w:color w:val="202A30"/>
          <w:szCs w:val="24"/>
        </w:rPr>
        <w:t>identify people over the age of 40 who have previously not been diagnosed with hypertension (high blood pressure</w:t>
      </w:r>
      <w:r w:rsidR="003513CB" w:rsidRPr="00E0777C">
        <w:rPr>
          <w:rFonts w:eastAsia="Arial" w:cs="Arial"/>
          <w:color w:val="202A30"/>
          <w:szCs w:val="24"/>
        </w:rPr>
        <w:t>) and</w:t>
      </w:r>
      <w:r w:rsidRPr="00E0777C">
        <w:rPr>
          <w:rFonts w:eastAsia="Arial" w:cs="Arial"/>
          <w:color w:val="202A30"/>
          <w:szCs w:val="24"/>
        </w:rPr>
        <w:t xml:space="preserve"> refer those with suspected hypertension for appropriate management.</w:t>
      </w:r>
    </w:p>
    <w:p w14:paraId="76F8B988" w14:textId="11EB7B07" w:rsidR="0052561E" w:rsidRPr="00E0777C" w:rsidRDefault="10AFC29C" w:rsidP="008D3B10">
      <w:pPr>
        <w:pStyle w:val="ListParagraph"/>
        <w:numPr>
          <w:ilvl w:val="0"/>
          <w:numId w:val="14"/>
        </w:numPr>
        <w:rPr>
          <w:rFonts w:asciiTheme="minorHAnsi" w:eastAsiaTheme="minorEastAsia" w:hAnsiTheme="minorHAnsi"/>
          <w:color w:val="202A30"/>
          <w:szCs w:val="24"/>
        </w:rPr>
      </w:pPr>
      <w:r w:rsidRPr="00E0777C">
        <w:rPr>
          <w:rFonts w:eastAsia="Arial" w:cs="Arial"/>
          <w:color w:val="202A30"/>
          <w:szCs w:val="24"/>
        </w:rPr>
        <w:t>promote healthy behaviours to service users.</w:t>
      </w:r>
    </w:p>
    <w:p w14:paraId="172465DD" w14:textId="31B9E17B" w:rsidR="0052561E" w:rsidRPr="00E0777C" w:rsidRDefault="10AFC29C" w:rsidP="008D3B10">
      <w:pPr>
        <w:pStyle w:val="ListParagraph"/>
        <w:numPr>
          <w:ilvl w:val="0"/>
          <w:numId w:val="14"/>
        </w:numPr>
        <w:rPr>
          <w:rFonts w:asciiTheme="minorHAnsi" w:eastAsiaTheme="minorEastAsia" w:hAnsiTheme="minorHAnsi"/>
          <w:color w:val="202A30"/>
          <w:szCs w:val="24"/>
        </w:rPr>
      </w:pPr>
      <w:r w:rsidRPr="00E0777C">
        <w:rPr>
          <w:rFonts w:eastAsia="Arial" w:cs="Arial"/>
          <w:color w:val="202A30"/>
          <w:szCs w:val="24"/>
        </w:rPr>
        <w:t>refer people identified as likely to have high blood pressure to general practice, for ongoing care to manage their blood pressure.</w:t>
      </w:r>
    </w:p>
    <w:p w14:paraId="3E92C4C5" w14:textId="3A8418C2" w:rsidR="0052561E" w:rsidRDefault="10AFC29C" w:rsidP="10AFC29C">
      <w:pPr>
        <w:rPr>
          <w:rFonts w:eastAsia="MS Mincho" w:cs="Arial"/>
          <w:color w:val="202A30"/>
          <w:szCs w:val="24"/>
        </w:rPr>
      </w:pPr>
      <w:r w:rsidRPr="10AFC29C">
        <w:rPr>
          <w:rFonts w:eastAsia="MS Mincho" w:cs="Arial"/>
          <w:color w:val="202A30"/>
          <w:szCs w:val="24"/>
        </w:rPr>
        <w:t>This service was commissioned in April 2022.</w:t>
      </w:r>
    </w:p>
    <w:p w14:paraId="622CF9D4" w14:textId="6C78C581" w:rsidR="00FB6FD8" w:rsidRPr="00FB6FD8" w:rsidRDefault="00FB6FD8" w:rsidP="10AFC29C">
      <w:pPr>
        <w:rPr>
          <w:rFonts w:eastAsia="MS Mincho" w:cs="Arial"/>
          <w:b/>
          <w:bCs/>
          <w:color w:val="202A30"/>
          <w:szCs w:val="24"/>
        </w:rPr>
      </w:pPr>
      <w:r>
        <w:rPr>
          <w:rFonts w:eastAsia="MS Mincho" w:cs="Arial"/>
          <w:b/>
          <w:bCs/>
          <w:color w:val="202A30"/>
          <w:szCs w:val="24"/>
        </w:rPr>
        <w:t xml:space="preserve">Conclusion for </w:t>
      </w:r>
      <w:r w:rsidR="005D041E">
        <w:rPr>
          <w:rFonts w:eastAsia="MS Mincho" w:cs="Arial"/>
          <w:b/>
          <w:bCs/>
          <w:color w:val="202A30"/>
          <w:szCs w:val="24"/>
        </w:rPr>
        <w:t>NHS Blood Pressure Check</w:t>
      </w:r>
      <w:r>
        <w:rPr>
          <w:rFonts w:eastAsia="MS Mincho" w:cs="Arial"/>
          <w:b/>
          <w:bCs/>
          <w:color w:val="202A30"/>
          <w:szCs w:val="24"/>
        </w:rPr>
        <w:t xml:space="preserve"> Service</w:t>
      </w:r>
    </w:p>
    <w:p w14:paraId="32BE9A27" w14:textId="7B65F856" w:rsidR="00577D84" w:rsidRDefault="00004D5A" w:rsidP="008873BC">
      <w:r>
        <w:t xml:space="preserve">There is a </w:t>
      </w:r>
      <w:r w:rsidR="00A23B28">
        <w:t>promising</w:t>
      </w:r>
      <w:r>
        <w:t xml:space="preserve"> initial sign-up to this service as it has only been commissioned for </w:t>
      </w:r>
      <w:r w:rsidR="000D37F4">
        <w:t>2 months at the time of writing this PNA.</w:t>
      </w:r>
      <w:r w:rsidR="00A23B28" w:rsidRPr="00A23B28">
        <w:t xml:space="preserve"> </w:t>
      </w:r>
      <w:r w:rsidR="007A2890">
        <w:t xml:space="preserve">There is an opportunity to develop </w:t>
      </w:r>
      <w:r w:rsidR="007A2890" w:rsidRPr="00A23B28">
        <w:t>pathway</w:t>
      </w:r>
      <w:r w:rsidR="007A2890">
        <w:t>s</w:t>
      </w:r>
      <w:r w:rsidR="007A2890" w:rsidRPr="00A23B28">
        <w:t xml:space="preserve"> for this from pharmac</w:t>
      </w:r>
      <w:r w:rsidR="007A2890">
        <w:t>ies</w:t>
      </w:r>
      <w:r w:rsidR="007A2890" w:rsidRPr="00A23B28">
        <w:t xml:space="preserve"> </w:t>
      </w:r>
      <w:r w:rsidR="007A2890">
        <w:t xml:space="preserve">and GPs </w:t>
      </w:r>
      <w:r w:rsidR="007A2890" w:rsidRPr="00A23B28">
        <w:t xml:space="preserve">straight through to </w:t>
      </w:r>
      <w:r w:rsidR="007A2890">
        <w:t>lifestyle service f</w:t>
      </w:r>
      <w:r w:rsidR="007A2890" w:rsidRPr="00A23B28">
        <w:t xml:space="preserve">or people who want support around lifestyle interventions. </w:t>
      </w:r>
      <w:r w:rsidR="00A23B28" w:rsidRPr="00A23B28">
        <w:t xml:space="preserve"> </w:t>
      </w:r>
    </w:p>
    <w:p w14:paraId="6C734987" w14:textId="77777777" w:rsidR="005052C9" w:rsidRDefault="005052C9" w:rsidP="008873BC"/>
    <w:p w14:paraId="46F1520B" w14:textId="77777777" w:rsidR="00787F56" w:rsidRDefault="00E940E0" w:rsidP="00E940E0">
      <w:pPr>
        <w:pStyle w:val="Heading2"/>
      </w:pPr>
      <w:bookmarkStart w:id="57" w:name="_Toc113628614"/>
      <w:r>
        <w:t>Enhanced and Locally Commissioned Services</w:t>
      </w:r>
      <w:bookmarkEnd w:id="57"/>
    </w:p>
    <w:p w14:paraId="0AB769EF" w14:textId="0786EB59" w:rsidR="00787F56" w:rsidRDefault="00787F56" w:rsidP="00787F56">
      <w:r>
        <w:t xml:space="preserve">The third set of pharmaceutical services from the CPCF that can be provided from pharmacies are Enhanced Services and Locally Commissioned Services. These services can only be referred to as Enhanced Services if they are commissioned by NHS England. Local services commissioned by </w:t>
      </w:r>
      <w:r w:rsidR="000E5536">
        <w:t>ICBs</w:t>
      </w:r>
      <w:r>
        <w:t xml:space="preserve"> or Local Authorities are referred to as Locally Commissioned Services. </w:t>
      </w:r>
    </w:p>
    <w:p w14:paraId="444A788F" w14:textId="77777777" w:rsidR="00787F56" w:rsidRDefault="00787F56" w:rsidP="00787F56">
      <w:r>
        <w:t xml:space="preserve">These services are commissioned to meet an identified need in the local population and pharmacies can choose whether to provide these services. </w:t>
      </w:r>
    </w:p>
    <w:p w14:paraId="3436EB0E" w14:textId="77777777" w:rsidR="001F72C3" w:rsidRDefault="001F72C3" w:rsidP="00787F56"/>
    <w:p w14:paraId="60353421" w14:textId="77777777" w:rsidR="003410EC" w:rsidRPr="006C376C" w:rsidRDefault="003410EC" w:rsidP="00787F56">
      <w:pPr>
        <w:rPr>
          <w:color w:val="477CBF"/>
        </w:rPr>
      </w:pPr>
      <w:r w:rsidRPr="006C376C">
        <w:rPr>
          <w:color w:val="477CBF"/>
        </w:rPr>
        <w:t>Substance Misuse</w:t>
      </w:r>
    </w:p>
    <w:p w14:paraId="19BD62C3" w14:textId="0CFBDCB1" w:rsidR="00A94058" w:rsidRDefault="00ED782E" w:rsidP="00787F56">
      <w:r>
        <w:lastRenderedPageBreak/>
        <w:t xml:space="preserve">Coventry and Warwickshire both commission needle exchange and supervised consumption </w:t>
      </w:r>
      <w:r w:rsidR="00A94058">
        <w:t>for the management of drug action services</w:t>
      </w:r>
      <w:r w:rsidR="00DC2BD6">
        <w:t xml:space="preserve">. Coventry additionally </w:t>
      </w:r>
      <w:r w:rsidR="00367B2F">
        <w:t>commissions</w:t>
      </w:r>
      <w:r w:rsidR="00DC2BD6">
        <w:t xml:space="preserve"> the </w:t>
      </w:r>
      <w:r w:rsidR="006B5577">
        <w:t>notification of missed doses</w:t>
      </w:r>
      <w:r w:rsidR="00C51F7E">
        <w:t xml:space="preserve">. </w:t>
      </w:r>
    </w:p>
    <w:p w14:paraId="75BB8705" w14:textId="77777777" w:rsidR="00D920C9" w:rsidRDefault="00D920C9" w:rsidP="00D920C9">
      <w:r>
        <w:t>The overall aims of pharmacy services to drug users are to assist the service user to remain healthy, reduce risk, and provide service users with regular contact with a healthcare professional and help them access further advice or assistance. These are considered necessary services and pharmacies can act as an important primary access point for these service users. The service reduces the risk of drug-related death during the induction and titration stages of treatment, but also prevents diversion of prescribed medication. This service ensures frequent (usually daily) contact between the service user and the pharmacist especially during the early and more chaotic stages of treatment. This also allows the opportunity to monitor patients closely.</w:t>
      </w:r>
    </w:p>
    <w:p w14:paraId="100E364A" w14:textId="5BE3C225" w:rsidR="00A90E29" w:rsidRDefault="00FE584D" w:rsidP="00787F56">
      <w:r>
        <w:rPr>
          <w:b/>
          <w:bCs/>
        </w:rPr>
        <w:t>Needle Exchange</w:t>
      </w:r>
    </w:p>
    <w:p w14:paraId="2E09EC92" w14:textId="4DC55AC8" w:rsidR="00416BFE" w:rsidRDefault="00416BFE" w:rsidP="00787F56">
      <w:r w:rsidRPr="00416BFE">
        <w:t>Needle exchange supplies injecting drug users access to sterile needles, syringes and other equipment and their safe disposal. Needle exchange delivery is based on the philosophy of providing injecting drug users with sterile needles and associated injection equipment at no cost. The aim of these services is to reduce the damage associated with using unsterile or contaminated injecting equipment.</w:t>
      </w:r>
    </w:p>
    <w:p w14:paraId="322D98B4" w14:textId="77777777" w:rsidR="005443FD" w:rsidRDefault="005443FD" w:rsidP="005443FD">
      <w:r>
        <w:t>The objectives of the pharmacy-based needle exchange service are to:</w:t>
      </w:r>
    </w:p>
    <w:p w14:paraId="6C6FDE04" w14:textId="77777777" w:rsidR="005443FD" w:rsidRDefault="005443FD" w:rsidP="005443FD">
      <w:pPr>
        <w:pStyle w:val="ListParagraph"/>
        <w:numPr>
          <w:ilvl w:val="0"/>
          <w:numId w:val="71"/>
        </w:numPr>
      </w:pPr>
      <w:r>
        <w:t>Reduce the spread of blood-borne viruses associated with injecting drug use through the provision of injecting equipment.</w:t>
      </w:r>
    </w:p>
    <w:p w14:paraId="663193C4" w14:textId="77777777" w:rsidR="005443FD" w:rsidRDefault="005443FD" w:rsidP="005443FD">
      <w:pPr>
        <w:pStyle w:val="ListParagraph"/>
        <w:numPr>
          <w:ilvl w:val="0"/>
          <w:numId w:val="71"/>
        </w:numPr>
      </w:pPr>
      <w:r>
        <w:t>Reduce the rates of high-risk injecting behaviours by referring on to specialist services.</w:t>
      </w:r>
    </w:p>
    <w:p w14:paraId="129DA611" w14:textId="77777777" w:rsidR="005443FD" w:rsidRDefault="005443FD" w:rsidP="005443FD">
      <w:pPr>
        <w:pStyle w:val="ListParagraph"/>
        <w:numPr>
          <w:ilvl w:val="0"/>
          <w:numId w:val="71"/>
        </w:numPr>
      </w:pPr>
      <w:r>
        <w:t>Reduce the social and physical harms associated with injecting drug use, including promoting safer injecting practices.</w:t>
      </w:r>
    </w:p>
    <w:p w14:paraId="2647E875" w14:textId="77777777" w:rsidR="005443FD" w:rsidRDefault="005443FD" w:rsidP="005443FD">
      <w:pPr>
        <w:pStyle w:val="ListParagraph"/>
        <w:numPr>
          <w:ilvl w:val="0"/>
          <w:numId w:val="71"/>
        </w:numPr>
      </w:pPr>
      <w:r>
        <w:t>Increase and facilitate access to treatment services for clients who are not already engaged in structured treatment.</w:t>
      </w:r>
    </w:p>
    <w:p w14:paraId="17E00E36" w14:textId="77777777" w:rsidR="005443FD" w:rsidRDefault="005443FD" w:rsidP="005443FD">
      <w:pPr>
        <w:pStyle w:val="ListParagraph"/>
        <w:numPr>
          <w:ilvl w:val="0"/>
          <w:numId w:val="71"/>
        </w:numPr>
      </w:pPr>
      <w:r>
        <w:t>Reduce the potential for unsafe disposal of used injecting equipment and therefore reduce the risks to public health.</w:t>
      </w:r>
    </w:p>
    <w:p w14:paraId="3EF41DF8" w14:textId="535C52C4" w:rsidR="005443FD" w:rsidRDefault="005443FD" w:rsidP="005443FD">
      <w:pPr>
        <w:pStyle w:val="ListParagraph"/>
        <w:numPr>
          <w:ilvl w:val="0"/>
          <w:numId w:val="71"/>
        </w:numPr>
      </w:pPr>
      <w:r>
        <w:t>Maximise the benefits of accessing community pharmacies, such as general health improvement and signposting to other services.</w:t>
      </w:r>
      <w:r>
        <w:tab/>
      </w:r>
    </w:p>
    <w:p w14:paraId="582A941B" w14:textId="263E5D62" w:rsidR="0012748D" w:rsidRDefault="00AD6EC4" w:rsidP="003055E3">
      <w:r>
        <w:rPr>
          <w:b/>
          <w:bCs/>
        </w:rPr>
        <w:t>Supervised Consumption</w:t>
      </w:r>
    </w:p>
    <w:p w14:paraId="267244E4" w14:textId="77777777" w:rsidR="00312375" w:rsidRDefault="00312375" w:rsidP="00B37797">
      <w:r w:rsidRPr="00312375">
        <w:t xml:space="preserve">Supervised consumption/medically assisted treatment is a service used to ensure that patients with substance dependence take their medication at regular intervals. The service requires the pharmacist to supervise the consumption of the prescribed medicines at the point </w:t>
      </w:r>
      <w:r w:rsidRPr="00312375">
        <w:lastRenderedPageBreak/>
        <w:t xml:space="preserve">of dispensing in the pharmacy, ensuring that the correct dose has been administered to the patient. </w:t>
      </w:r>
    </w:p>
    <w:p w14:paraId="4D2AC1CD" w14:textId="599C1D11" w:rsidR="00F27A30" w:rsidRDefault="00F27A30" w:rsidP="00B37797">
      <w:r w:rsidRPr="00F27A30">
        <w:t>Frequent contact between pharmacists and patients, following on from supervised consumption, means that pharmacists are well placed to monitor patient health. In addition to providing support and advice to substance misusers, trained pharmacists can communicate any non-attendance or other non-adherence. The risk of accidental overdose is also reduced, and the rehabilitation process is enhanced by helping patients stick to their treatment plan.</w:t>
      </w:r>
    </w:p>
    <w:p w14:paraId="23D2E731" w14:textId="5AF28F5A" w:rsidR="00B37797" w:rsidRDefault="00B37797" w:rsidP="00B37797">
      <w:r>
        <w:t xml:space="preserve">The objectives of the supervised consumption service are to ensure compliance with the agreed treatment plan by: </w:t>
      </w:r>
    </w:p>
    <w:p w14:paraId="54FD4FA9" w14:textId="77777777" w:rsidR="00B37797" w:rsidRDefault="00B37797" w:rsidP="00B37797">
      <w:pPr>
        <w:pStyle w:val="ListParagraph"/>
        <w:numPr>
          <w:ilvl w:val="0"/>
          <w:numId w:val="70"/>
        </w:numPr>
      </w:pPr>
      <w:r>
        <w:t>Dispensing prescribed medication in specified instalments</w:t>
      </w:r>
    </w:p>
    <w:p w14:paraId="4BD8D636" w14:textId="77777777" w:rsidR="00B37797" w:rsidRDefault="00B37797" w:rsidP="00B37797">
      <w:pPr>
        <w:pStyle w:val="ListParagraph"/>
        <w:numPr>
          <w:ilvl w:val="0"/>
          <w:numId w:val="70"/>
        </w:numPr>
      </w:pPr>
      <w:r>
        <w:t xml:space="preserve">Ensuring each supervised dose is correctly consumed by the patient for whom it was intended, with privacy and dignity. </w:t>
      </w:r>
    </w:p>
    <w:p w14:paraId="61B15725" w14:textId="77777777" w:rsidR="00B37797" w:rsidRDefault="00B37797" w:rsidP="00B37797">
      <w:pPr>
        <w:pStyle w:val="ListParagraph"/>
        <w:numPr>
          <w:ilvl w:val="0"/>
          <w:numId w:val="70"/>
        </w:numPr>
      </w:pPr>
      <w:r>
        <w:t>Encourage uptake of vaccines and testing for blood borne viruses.</w:t>
      </w:r>
    </w:p>
    <w:p w14:paraId="630ADA29" w14:textId="77777777" w:rsidR="00B37797" w:rsidRDefault="00B37797" w:rsidP="00B37797">
      <w:pPr>
        <w:pStyle w:val="ListParagraph"/>
        <w:numPr>
          <w:ilvl w:val="0"/>
          <w:numId w:val="70"/>
        </w:numPr>
      </w:pPr>
      <w:r>
        <w:t>To reduce the risk to local communities arising from:</w:t>
      </w:r>
    </w:p>
    <w:p w14:paraId="5D1AE196" w14:textId="77777777" w:rsidR="00B37797" w:rsidRDefault="00B37797" w:rsidP="00B37797">
      <w:pPr>
        <w:pStyle w:val="ListParagraph"/>
        <w:numPr>
          <w:ilvl w:val="0"/>
          <w:numId w:val="70"/>
        </w:numPr>
      </w:pPr>
      <w:r>
        <w:t>Over usage or under usage of medicines</w:t>
      </w:r>
    </w:p>
    <w:p w14:paraId="40393A5C" w14:textId="6978DF49" w:rsidR="00B37797" w:rsidRDefault="00B37797" w:rsidP="00B37797">
      <w:pPr>
        <w:pStyle w:val="ListParagraph"/>
        <w:numPr>
          <w:ilvl w:val="0"/>
          <w:numId w:val="70"/>
        </w:numPr>
      </w:pPr>
      <w:r>
        <w:t>Diversion of prescribed medicines onto the illicit drugs market and accidental exposure to the supervised medicines</w:t>
      </w:r>
    </w:p>
    <w:p w14:paraId="552EE3CD" w14:textId="73B551B6" w:rsidR="00C51F7E" w:rsidRDefault="00C51F7E" w:rsidP="003055E3">
      <w:pPr>
        <w:rPr>
          <w:b/>
          <w:bCs/>
        </w:rPr>
      </w:pPr>
      <w:r>
        <w:rPr>
          <w:b/>
          <w:bCs/>
        </w:rPr>
        <w:t>Notification of Missed Doses</w:t>
      </w:r>
    </w:p>
    <w:p w14:paraId="46F46A76" w14:textId="5373046D" w:rsidR="00116561" w:rsidRDefault="00A50106" w:rsidP="003055E3">
      <w:r>
        <w:t xml:space="preserve">On receipt of a patient referral to the NHS Discharge Medicines Service, the community pharmacy team </w:t>
      </w:r>
      <w:r w:rsidR="00627AA9">
        <w:t xml:space="preserve">undertake a pharmacist clinical check within 72 hours. The pharmacy reviews </w:t>
      </w:r>
      <w:r w:rsidR="000C1B7E">
        <w:t>the prescription and identifies what is required</w:t>
      </w:r>
      <w:r w:rsidR="00613EFF">
        <w:t xml:space="preserve">, depending on the patient need. </w:t>
      </w:r>
      <w:r w:rsidR="00627AA9">
        <w:t>The community pharmacy team must also check any previously ordered prescriptions for the patient that are in the dispensing process or awaiting collection to see if they are still appropriate. Particular attention should be paid to electronic repeatable prescriptions as these could be pulled down from the system sometime after the patient has been discharged from hospital.</w:t>
      </w:r>
    </w:p>
    <w:p w14:paraId="24815219" w14:textId="77777777" w:rsidR="0002654E" w:rsidRDefault="0002654E" w:rsidP="003055E3"/>
    <w:p w14:paraId="24AC27A2" w14:textId="49EA81F1" w:rsidR="009D3536" w:rsidRDefault="009D3536" w:rsidP="003055E3">
      <w:r>
        <w:t xml:space="preserve">In Warwickshire </w:t>
      </w:r>
      <w:r w:rsidR="00EB7CA0">
        <w:t>there has been a reduction of the number of active pharmacies providing both the needle exchange and supervised consumption service and a reduction in the number of interactions</w:t>
      </w:r>
      <w:r w:rsidR="00C364A8">
        <w:t xml:space="preserve"> (</w:t>
      </w:r>
      <w:r w:rsidR="00B35C2C">
        <w:t>Table</w:t>
      </w:r>
      <w:r w:rsidR="00C364A8">
        <w:t xml:space="preserve"> </w:t>
      </w:r>
      <w:r w:rsidR="00B35C2C">
        <w:t>14</w:t>
      </w:r>
      <w:r w:rsidR="00C364A8">
        <w:t xml:space="preserve">). </w:t>
      </w:r>
      <w:r w:rsidR="00C8252D">
        <w:t>The initial reduction between 2019/20 was</w:t>
      </w:r>
      <w:r w:rsidR="00EA120A">
        <w:t xml:space="preserve"> likely due to the COVID-19 pandemic. This had continued into 2021/22. National data is not available to compare for needle exchange, but supervised consumption shows an opposite trend to the national picture, which shows a</w:t>
      </w:r>
      <w:r w:rsidR="00BA3B79">
        <w:t xml:space="preserve"> s</w:t>
      </w:r>
      <w:r w:rsidR="00EA120A">
        <w:t>l</w:t>
      </w:r>
      <w:r w:rsidR="00BA3B79">
        <w:t>ight</w:t>
      </w:r>
      <w:r w:rsidR="00EA120A">
        <w:t xml:space="preserve"> increase in the service. </w:t>
      </w:r>
    </w:p>
    <w:tbl>
      <w:tblPr>
        <w:tblStyle w:val="GridTable3-Accent1"/>
        <w:tblW w:w="0" w:type="auto"/>
        <w:tblLook w:val="04A0" w:firstRow="1" w:lastRow="0" w:firstColumn="1" w:lastColumn="0" w:noHBand="0" w:noVBand="1"/>
      </w:tblPr>
      <w:tblGrid>
        <w:gridCol w:w="5070"/>
        <w:gridCol w:w="1275"/>
        <w:gridCol w:w="1276"/>
        <w:gridCol w:w="1276"/>
        <w:gridCol w:w="1291"/>
      </w:tblGrid>
      <w:tr w:rsidR="00F77701" w14:paraId="6119C00D" w14:textId="1CBA3E52" w:rsidTr="00EC56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70" w:type="dxa"/>
          </w:tcPr>
          <w:p w14:paraId="33F8E266" w14:textId="77777777" w:rsidR="00F77701" w:rsidRDefault="00F77701" w:rsidP="003055E3"/>
        </w:tc>
        <w:tc>
          <w:tcPr>
            <w:tcW w:w="1275" w:type="dxa"/>
          </w:tcPr>
          <w:p w14:paraId="6E122FA1" w14:textId="29815079" w:rsidR="00F77701" w:rsidRDefault="00F77701" w:rsidP="003055E3">
            <w:pPr>
              <w:cnfStyle w:val="100000000000" w:firstRow="1" w:lastRow="0" w:firstColumn="0" w:lastColumn="0" w:oddVBand="0" w:evenVBand="0" w:oddHBand="0" w:evenHBand="0" w:firstRowFirstColumn="0" w:firstRowLastColumn="0" w:lastRowFirstColumn="0" w:lastRowLastColumn="0"/>
            </w:pPr>
            <w:r>
              <w:t>2018/19</w:t>
            </w:r>
          </w:p>
        </w:tc>
        <w:tc>
          <w:tcPr>
            <w:tcW w:w="1276" w:type="dxa"/>
          </w:tcPr>
          <w:p w14:paraId="4ABA25C1" w14:textId="0FFB1314" w:rsidR="00F77701" w:rsidRDefault="00F77701" w:rsidP="003055E3">
            <w:pPr>
              <w:cnfStyle w:val="100000000000" w:firstRow="1" w:lastRow="0" w:firstColumn="0" w:lastColumn="0" w:oddVBand="0" w:evenVBand="0" w:oddHBand="0" w:evenHBand="0" w:firstRowFirstColumn="0" w:firstRowLastColumn="0" w:lastRowFirstColumn="0" w:lastRowLastColumn="0"/>
            </w:pPr>
            <w:r>
              <w:t>2019/20</w:t>
            </w:r>
          </w:p>
        </w:tc>
        <w:tc>
          <w:tcPr>
            <w:tcW w:w="1276" w:type="dxa"/>
          </w:tcPr>
          <w:p w14:paraId="6247371A" w14:textId="761D0A6A" w:rsidR="00F77701" w:rsidRDefault="00F77701" w:rsidP="003055E3">
            <w:pPr>
              <w:cnfStyle w:val="100000000000" w:firstRow="1" w:lastRow="0" w:firstColumn="0" w:lastColumn="0" w:oddVBand="0" w:evenVBand="0" w:oddHBand="0" w:evenHBand="0" w:firstRowFirstColumn="0" w:firstRowLastColumn="0" w:lastRowFirstColumn="0" w:lastRowLastColumn="0"/>
            </w:pPr>
            <w:r>
              <w:t>2020/21</w:t>
            </w:r>
          </w:p>
        </w:tc>
        <w:tc>
          <w:tcPr>
            <w:tcW w:w="1291" w:type="dxa"/>
          </w:tcPr>
          <w:p w14:paraId="2FF58F41" w14:textId="257E6FCF" w:rsidR="00F77701" w:rsidRDefault="00F77701" w:rsidP="003055E3">
            <w:pPr>
              <w:cnfStyle w:val="100000000000" w:firstRow="1" w:lastRow="0" w:firstColumn="0" w:lastColumn="0" w:oddVBand="0" w:evenVBand="0" w:oddHBand="0" w:evenHBand="0" w:firstRowFirstColumn="0" w:firstRowLastColumn="0" w:lastRowFirstColumn="0" w:lastRowLastColumn="0"/>
            </w:pPr>
            <w:r>
              <w:t>2021/22</w:t>
            </w:r>
          </w:p>
        </w:tc>
      </w:tr>
      <w:tr w:rsidR="00F77701" w14:paraId="145B2663" w14:textId="05440C73" w:rsidTr="00EC5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33E9AA3C" w14:textId="38EB23E5" w:rsidR="00F77701" w:rsidRDefault="00F77701" w:rsidP="003055E3">
            <w:r>
              <w:t>Number of pharmacies providing needle exchange</w:t>
            </w:r>
          </w:p>
        </w:tc>
        <w:tc>
          <w:tcPr>
            <w:tcW w:w="1275" w:type="dxa"/>
          </w:tcPr>
          <w:p w14:paraId="26348EC6" w14:textId="44DBA9B2" w:rsidR="00F77701" w:rsidRDefault="000A7933" w:rsidP="003055E3">
            <w:pPr>
              <w:cnfStyle w:val="000000100000" w:firstRow="0" w:lastRow="0" w:firstColumn="0" w:lastColumn="0" w:oddVBand="0" w:evenVBand="0" w:oddHBand="1" w:evenHBand="0" w:firstRowFirstColumn="0" w:firstRowLastColumn="0" w:lastRowFirstColumn="0" w:lastRowLastColumn="0"/>
            </w:pPr>
            <w:r>
              <w:t>17</w:t>
            </w:r>
          </w:p>
        </w:tc>
        <w:tc>
          <w:tcPr>
            <w:tcW w:w="1276" w:type="dxa"/>
          </w:tcPr>
          <w:p w14:paraId="495606A4" w14:textId="2894116F" w:rsidR="00F77701" w:rsidRDefault="000A7933" w:rsidP="003055E3">
            <w:pPr>
              <w:cnfStyle w:val="000000100000" w:firstRow="0" w:lastRow="0" w:firstColumn="0" w:lastColumn="0" w:oddVBand="0" w:evenVBand="0" w:oddHBand="1" w:evenHBand="0" w:firstRowFirstColumn="0" w:firstRowLastColumn="0" w:lastRowFirstColumn="0" w:lastRowLastColumn="0"/>
            </w:pPr>
            <w:r>
              <w:t>22</w:t>
            </w:r>
          </w:p>
        </w:tc>
        <w:tc>
          <w:tcPr>
            <w:tcW w:w="1276" w:type="dxa"/>
          </w:tcPr>
          <w:p w14:paraId="04498AB6" w14:textId="3041CA77" w:rsidR="00F77701" w:rsidRDefault="000A7933" w:rsidP="003055E3">
            <w:pPr>
              <w:cnfStyle w:val="000000100000" w:firstRow="0" w:lastRow="0" w:firstColumn="0" w:lastColumn="0" w:oddVBand="0" w:evenVBand="0" w:oddHBand="1" w:evenHBand="0" w:firstRowFirstColumn="0" w:firstRowLastColumn="0" w:lastRowFirstColumn="0" w:lastRowLastColumn="0"/>
            </w:pPr>
            <w:r>
              <w:t>22</w:t>
            </w:r>
          </w:p>
        </w:tc>
        <w:tc>
          <w:tcPr>
            <w:tcW w:w="1291" w:type="dxa"/>
          </w:tcPr>
          <w:p w14:paraId="1E9E5033" w14:textId="2F6BAC0A" w:rsidR="00F77701" w:rsidRDefault="000A7933" w:rsidP="003055E3">
            <w:pPr>
              <w:cnfStyle w:val="000000100000" w:firstRow="0" w:lastRow="0" w:firstColumn="0" w:lastColumn="0" w:oddVBand="0" w:evenVBand="0" w:oddHBand="1" w:evenHBand="0" w:firstRowFirstColumn="0" w:firstRowLastColumn="0" w:lastRowFirstColumn="0" w:lastRowLastColumn="0"/>
            </w:pPr>
            <w:r>
              <w:t>17</w:t>
            </w:r>
          </w:p>
        </w:tc>
      </w:tr>
      <w:tr w:rsidR="00F77701" w14:paraId="30CDC341" w14:textId="064F2942" w:rsidTr="00EC56BD">
        <w:tc>
          <w:tcPr>
            <w:cnfStyle w:val="001000000000" w:firstRow="0" w:lastRow="0" w:firstColumn="1" w:lastColumn="0" w:oddVBand="0" w:evenVBand="0" w:oddHBand="0" w:evenHBand="0" w:firstRowFirstColumn="0" w:firstRowLastColumn="0" w:lastRowFirstColumn="0" w:lastRowLastColumn="0"/>
            <w:tcW w:w="5070" w:type="dxa"/>
          </w:tcPr>
          <w:p w14:paraId="3CF1DF8D" w14:textId="77777777" w:rsidR="00F77701" w:rsidRDefault="00F77701" w:rsidP="003055E3">
            <w:r>
              <w:t>Number of needle exchange interactions</w:t>
            </w:r>
          </w:p>
          <w:p w14:paraId="07DC5545" w14:textId="3DE2B2CB" w:rsidR="00F77701" w:rsidRDefault="00F77701" w:rsidP="003055E3"/>
        </w:tc>
        <w:tc>
          <w:tcPr>
            <w:tcW w:w="1275" w:type="dxa"/>
          </w:tcPr>
          <w:p w14:paraId="2ABFFF7A" w14:textId="0A64592F" w:rsidR="00F77701" w:rsidRDefault="000A7933" w:rsidP="003055E3">
            <w:pPr>
              <w:cnfStyle w:val="000000000000" w:firstRow="0" w:lastRow="0" w:firstColumn="0" w:lastColumn="0" w:oddVBand="0" w:evenVBand="0" w:oddHBand="0" w:evenHBand="0" w:firstRowFirstColumn="0" w:firstRowLastColumn="0" w:lastRowFirstColumn="0" w:lastRowLastColumn="0"/>
            </w:pPr>
            <w:r>
              <w:t>8,335</w:t>
            </w:r>
          </w:p>
        </w:tc>
        <w:tc>
          <w:tcPr>
            <w:tcW w:w="1276" w:type="dxa"/>
          </w:tcPr>
          <w:p w14:paraId="22B8A2C5" w14:textId="4CC50FE1" w:rsidR="00F77701" w:rsidRDefault="00F21917" w:rsidP="003055E3">
            <w:pPr>
              <w:cnfStyle w:val="000000000000" w:firstRow="0" w:lastRow="0" w:firstColumn="0" w:lastColumn="0" w:oddVBand="0" w:evenVBand="0" w:oddHBand="0" w:evenHBand="0" w:firstRowFirstColumn="0" w:firstRowLastColumn="0" w:lastRowFirstColumn="0" w:lastRowLastColumn="0"/>
            </w:pPr>
            <w:r>
              <w:t>11,124</w:t>
            </w:r>
          </w:p>
        </w:tc>
        <w:tc>
          <w:tcPr>
            <w:tcW w:w="1276" w:type="dxa"/>
          </w:tcPr>
          <w:p w14:paraId="204922EE" w14:textId="7A5F01A2" w:rsidR="00F77701" w:rsidRDefault="00C41AE7" w:rsidP="003055E3">
            <w:pPr>
              <w:cnfStyle w:val="000000000000" w:firstRow="0" w:lastRow="0" w:firstColumn="0" w:lastColumn="0" w:oddVBand="0" w:evenVBand="0" w:oddHBand="0" w:evenHBand="0" w:firstRowFirstColumn="0" w:firstRowLastColumn="0" w:lastRowFirstColumn="0" w:lastRowLastColumn="0"/>
            </w:pPr>
            <w:r>
              <w:t>9,265</w:t>
            </w:r>
          </w:p>
        </w:tc>
        <w:tc>
          <w:tcPr>
            <w:tcW w:w="1291" w:type="dxa"/>
          </w:tcPr>
          <w:p w14:paraId="25EE6C1F" w14:textId="6D1F6D75" w:rsidR="00F77701" w:rsidRDefault="00C41AE7" w:rsidP="003055E3">
            <w:pPr>
              <w:cnfStyle w:val="000000000000" w:firstRow="0" w:lastRow="0" w:firstColumn="0" w:lastColumn="0" w:oddVBand="0" w:evenVBand="0" w:oddHBand="0" w:evenHBand="0" w:firstRowFirstColumn="0" w:firstRowLastColumn="0" w:lastRowFirstColumn="0" w:lastRowLastColumn="0"/>
            </w:pPr>
            <w:r>
              <w:t>7,284</w:t>
            </w:r>
          </w:p>
        </w:tc>
      </w:tr>
      <w:tr w:rsidR="00F77701" w14:paraId="4857D4EF" w14:textId="19AFFDAA" w:rsidTr="00EC5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0C85054" w14:textId="7D25B7B3" w:rsidR="00F77701" w:rsidRDefault="00F77701" w:rsidP="003055E3">
            <w:r>
              <w:t>Number of pharmacies providing supervised consumption</w:t>
            </w:r>
          </w:p>
        </w:tc>
        <w:tc>
          <w:tcPr>
            <w:tcW w:w="1275" w:type="dxa"/>
          </w:tcPr>
          <w:p w14:paraId="7FBE9DCC" w14:textId="7E87CD70" w:rsidR="00F77701" w:rsidRDefault="005743CD" w:rsidP="003055E3">
            <w:pPr>
              <w:cnfStyle w:val="000000100000" w:firstRow="0" w:lastRow="0" w:firstColumn="0" w:lastColumn="0" w:oddVBand="0" w:evenVBand="0" w:oddHBand="1" w:evenHBand="0" w:firstRowFirstColumn="0" w:firstRowLastColumn="0" w:lastRowFirstColumn="0" w:lastRowLastColumn="0"/>
            </w:pPr>
            <w:r>
              <w:t>46</w:t>
            </w:r>
          </w:p>
        </w:tc>
        <w:tc>
          <w:tcPr>
            <w:tcW w:w="1276" w:type="dxa"/>
          </w:tcPr>
          <w:p w14:paraId="4EB8A1E8" w14:textId="6F840FBE" w:rsidR="00F77701" w:rsidRDefault="005743CD" w:rsidP="003055E3">
            <w:pPr>
              <w:cnfStyle w:val="000000100000" w:firstRow="0" w:lastRow="0" w:firstColumn="0" w:lastColumn="0" w:oddVBand="0" w:evenVBand="0" w:oddHBand="1" w:evenHBand="0" w:firstRowFirstColumn="0" w:firstRowLastColumn="0" w:lastRowFirstColumn="0" w:lastRowLastColumn="0"/>
            </w:pPr>
            <w:r>
              <w:t>52</w:t>
            </w:r>
          </w:p>
        </w:tc>
        <w:tc>
          <w:tcPr>
            <w:tcW w:w="1276" w:type="dxa"/>
          </w:tcPr>
          <w:p w14:paraId="1C28126E" w14:textId="3DB86298" w:rsidR="00F77701" w:rsidRDefault="00F37FD6" w:rsidP="003055E3">
            <w:pPr>
              <w:cnfStyle w:val="000000100000" w:firstRow="0" w:lastRow="0" w:firstColumn="0" w:lastColumn="0" w:oddVBand="0" w:evenVBand="0" w:oddHBand="1" w:evenHBand="0" w:firstRowFirstColumn="0" w:firstRowLastColumn="0" w:lastRowFirstColumn="0" w:lastRowLastColumn="0"/>
            </w:pPr>
            <w:r>
              <w:t>46</w:t>
            </w:r>
          </w:p>
        </w:tc>
        <w:tc>
          <w:tcPr>
            <w:tcW w:w="1291" w:type="dxa"/>
          </w:tcPr>
          <w:p w14:paraId="0FA32EF7" w14:textId="74A98442" w:rsidR="00F77701" w:rsidRDefault="00F37FD6" w:rsidP="003055E3">
            <w:pPr>
              <w:cnfStyle w:val="000000100000" w:firstRow="0" w:lastRow="0" w:firstColumn="0" w:lastColumn="0" w:oddVBand="0" w:evenVBand="0" w:oddHBand="1" w:evenHBand="0" w:firstRowFirstColumn="0" w:firstRowLastColumn="0" w:lastRowFirstColumn="0" w:lastRowLastColumn="0"/>
            </w:pPr>
            <w:r>
              <w:t>40</w:t>
            </w:r>
          </w:p>
        </w:tc>
      </w:tr>
      <w:tr w:rsidR="00F77701" w14:paraId="077ACC5C" w14:textId="718EEDAF" w:rsidTr="00EC56BD">
        <w:tc>
          <w:tcPr>
            <w:cnfStyle w:val="001000000000" w:firstRow="0" w:lastRow="0" w:firstColumn="1" w:lastColumn="0" w:oddVBand="0" w:evenVBand="0" w:oddHBand="0" w:evenHBand="0" w:firstRowFirstColumn="0" w:firstRowLastColumn="0" w:lastRowFirstColumn="0" w:lastRowLastColumn="0"/>
            <w:tcW w:w="5070" w:type="dxa"/>
          </w:tcPr>
          <w:p w14:paraId="6C90BFE5" w14:textId="5133737F" w:rsidR="00F77701" w:rsidRDefault="00F77701" w:rsidP="003055E3">
            <w:r>
              <w:t>Number of supervised consumption interactions</w:t>
            </w:r>
          </w:p>
        </w:tc>
        <w:tc>
          <w:tcPr>
            <w:tcW w:w="1275" w:type="dxa"/>
          </w:tcPr>
          <w:p w14:paraId="081EA3B0" w14:textId="7D0747F8" w:rsidR="00F77701" w:rsidRDefault="00F37FD6" w:rsidP="003055E3">
            <w:pPr>
              <w:cnfStyle w:val="000000000000" w:firstRow="0" w:lastRow="0" w:firstColumn="0" w:lastColumn="0" w:oddVBand="0" w:evenVBand="0" w:oddHBand="0" w:evenHBand="0" w:firstRowFirstColumn="0" w:firstRowLastColumn="0" w:lastRowFirstColumn="0" w:lastRowLastColumn="0"/>
            </w:pPr>
            <w:r>
              <w:t>5,946</w:t>
            </w:r>
          </w:p>
        </w:tc>
        <w:tc>
          <w:tcPr>
            <w:tcW w:w="1276" w:type="dxa"/>
          </w:tcPr>
          <w:p w14:paraId="1A7A5535" w14:textId="2CEC4B30" w:rsidR="00F77701" w:rsidRDefault="00F37FD6" w:rsidP="003055E3">
            <w:pPr>
              <w:cnfStyle w:val="000000000000" w:firstRow="0" w:lastRow="0" w:firstColumn="0" w:lastColumn="0" w:oddVBand="0" w:evenVBand="0" w:oddHBand="0" w:evenHBand="0" w:firstRowFirstColumn="0" w:firstRowLastColumn="0" w:lastRowFirstColumn="0" w:lastRowLastColumn="0"/>
            </w:pPr>
            <w:r>
              <w:t>8,326</w:t>
            </w:r>
          </w:p>
        </w:tc>
        <w:tc>
          <w:tcPr>
            <w:tcW w:w="1276" w:type="dxa"/>
          </w:tcPr>
          <w:p w14:paraId="6223838E" w14:textId="2A26120F" w:rsidR="00F77701" w:rsidRDefault="000576E9" w:rsidP="003055E3">
            <w:pPr>
              <w:cnfStyle w:val="000000000000" w:firstRow="0" w:lastRow="0" w:firstColumn="0" w:lastColumn="0" w:oddVBand="0" w:evenVBand="0" w:oddHBand="0" w:evenHBand="0" w:firstRowFirstColumn="0" w:firstRowLastColumn="0" w:lastRowFirstColumn="0" w:lastRowLastColumn="0"/>
            </w:pPr>
            <w:r>
              <w:t>4,253</w:t>
            </w:r>
          </w:p>
        </w:tc>
        <w:tc>
          <w:tcPr>
            <w:tcW w:w="1291" w:type="dxa"/>
          </w:tcPr>
          <w:p w14:paraId="13415088" w14:textId="7B7FCCD0" w:rsidR="00F77701" w:rsidRDefault="000576E9" w:rsidP="003055E3">
            <w:pPr>
              <w:cnfStyle w:val="000000000000" w:firstRow="0" w:lastRow="0" w:firstColumn="0" w:lastColumn="0" w:oddVBand="0" w:evenVBand="0" w:oddHBand="0" w:evenHBand="0" w:firstRowFirstColumn="0" w:firstRowLastColumn="0" w:lastRowFirstColumn="0" w:lastRowLastColumn="0"/>
            </w:pPr>
            <w:r>
              <w:t>3,284</w:t>
            </w:r>
          </w:p>
        </w:tc>
      </w:tr>
    </w:tbl>
    <w:p w14:paraId="7B0844B7" w14:textId="1B324BDE" w:rsidR="00C364A8" w:rsidRDefault="00B35C2C" w:rsidP="00B35C2C">
      <w:pPr>
        <w:pStyle w:val="Caption"/>
      </w:pPr>
      <w:r>
        <w:t xml:space="preserve">Table </w:t>
      </w:r>
      <w:r>
        <w:fldChar w:fldCharType="begin"/>
      </w:r>
      <w:r>
        <w:instrText>SEQ Table \* ARABIC</w:instrText>
      </w:r>
      <w:r>
        <w:fldChar w:fldCharType="separate"/>
      </w:r>
      <w:r w:rsidR="00AC4C6D">
        <w:rPr>
          <w:noProof/>
        </w:rPr>
        <w:t>14</w:t>
      </w:r>
      <w:r>
        <w:fldChar w:fldCharType="end"/>
      </w:r>
      <w:r>
        <w:t>: Number of pharmacies in Warwickshire providing needle exchange and supervised consumption and interactions</w:t>
      </w:r>
      <w:r>
        <w:br/>
      </w:r>
      <w:r w:rsidR="00EE6BC1">
        <w:t>Source: Pharmout</w:t>
      </w:r>
      <w:r w:rsidR="007529FC">
        <w:t>comes</w:t>
      </w:r>
    </w:p>
    <w:p w14:paraId="5013B77C" w14:textId="77777777" w:rsidR="002042F9" w:rsidRDefault="002042F9" w:rsidP="003055E3"/>
    <w:p w14:paraId="195D299F" w14:textId="713A0144" w:rsidR="00006952" w:rsidRDefault="00006952" w:rsidP="003055E3">
      <w:r>
        <w:t xml:space="preserve">In Coventry </w:t>
      </w:r>
      <w:r w:rsidR="00727149">
        <w:t xml:space="preserve">the number of pharmacies providing the needle exchange and supervised consumption service has been static, with changes happening only when pharmacies close down (Table </w:t>
      </w:r>
      <w:r w:rsidR="001B5525">
        <w:t>15</w:t>
      </w:r>
      <w:r w:rsidR="00727149">
        <w:t xml:space="preserve">). </w:t>
      </w:r>
    </w:p>
    <w:tbl>
      <w:tblPr>
        <w:tblStyle w:val="GridTable3-Accent1"/>
        <w:tblW w:w="0" w:type="auto"/>
        <w:tblLook w:val="04A0" w:firstRow="1" w:lastRow="0" w:firstColumn="1" w:lastColumn="0" w:noHBand="0" w:noVBand="1"/>
      </w:tblPr>
      <w:tblGrid>
        <w:gridCol w:w="6345"/>
        <w:gridCol w:w="1276"/>
        <w:gridCol w:w="1276"/>
        <w:gridCol w:w="1291"/>
      </w:tblGrid>
      <w:tr w:rsidR="002042F9" w14:paraId="4767ABE6" w14:textId="77777777" w:rsidTr="00544E1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45" w:type="dxa"/>
          </w:tcPr>
          <w:p w14:paraId="7C34CE54" w14:textId="77777777" w:rsidR="002042F9" w:rsidRDefault="002042F9" w:rsidP="003055E3"/>
        </w:tc>
        <w:tc>
          <w:tcPr>
            <w:tcW w:w="1276" w:type="dxa"/>
          </w:tcPr>
          <w:p w14:paraId="10DC7171" w14:textId="6AA0F0B9" w:rsidR="002042F9" w:rsidRDefault="00544E18" w:rsidP="003055E3">
            <w:pPr>
              <w:cnfStyle w:val="100000000000" w:firstRow="1" w:lastRow="0" w:firstColumn="0" w:lastColumn="0" w:oddVBand="0" w:evenVBand="0" w:oddHBand="0" w:evenHBand="0" w:firstRowFirstColumn="0" w:firstRowLastColumn="0" w:lastRowFirstColumn="0" w:lastRowLastColumn="0"/>
            </w:pPr>
            <w:r>
              <w:t>2019/20</w:t>
            </w:r>
          </w:p>
        </w:tc>
        <w:tc>
          <w:tcPr>
            <w:tcW w:w="1276" w:type="dxa"/>
          </w:tcPr>
          <w:p w14:paraId="73F8B884" w14:textId="0F0E12B5" w:rsidR="002042F9" w:rsidRDefault="00544E18" w:rsidP="003055E3">
            <w:pPr>
              <w:cnfStyle w:val="100000000000" w:firstRow="1" w:lastRow="0" w:firstColumn="0" w:lastColumn="0" w:oddVBand="0" w:evenVBand="0" w:oddHBand="0" w:evenHBand="0" w:firstRowFirstColumn="0" w:firstRowLastColumn="0" w:lastRowFirstColumn="0" w:lastRowLastColumn="0"/>
            </w:pPr>
            <w:r>
              <w:t>2020/21</w:t>
            </w:r>
          </w:p>
        </w:tc>
        <w:tc>
          <w:tcPr>
            <w:tcW w:w="1291" w:type="dxa"/>
          </w:tcPr>
          <w:p w14:paraId="27CB9033" w14:textId="18733A8D" w:rsidR="002042F9" w:rsidRDefault="00544E18" w:rsidP="003055E3">
            <w:pPr>
              <w:cnfStyle w:val="100000000000" w:firstRow="1" w:lastRow="0" w:firstColumn="0" w:lastColumn="0" w:oddVBand="0" w:evenVBand="0" w:oddHBand="0" w:evenHBand="0" w:firstRowFirstColumn="0" w:firstRowLastColumn="0" w:lastRowFirstColumn="0" w:lastRowLastColumn="0"/>
            </w:pPr>
            <w:r>
              <w:t>2021/22</w:t>
            </w:r>
          </w:p>
        </w:tc>
      </w:tr>
      <w:tr w:rsidR="002042F9" w14:paraId="2C6D3AF5" w14:textId="77777777" w:rsidTr="00544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6F3A794F" w14:textId="39914DD1" w:rsidR="002042F9" w:rsidRDefault="00544E18" w:rsidP="003055E3">
            <w:r>
              <w:t>Number of pharmacies providing needle exchange</w:t>
            </w:r>
          </w:p>
        </w:tc>
        <w:tc>
          <w:tcPr>
            <w:tcW w:w="1276" w:type="dxa"/>
          </w:tcPr>
          <w:p w14:paraId="314CB4FA" w14:textId="715E8936" w:rsidR="002042F9" w:rsidRDefault="00544E18" w:rsidP="003055E3">
            <w:pPr>
              <w:cnfStyle w:val="000000100000" w:firstRow="0" w:lastRow="0" w:firstColumn="0" w:lastColumn="0" w:oddVBand="0" w:evenVBand="0" w:oddHBand="1" w:evenHBand="0" w:firstRowFirstColumn="0" w:firstRowLastColumn="0" w:lastRowFirstColumn="0" w:lastRowLastColumn="0"/>
            </w:pPr>
            <w:r>
              <w:t>24</w:t>
            </w:r>
          </w:p>
        </w:tc>
        <w:tc>
          <w:tcPr>
            <w:tcW w:w="1276" w:type="dxa"/>
          </w:tcPr>
          <w:p w14:paraId="66C7963D" w14:textId="199E0A74" w:rsidR="002042F9" w:rsidRDefault="00544E18" w:rsidP="003055E3">
            <w:pPr>
              <w:cnfStyle w:val="000000100000" w:firstRow="0" w:lastRow="0" w:firstColumn="0" w:lastColumn="0" w:oddVBand="0" w:evenVBand="0" w:oddHBand="1" w:evenHBand="0" w:firstRowFirstColumn="0" w:firstRowLastColumn="0" w:lastRowFirstColumn="0" w:lastRowLastColumn="0"/>
            </w:pPr>
            <w:r>
              <w:t>24</w:t>
            </w:r>
          </w:p>
        </w:tc>
        <w:tc>
          <w:tcPr>
            <w:tcW w:w="1291" w:type="dxa"/>
          </w:tcPr>
          <w:p w14:paraId="11DB7D93" w14:textId="2F1D7DC0" w:rsidR="002042F9" w:rsidRDefault="00544E18" w:rsidP="003055E3">
            <w:pPr>
              <w:cnfStyle w:val="000000100000" w:firstRow="0" w:lastRow="0" w:firstColumn="0" w:lastColumn="0" w:oddVBand="0" w:evenVBand="0" w:oddHBand="1" w:evenHBand="0" w:firstRowFirstColumn="0" w:firstRowLastColumn="0" w:lastRowFirstColumn="0" w:lastRowLastColumn="0"/>
            </w:pPr>
            <w:r>
              <w:t>24</w:t>
            </w:r>
          </w:p>
        </w:tc>
      </w:tr>
      <w:tr w:rsidR="002042F9" w14:paraId="31FC5162" w14:textId="77777777" w:rsidTr="00544E18">
        <w:tc>
          <w:tcPr>
            <w:cnfStyle w:val="001000000000" w:firstRow="0" w:lastRow="0" w:firstColumn="1" w:lastColumn="0" w:oddVBand="0" w:evenVBand="0" w:oddHBand="0" w:evenHBand="0" w:firstRowFirstColumn="0" w:firstRowLastColumn="0" w:lastRowFirstColumn="0" w:lastRowLastColumn="0"/>
            <w:tcW w:w="6345" w:type="dxa"/>
          </w:tcPr>
          <w:p w14:paraId="757B9893" w14:textId="3259884F" w:rsidR="002042F9" w:rsidRDefault="00544E18" w:rsidP="003055E3">
            <w:r>
              <w:t>Number of needle exchange interactions</w:t>
            </w:r>
          </w:p>
        </w:tc>
        <w:tc>
          <w:tcPr>
            <w:tcW w:w="1276" w:type="dxa"/>
          </w:tcPr>
          <w:p w14:paraId="21993BDC" w14:textId="255B32C5" w:rsidR="002042F9" w:rsidRDefault="00544E18" w:rsidP="003055E3">
            <w:pPr>
              <w:cnfStyle w:val="000000000000" w:firstRow="0" w:lastRow="0" w:firstColumn="0" w:lastColumn="0" w:oddVBand="0" w:evenVBand="0" w:oddHBand="0" w:evenHBand="0" w:firstRowFirstColumn="0" w:firstRowLastColumn="0" w:lastRowFirstColumn="0" w:lastRowLastColumn="0"/>
            </w:pPr>
            <w:r>
              <w:t>18,527</w:t>
            </w:r>
          </w:p>
        </w:tc>
        <w:tc>
          <w:tcPr>
            <w:tcW w:w="1276" w:type="dxa"/>
          </w:tcPr>
          <w:p w14:paraId="0E9A3586" w14:textId="655D1090" w:rsidR="002042F9" w:rsidRDefault="00544E18" w:rsidP="003055E3">
            <w:pPr>
              <w:cnfStyle w:val="000000000000" w:firstRow="0" w:lastRow="0" w:firstColumn="0" w:lastColumn="0" w:oddVBand="0" w:evenVBand="0" w:oddHBand="0" w:evenHBand="0" w:firstRowFirstColumn="0" w:firstRowLastColumn="0" w:lastRowFirstColumn="0" w:lastRowLastColumn="0"/>
            </w:pPr>
            <w:r>
              <w:t>14,423</w:t>
            </w:r>
          </w:p>
        </w:tc>
        <w:tc>
          <w:tcPr>
            <w:tcW w:w="1291" w:type="dxa"/>
          </w:tcPr>
          <w:p w14:paraId="4D041DE9" w14:textId="6A552DAD" w:rsidR="002042F9" w:rsidRDefault="00544E18" w:rsidP="003055E3">
            <w:pPr>
              <w:cnfStyle w:val="000000000000" w:firstRow="0" w:lastRow="0" w:firstColumn="0" w:lastColumn="0" w:oddVBand="0" w:evenVBand="0" w:oddHBand="0" w:evenHBand="0" w:firstRowFirstColumn="0" w:firstRowLastColumn="0" w:lastRowFirstColumn="0" w:lastRowLastColumn="0"/>
            </w:pPr>
            <w:r>
              <w:t>12,228</w:t>
            </w:r>
          </w:p>
        </w:tc>
      </w:tr>
      <w:tr w:rsidR="002042F9" w14:paraId="47E457F0" w14:textId="77777777" w:rsidTr="00544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37CAD8FF" w14:textId="4EB3A854" w:rsidR="002042F9" w:rsidRDefault="00544E18" w:rsidP="003055E3">
            <w:r>
              <w:t>Number of pharmacies providing supervised consumption</w:t>
            </w:r>
          </w:p>
        </w:tc>
        <w:tc>
          <w:tcPr>
            <w:tcW w:w="1276" w:type="dxa"/>
          </w:tcPr>
          <w:p w14:paraId="7BF3718B" w14:textId="0139FF49" w:rsidR="002042F9" w:rsidRDefault="00544E18" w:rsidP="003055E3">
            <w:pPr>
              <w:cnfStyle w:val="000000100000" w:firstRow="0" w:lastRow="0" w:firstColumn="0" w:lastColumn="0" w:oddVBand="0" w:evenVBand="0" w:oddHBand="1" w:evenHBand="0" w:firstRowFirstColumn="0" w:firstRowLastColumn="0" w:lastRowFirstColumn="0" w:lastRowLastColumn="0"/>
            </w:pPr>
            <w:r>
              <w:t>69</w:t>
            </w:r>
          </w:p>
        </w:tc>
        <w:tc>
          <w:tcPr>
            <w:tcW w:w="1276" w:type="dxa"/>
          </w:tcPr>
          <w:p w14:paraId="4557E991" w14:textId="7CB94277" w:rsidR="002042F9" w:rsidRDefault="00544E18" w:rsidP="003055E3">
            <w:pPr>
              <w:cnfStyle w:val="000000100000" w:firstRow="0" w:lastRow="0" w:firstColumn="0" w:lastColumn="0" w:oddVBand="0" w:evenVBand="0" w:oddHBand="1" w:evenHBand="0" w:firstRowFirstColumn="0" w:firstRowLastColumn="0" w:lastRowFirstColumn="0" w:lastRowLastColumn="0"/>
            </w:pPr>
            <w:r>
              <w:t>69</w:t>
            </w:r>
          </w:p>
        </w:tc>
        <w:tc>
          <w:tcPr>
            <w:tcW w:w="1291" w:type="dxa"/>
          </w:tcPr>
          <w:p w14:paraId="58A8341E" w14:textId="76959FC7" w:rsidR="002042F9" w:rsidRDefault="00544E18" w:rsidP="003055E3">
            <w:pPr>
              <w:cnfStyle w:val="000000100000" w:firstRow="0" w:lastRow="0" w:firstColumn="0" w:lastColumn="0" w:oddVBand="0" w:evenVBand="0" w:oddHBand="1" w:evenHBand="0" w:firstRowFirstColumn="0" w:firstRowLastColumn="0" w:lastRowFirstColumn="0" w:lastRowLastColumn="0"/>
            </w:pPr>
            <w:r>
              <w:t>69</w:t>
            </w:r>
          </w:p>
        </w:tc>
      </w:tr>
      <w:tr w:rsidR="002042F9" w14:paraId="76B9DB03" w14:textId="77777777" w:rsidTr="00544E18">
        <w:tc>
          <w:tcPr>
            <w:cnfStyle w:val="001000000000" w:firstRow="0" w:lastRow="0" w:firstColumn="1" w:lastColumn="0" w:oddVBand="0" w:evenVBand="0" w:oddHBand="0" w:evenHBand="0" w:firstRowFirstColumn="0" w:firstRowLastColumn="0" w:lastRowFirstColumn="0" w:lastRowLastColumn="0"/>
            <w:tcW w:w="6345" w:type="dxa"/>
          </w:tcPr>
          <w:p w14:paraId="1E0E6164" w14:textId="79445DC6" w:rsidR="002042F9" w:rsidRDefault="00544E18" w:rsidP="003055E3">
            <w:r>
              <w:t>Number of supervised consumption interactions</w:t>
            </w:r>
          </w:p>
        </w:tc>
        <w:tc>
          <w:tcPr>
            <w:tcW w:w="1276" w:type="dxa"/>
          </w:tcPr>
          <w:p w14:paraId="28BAEC95" w14:textId="7CEF0597" w:rsidR="002042F9" w:rsidRDefault="00544E18" w:rsidP="003055E3">
            <w:pPr>
              <w:cnfStyle w:val="000000000000" w:firstRow="0" w:lastRow="0" w:firstColumn="0" w:lastColumn="0" w:oddVBand="0" w:evenVBand="0" w:oddHBand="0" w:evenHBand="0" w:firstRowFirstColumn="0" w:firstRowLastColumn="0" w:lastRowFirstColumn="0" w:lastRowLastColumn="0"/>
            </w:pPr>
            <w:r>
              <w:t>9,432</w:t>
            </w:r>
          </w:p>
        </w:tc>
        <w:tc>
          <w:tcPr>
            <w:tcW w:w="1276" w:type="dxa"/>
          </w:tcPr>
          <w:p w14:paraId="2612CCE6" w14:textId="447E47F9" w:rsidR="002042F9" w:rsidRDefault="00544E18" w:rsidP="003055E3">
            <w:pPr>
              <w:cnfStyle w:val="000000000000" w:firstRow="0" w:lastRow="0" w:firstColumn="0" w:lastColumn="0" w:oddVBand="0" w:evenVBand="0" w:oddHBand="0" w:evenHBand="0" w:firstRowFirstColumn="0" w:firstRowLastColumn="0" w:lastRowFirstColumn="0" w:lastRowLastColumn="0"/>
            </w:pPr>
            <w:r>
              <w:t>3,744</w:t>
            </w:r>
          </w:p>
        </w:tc>
        <w:tc>
          <w:tcPr>
            <w:tcW w:w="1291" w:type="dxa"/>
          </w:tcPr>
          <w:p w14:paraId="3A4B52F2" w14:textId="275D7287" w:rsidR="002042F9" w:rsidRDefault="00544E18" w:rsidP="003055E3">
            <w:pPr>
              <w:cnfStyle w:val="000000000000" w:firstRow="0" w:lastRow="0" w:firstColumn="0" w:lastColumn="0" w:oddVBand="0" w:evenVBand="0" w:oddHBand="0" w:evenHBand="0" w:firstRowFirstColumn="0" w:firstRowLastColumn="0" w:lastRowFirstColumn="0" w:lastRowLastColumn="0"/>
            </w:pPr>
            <w:r>
              <w:t>5,802</w:t>
            </w:r>
          </w:p>
        </w:tc>
      </w:tr>
    </w:tbl>
    <w:p w14:paraId="1524CAEB" w14:textId="7ACE466A" w:rsidR="002042F9" w:rsidRDefault="00B35C2C" w:rsidP="00B35C2C">
      <w:pPr>
        <w:pStyle w:val="Caption"/>
      </w:pPr>
      <w:r>
        <w:t xml:space="preserve">Table </w:t>
      </w:r>
      <w:r>
        <w:fldChar w:fldCharType="begin"/>
      </w:r>
      <w:r>
        <w:instrText>SEQ Table \* ARABIC</w:instrText>
      </w:r>
      <w:r>
        <w:fldChar w:fldCharType="separate"/>
      </w:r>
      <w:r w:rsidR="00AC4C6D">
        <w:rPr>
          <w:noProof/>
        </w:rPr>
        <w:t>15</w:t>
      </w:r>
      <w:r>
        <w:fldChar w:fldCharType="end"/>
      </w:r>
      <w:r>
        <w:t>:</w:t>
      </w:r>
      <w:r w:rsidR="00B80013">
        <w:t xml:space="preserve"> Number of pharmacies in Warwickshire providing needle exchange and supervised consumption and interactions</w:t>
      </w:r>
      <w:r w:rsidR="00B80013">
        <w:br/>
        <w:t xml:space="preserve">Source: </w:t>
      </w:r>
      <w:r w:rsidR="005824F2">
        <w:t>Pharmoutcomes</w:t>
      </w:r>
    </w:p>
    <w:p w14:paraId="00EE7044" w14:textId="7B0CE436" w:rsidR="00946134" w:rsidRDefault="00AD6EC4" w:rsidP="003055E3">
      <w:r>
        <w:t xml:space="preserve">In </w:t>
      </w:r>
      <w:r w:rsidR="00FD2F8A">
        <w:t xml:space="preserve">Coventry </w:t>
      </w:r>
      <w:r w:rsidR="00033075">
        <w:t>69</w:t>
      </w:r>
      <w:r>
        <w:t xml:space="preserve"> pharmacies provide </w:t>
      </w:r>
      <w:r w:rsidR="00794E2A">
        <w:t>the su</w:t>
      </w:r>
      <w:r w:rsidR="00946134">
        <w:t xml:space="preserve">pervised consumption service and 24 provide the needle exchange service. This is shown in </w:t>
      </w:r>
      <w:r w:rsidR="001B5525">
        <w:t>F</w:t>
      </w:r>
      <w:r w:rsidR="009A2563">
        <w:t xml:space="preserve">igure </w:t>
      </w:r>
      <w:r w:rsidR="001B5525">
        <w:t>4</w:t>
      </w:r>
      <w:r w:rsidR="00703DFB">
        <w:t>1</w:t>
      </w:r>
      <w:r w:rsidR="00946134">
        <w:t>, with pharmacies providing both supervised consumption and needle exchange in green, and those providing just supervised consumption in blue</w:t>
      </w:r>
      <w:r>
        <w:t>.</w:t>
      </w:r>
    </w:p>
    <w:p w14:paraId="15E53DA8" w14:textId="5E8E02CF" w:rsidR="00763102" w:rsidRDefault="00946134" w:rsidP="00946134">
      <w:pPr>
        <w:jc w:val="center"/>
      </w:pPr>
      <w:r>
        <w:rPr>
          <w:noProof/>
        </w:rPr>
        <w:lastRenderedPageBreak/>
        <w:drawing>
          <wp:inline distT="0" distB="0" distL="0" distR="0" wp14:anchorId="0ADDC14C" wp14:editId="3927BB83">
            <wp:extent cx="4159727" cy="354052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212958" cy="3585831"/>
                    </a:xfrm>
                    <a:prstGeom prst="rect">
                      <a:avLst/>
                    </a:prstGeom>
                  </pic:spPr>
                </pic:pic>
              </a:graphicData>
            </a:graphic>
          </wp:inline>
        </w:drawing>
      </w:r>
    </w:p>
    <w:p w14:paraId="286D77B3" w14:textId="13AAE564" w:rsidR="00F10F69" w:rsidRDefault="001B5525" w:rsidP="001B5525">
      <w:pPr>
        <w:pStyle w:val="Caption"/>
        <w:rPr>
          <w:noProof/>
        </w:rPr>
      </w:pPr>
      <w:r>
        <w:t xml:space="preserve">Figure </w:t>
      </w:r>
      <w:r>
        <w:fldChar w:fldCharType="begin"/>
      </w:r>
      <w:r>
        <w:instrText>SEQ Figure \* ARABIC</w:instrText>
      </w:r>
      <w:r>
        <w:fldChar w:fldCharType="separate"/>
      </w:r>
      <w:r w:rsidR="006553F7">
        <w:rPr>
          <w:noProof/>
        </w:rPr>
        <w:t>41</w:t>
      </w:r>
      <w:r>
        <w:fldChar w:fldCharType="end"/>
      </w:r>
      <w:r>
        <w:t>: Pharmacies who provide the substance misuses service in Coventry</w:t>
      </w:r>
      <w:r>
        <w:br/>
        <w:t xml:space="preserve">Source: </w:t>
      </w:r>
      <w:r w:rsidR="005824F2">
        <w:t>Pharmoutcomes</w:t>
      </w:r>
    </w:p>
    <w:p w14:paraId="7E1C4C43" w14:textId="5022EF80" w:rsidR="00F10F69" w:rsidRDefault="004D42F3" w:rsidP="003055E3">
      <w:pPr>
        <w:rPr>
          <w:noProof/>
        </w:rPr>
      </w:pPr>
      <w:r>
        <w:rPr>
          <w:noProof/>
        </w:rPr>
        <w:t xml:space="preserve">Table </w:t>
      </w:r>
      <w:r w:rsidR="001B5525">
        <w:rPr>
          <w:noProof/>
        </w:rPr>
        <w:t>16</w:t>
      </w:r>
      <w:r>
        <w:rPr>
          <w:noProof/>
        </w:rPr>
        <w:t xml:space="preserve"> shows the provision of pharmacies who provide needle exchange, supervised consumption, or both services</w:t>
      </w:r>
      <w:r w:rsidR="00006952">
        <w:rPr>
          <w:noProof/>
        </w:rPr>
        <w:t xml:space="preserve"> in Warwickshire</w:t>
      </w:r>
      <w:r>
        <w:rPr>
          <w:noProof/>
        </w:rPr>
        <w:t xml:space="preserve">. This is then </w:t>
      </w:r>
      <w:r w:rsidR="002A074D">
        <w:rPr>
          <w:noProof/>
        </w:rPr>
        <w:t xml:space="preserve">mapped in figure </w:t>
      </w:r>
      <w:r w:rsidR="00B91887">
        <w:rPr>
          <w:noProof/>
        </w:rPr>
        <w:t>4</w:t>
      </w:r>
      <w:r w:rsidR="00703DFB">
        <w:rPr>
          <w:noProof/>
        </w:rPr>
        <w:t>2</w:t>
      </w:r>
      <w:r w:rsidR="002A074D">
        <w:rPr>
          <w:noProof/>
        </w:rPr>
        <w:t xml:space="preserve">, with the colours in the table corresponding to the coloured circles on the map. </w:t>
      </w:r>
    </w:p>
    <w:tbl>
      <w:tblPr>
        <w:tblStyle w:val="GridTable3-Accent1"/>
        <w:tblW w:w="0" w:type="auto"/>
        <w:tblLook w:val="04A0" w:firstRow="1" w:lastRow="0" w:firstColumn="1" w:lastColumn="0" w:noHBand="0" w:noVBand="1"/>
      </w:tblPr>
      <w:tblGrid>
        <w:gridCol w:w="1863"/>
        <w:gridCol w:w="2007"/>
        <w:gridCol w:w="2176"/>
        <w:gridCol w:w="2278"/>
        <w:gridCol w:w="1864"/>
      </w:tblGrid>
      <w:tr w:rsidR="00DD07D3" w14:paraId="2B465A00" w14:textId="1AA9F9E4" w:rsidTr="00DD07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63" w:type="dxa"/>
          </w:tcPr>
          <w:p w14:paraId="19C64895" w14:textId="77777777" w:rsidR="00DD07D3" w:rsidRDefault="00DD07D3" w:rsidP="003055E3">
            <w:pPr>
              <w:rPr>
                <w:noProof/>
              </w:rPr>
            </w:pPr>
          </w:p>
        </w:tc>
        <w:tc>
          <w:tcPr>
            <w:tcW w:w="2007" w:type="dxa"/>
          </w:tcPr>
          <w:p w14:paraId="66DB446F" w14:textId="67630F9D" w:rsidR="00DD07D3" w:rsidRPr="004D42F3" w:rsidRDefault="00DD07D3" w:rsidP="003055E3">
            <w:pPr>
              <w:cnfStyle w:val="100000000000" w:firstRow="1" w:lastRow="0" w:firstColumn="0" w:lastColumn="0" w:oddVBand="0" w:evenVBand="0" w:oddHBand="0" w:evenHBand="0" w:firstRowFirstColumn="0" w:firstRowLastColumn="0" w:lastRowFirstColumn="0" w:lastRowLastColumn="0"/>
              <w:rPr>
                <w:color w:val="00B050"/>
              </w:rPr>
            </w:pPr>
            <w:r w:rsidRPr="004D42F3">
              <w:rPr>
                <w:color w:val="00B050"/>
              </w:rPr>
              <w:t>Both</w:t>
            </w:r>
          </w:p>
        </w:tc>
        <w:tc>
          <w:tcPr>
            <w:tcW w:w="2176" w:type="dxa"/>
          </w:tcPr>
          <w:p w14:paraId="04DD3B08" w14:textId="6CE384D0" w:rsidR="00DD07D3" w:rsidRPr="00EA799E" w:rsidRDefault="00DD07D3" w:rsidP="003055E3">
            <w:pPr>
              <w:cnfStyle w:val="100000000000" w:firstRow="1" w:lastRow="0" w:firstColumn="0" w:lastColumn="0" w:oddVBand="0" w:evenVBand="0" w:oddHBand="0" w:evenHBand="0" w:firstRowFirstColumn="0" w:firstRowLastColumn="0" w:lastRowFirstColumn="0" w:lastRowLastColumn="0"/>
              <w:rPr>
                <w:color w:val="FF0000"/>
              </w:rPr>
            </w:pPr>
            <w:r w:rsidRPr="00EA799E">
              <w:rPr>
                <w:color w:val="FF0000"/>
              </w:rPr>
              <w:t>Needle Exchange</w:t>
            </w:r>
          </w:p>
        </w:tc>
        <w:tc>
          <w:tcPr>
            <w:tcW w:w="2278" w:type="dxa"/>
          </w:tcPr>
          <w:p w14:paraId="362E5A2E" w14:textId="1CD665DF" w:rsidR="00DD07D3" w:rsidRPr="004D42F3" w:rsidRDefault="00DD07D3" w:rsidP="003055E3">
            <w:pPr>
              <w:cnfStyle w:val="100000000000" w:firstRow="1" w:lastRow="0" w:firstColumn="0" w:lastColumn="0" w:oddVBand="0" w:evenVBand="0" w:oddHBand="0" w:evenHBand="0" w:firstRowFirstColumn="0" w:firstRowLastColumn="0" w:lastRowFirstColumn="0" w:lastRowLastColumn="0"/>
              <w:rPr>
                <w:color w:val="325C91" w:themeColor="accent1" w:themeShade="BF"/>
              </w:rPr>
            </w:pPr>
            <w:r w:rsidRPr="004D42F3">
              <w:rPr>
                <w:color w:val="325C91" w:themeColor="accent1" w:themeShade="BF"/>
              </w:rPr>
              <w:t>Supervised Consumption</w:t>
            </w:r>
          </w:p>
        </w:tc>
        <w:tc>
          <w:tcPr>
            <w:tcW w:w="1864" w:type="dxa"/>
          </w:tcPr>
          <w:p w14:paraId="05E455B5" w14:textId="00D56C2D" w:rsidR="00DD07D3" w:rsidRDefault="00DD07D3" w:rsidP="003055E3">
            <w:pPr>
              <w:cnfStyle w:val="100000000000" w:firstRow="1" w:lastRow="0" w:firstColumn="0" w:lastColumn="0" w:oddVBand="0" w:evenVBand="0" w:oddHBand="0" w:evenHBand="0" w:firstRowFirstColumn="0" w:firstRowLastColumn="0" w:lastRowFirstColumn="0" w:lastRowLastColumn="0"/>
              <w:rPr>
                <w:noProof/>
              </w:rPr>
            </w:pPr>
            <w:r>
              <w:rPr>
                <w:noProof/>
              </w:rPr>
              <w:t>Total</w:t>
            </w:r>
          </w:p>
        </w:tc>
      </w:tr>
      <w:tr w:rsidR="00DD07D3" w14:paraId="54D308B3" w14:textId="0F8BD29E" w:rsidTr="00DD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44F769D2" w14:textId="4CFE8694" w:rsidR="00DD07D3" w:rsidRDefault="00D0476D" w:rsidP="003055E3">
            <w:pPr>
              <w:rPr>
                <w:noProof/>
              </w:rPr>
            </w:pPr>
            <w:r>
              <w:rPr>
                <w:noProof/>
              </w:rPr>
              <w:t>North Warwickshire</w:t>
            </w:r>
          </w:p>
        </w:tc>
        <w:tc>
          <w:tcPr>
            <w:tcW w:w="2007" w:type="dxa"/>
          </w:tcPr>
          <w:p w14:paraId="62A3837D" w14:textId="6D62A61F" w:rsidR="00DD07D3" w:rsidRPr="004D42F3" w:rsidRDefault="00D0476D" w:rsidP="003055E3">
            <w:pPr>
              <w:cnfStyle w:val="000000100000" w:firstRow="0" w:lastRow="0" w:firstColumn="0" w:lastColumn="0" w:oddVBand="0" w:evenVBand="0" w:oddHBand="1" w:evenHBand="0" w:firstRowFirstColumn="0" w:firstRowLastColumn="0" w:lastRowFirstColumn="0" w:lastRowLastColumn="0"/>
              <w:rPr>
                <w:color w:val="00B050"/>
              </w:rPr>
            </w:pPr>
            <w:r w:rsidRPr="004D42F3">
              <w:rPr>
                <w:color w:val="00B050"/>
              </w:rPr>
              <w:t>3</w:t>
            </w:r>
          </w:p>
        </w:tc>
        <w:tc>
          <w:tcPr>
            <w:tcW w:w="2176" w:type="dxa"/>
          </w:tcPr>
          <w:p w14:paraId="35F84953" w14:textId="7C8BD856" w:rsidR="00DD07D3" w:rsidRPr="00EA799E" w:rsidRDefault="00D0476D" w:rsidP="003055E3">
            <w:pPr>
              <w:cnfStyle w:val="000000100000" w:firstRow="0" w:lastRow="0" w:firstColumn="0" w:lastColumn="0" w:oddVBand="0" w:evenVBand="0" w:oddHBand="1" w:evenHBand="0" w:firstRowFirstColumn="0" w:firstRowLastColumn="0" w:lastRowFirstColumn="0" w:lastRowLastColumn="0"/>
              <w:rPr>
                <w:color w:val="FF0000"/>
              </w:rPr>
            </w:pPr>
            <w:r w:rsidRPr="00EA799E">
              <w:rPr>
                <w:color w:val="FF0000"/>
              </w:rPr>
              <w:t>1</w:t>
            </w:r>
          </w:p>
        </w:tc>
        <w:tc>
          <w:tcPr>
            <w:tcW w:w="2278" w:type="dxa"/>
          </w:tcPr>
          <w:p w14:paraId="1121B2BF" w14:textId="1BF75CCC" w:rsidR="00DD07D3" w:rsidRPr="004D42F3" w:rsidRDefault="00D0476D" w:rsidP="003055E3">
            <w:pPr>
              <w:cnfStyle w:val="000000100000" w:firstRow="0" w:lastRow="0" w:firstColumn="0" w:lastColumn="0" w:oddVBand="0" w:evenVBand="0" w:oddHBand="1" w:evenHBand="0" w:firstRowFirstColumn="0" w:firstRowLastColumn="0" w:lastRowFirstColumn="0" w:lastRowLastColumn="0"/>
              <w:rPr>
                <w:color w:val="325C91" w:themeColor="accent1" w:themeShade="BF"/>
              </w:rPr>
            </w:pPr>
            <w:r w:rsidRPr="004D42F3">
              <w:rPr>
                <w:color w:val="325C91" w:themeColor="accent1" w:themeShade="BF"/>
              </w:rPr>
              <w:t>4</w:t>
            </w:r>
          </w:p>
        </w:tc>
        <w:tc>
          <w:tcPr>
            <w:tcW w:w="1864" w:type="dxa"/>
          </w:tcPr>
          <w:p w14:paraId="021B9F31" w14:textId="7BAFB3D4" w:rsidR="00DD07D3" w:rsidRDefault="00D0476D" w:rsidP="003055E3">
            <w:pPr>
              <w:cnfStyle w:val="000000100000" w:firstRow="0" w:lastRow="0" w:firstColumn="0" w:lastColumn="0" w:oddVBand="0" w:evenVBand="0" w:oddHBand="1" w:evenHBand="0" w:firstRowFirstColumn="0" w:firstRowLastColumn="0" w:lastRowFirstColumn="0" w:lastRowLastColumn="0"/>
              <w:rPr>
                <w:noProof/>
              </w:rPr>
            </w:pPr>
            <w:r>
              <w:rPr>
                <w:noProof/>
              </w:rPr>
              <w:t>8</w:t>
            </w:r>
          </w:p>
        </w:tc>
      </w:tr>
      <w:tr w:rsidR="00DD07D3" w14:paraId="00B5A4D3" w14:textId="5255C959" w:rsidTr="00DD07D3">
        <w:tc>
          <w:tcPr>
            <w:cnfStyle w:val="001000000000" w:firstRow="0" w:lastRow="0" w:firstColumn="1" w:lastColumn="0" w:oddVBand="0" w:evenVBand="0" w:oddHBand="0" w:evenHBand="0" w:firstRowFirstColumn="0" w:firstRowLastColumn="0" w:lastRowFirstColumn="0" w:lastRowLastColumn="0"/>
            <w:tcW w:w="1863" w:type="dxa"/>
          </w:tcPr>
          <w:p w14:paraId="3F01A786" w14:textId="5F5CDBB9" w:rsidR="00DD07D3" w:rsidRDefault="00D0476D" w:rsidP="003055E3">
            <w:pPr>
              <w:rPr>
                <w:noProof/>
              </w:rPr>
            </w:pPr>
            <w:r>
              <w:rPr>
                <w:noProof/>
              </w:rPr>
              <w:t>Nuneaton and Bedworth</w:t>
            </w:r>
          </w:p>
        </w:tc>
        <w:tc>
          <w:tcPr>
            <w:tcW w:w="2007" w:type="dxa"/>
          </w:tcPr>
          <w:p w14:paraId="3D849A1E" w14:textId="1E92D549" w:rsidR="00DD07D3" w:rsidRPr="004D42F3" w:rsidRDefault="00D0476D" w:rsidP="003055E3">
            <w:pPr>
              <w:cnfStyle w:val="000000000000" w:firstRow="0" w:lastRow="0" w:firstColumn="0" w:lastColumn="0" w:oddVBand="0" w:evenVBand="0" w:oddHBand="0" w:evenHBand="0" w:firstRowFirstColumn="0" w:firstRowLastColumn="0" w:lastRowFirstColumn="0" w:lastRowLastColumn="0"/>
              <w:rPr>
                <w:color w:val="00B050"/>
              </w:rPr>
            </w:pPr>
            <w:r w:rsidRPr="004D42F3">
              <w:rPr>
                <w:color w:val="00B050"/>
              </w:rPr>
              <w:t>2</w:t>
            </w:r>
          </w:p>
        </w:tc>
        <w:tc>
          <w:tcPr>
            <w:tcW w:w="2176" w:type="dxa"/>
          </w:tcPr>
          <w:p w14:paraId="231953F5" w14:textId="020D225F" w:rsidR="00DD07D3" w:rsidRPr="00EA799E" w:rsidRDefault="00D0476D" w:rsidP="003055E3">
            <w:pPr>
              <w:cnfStyle w:val="000000000000" w:firstRow="0" w:lastRow="0" w:firstColumn="0" w:lastColumn="0" w:oddVBand="0" w:evenVBand="0" w:oddHBand="0" w:evenHBand="0" w:firstRowFirstColumn="0" w:firstRowLastColumn="0" w:lastRowFirstColumn="0" w:lastRowLastColumn="0"/>
              <w:rPr>
                <w:color w:val="FF0000"/>
              </w:rPr>
            </w:pPr>
            <w:r w:rsidRPr="00EA799E">
              <w:rPr>
                <w:color w:val="FF0000"/>
              </w:rPr>
              <w:t>1</w:t>
            </w:r>
          </w:p>
        </w:tc>
        <w:tc>
          <w:tcPr>
            <w:tcW w:w="2278" w:type="dxa"/>
          </w:tcPr>
          <w:p w14:paraId="1DB6966D" w14:textId="4CEC499D" w:rsidR="00DD07D3" w:rsidRPr="004D42F3" w:rsidRDefault="00D0476D" w:rsidP="003055E3">
            <w:pPr>
              <w:cnfStyle w:val="000000000000" w:firstRow="0" w:lastRow="0" w:firstColumn="0" w:lastColumn="0" w:oddVBand="0" w:evenVBand="0" w:oddHBand="0" w:evenHBand="0" w:firstRowFirstColumn="0" w:firstRowLastColumn="0" w:lastRowFirstColumn="0" w:lastRowLastColumn="0"/>
              <w:rPr>
                <w:color w:val="325C91" w:themeColor="accent1" w:themeShade="BF"/>
              </w:rPr>
            </w:pPr>
            <w:r w:rsidRPr="004D42F3">
              <w:rPr>
                <w:color w:val="325C91" w:themeColor="accent1" w:themeShade="BF"/>
              </w:rPr>
              <w:t>8</w:t>
            </w:r>
          </w:p>
        </w:tc>
        <w:tc>
          <w:tcPr>
            <w:tcW w:w="1864" w:type="dxa"/>
          </w:tcPr>
          <w:p w14:paraId="401A2A4F" w14:textId="2B5D7312" w:rsidR="00DD07D3" w:rsidRDefault="00D0476D" w:rsidP="003055E3">
            <w:pPr>
              <w:cnfStyle w:val="000000000000" w:firstRow="0" w:lastRow="0" w:firstColumn="0" w:lastColumn="0" w:oddVBand="0" w:evenVBand="0" w:oddHBand="0" w:evenHBand="0" w:firstRowFirstColumn="0" w:firstRowLastColumn="0" w:lastRowFirstColumn="0" w:lastRowLastColumn="0"/>
              <w:rPr>
                <w:noProof/>
              </w:rPr>
            </w:pPr>
            <w:r>
              <w:rPr>
                <w:noProof/>
              </w:rPr>
              <w:t>11</w:t>
            </w:r>
          </w:p>
        </w:tc>
      </w:tr>
      <w:tr w:rsidR="00D0476D" w14:paraId="25061EF4" w14:textId="77777777" w:rsidTr="00DD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2C7491C9" w14:textId="2DE95EA2" w:rsidR="00D0476D" w:rsidRDefault="00D0476D" w:rsidP="003055E3">
            <w:pPr>
              <w:rPr>
                <w:noProof/>
              </w:rPr>
            </w:pPr>
            <w:r>
              <w:rPr>
                <w:noProof/>
              </w:rPr>
              <w:t>Rugby</w:t>
            </w:r>
          </w:p>
        </w:tc>
        <w:tc>
          <w:tcPr>
            <w:tcW w:w="2007" w:type="dxa"/>
          </w:tcPr>
          <w:p w14:paraId="0F09990D" w14:textId="7FF8CDC8" w:rsidR="00D0476D" w:rsidRPr="004D42F3" w:rsidRDefault="00EA799E" w:rsidP="003055E3">
            <w:pPr>
              <w:cnfStyle w:val="000000100000" w:firstRow="0" w:lastRow="0" w:firstColumn="0" w:lastColumn="0" w:oddVBand="0" w:evenVBand="0" w:oddHBand="1" w:evenHBand="0" w:firstRowFirstColumn="0" w:firstRowLastColumn="0" w:lastRowFirstColumn="0" w:lastRowLastColumn="0"/>
              <w:rPr>
                <w:color w:val="00B050"/>
              </w:rPr>
            </w:pPr>
            <w:r w:rsidRPr="004D42F3">
              <w:rPr>
                <w:noProof/>
                <w:color w:val="00B050"/>
              </w:rPr>
              <w:t>2</w:t>
            </w:r>
          </w:p>
        </w:tc>
        <w:tc>
          <w:tcPr>
            <w:tcW w:w="2176" w:type="dxa"/>
          </w:tcPr>
          <w:p w14:paraId="7E4130B4" w14:textId="77777777" w:rsidR="00D0476D" w:rsidRPr="00EA799E" w:rsidRDefault="00D0476D" w:rsidP="003055E3">
            <w:pPr>
              <w:cnfStyle w:val="000000100000" w:firstRow="0" w:lastRow="0" w:firstColumn="0" w:lastColumn="0" w:oddVBand="0" w:evenVBand="0" w:oddHBand="1" w:evenHBand="0" w:firstRowFirstColumn="0" w:firstRowLastColumn="0" w:lastRowFirstColumn="0" w:lastRowLastColumn="0"/>
              <w:rPr>
                <w:color w:val="FF0000"/>
              </w:rPr>
            </w:pPr>
          </w:p>
        </w:tc>
        <w:tc>
          <w:tcPr>
            <w:tcW w:w="2278" w:type="dxa"/>
          </w:tcPr>
          <w:p w14:paraId="25F6774F" w14:textId="06FB607B" w:rsidR="00D0476D" w:rsidRPr="004D42F3" w:rsidRDefault="00EA799E" w:rsidP="003055E3">
            <w:pPr>
              <w:cnfStyle w:val="000000100000" w:firstRow="0" w:lastRow="0" w:firstColumn="0" w:lastColumn="0" w:oddVBand="0" w:evenVBand="0" w:oddHBand="1" w:evenHBand="0" w:firstRowFirstColumn="0" w:firstRowLastColumn="0" w:lastRowFirstColumn="0" w:lastRowLastColumn="0"/>
              <w:rPr>
                <w:color w:val="325C91" w:themeColor="accent1" w:themeShade="BF"/>
              </w:rPr>
            </w:pPr>
            <w:r w:rsidRPr="004D42F3">
              <w:rPr>
                <w:noProof/>
                <w:color w:val="325C91" w:themeColor="accent1" w:themeShade="BF"/>
              </w:rPr>
              <w:t>6</w:t>
            </w:r>
          </w:p>
        </w:tc>
        <w:tc>
          <w:tcPr>
            <w:tcW w:w="1864" w:type="dxa"/>
          </w:tcPr>
          <w:p w14:paraId="7B4BC65F" w14:textId="74B0F4AB" w:rsidR="00D0476D" w:rsidRDefault="00EA799E" w:rsidP="003055E3">
            <w:pPr>
              <w:cnfStyle w:val="000000100000" w:firstRow="0" w:lastRow="0" w:firstColumn="0" w:lastColumn="0" w:oddVBand="0" w:evenVBand="0" w:oddHBand="1" w:evenHBand="0" w:firstRowFirstColumn="0" w:firstRowLastColumn="0" w:lastRowFirstColumn="0" w:lastRowLastColumn="0"/>
              <w:rPr>
                <w:noProof/>
              </w:rPr>
            </w:pPr>
            <w:r>
              <w:rPr>
                <w:noProof/>
              </w:rPr>
              <w:t>8</w:t>
            </w:r>
          </w:p>
        </w:tc>
      </w:tr>
      <w:tr w:rsidR="00D0476D" w14:paraId="03DF6D8B" w14:textId="77777777" w:rsidTr="00DD07D3">
        <w:tc>
          <w:tcPr>
            <w:cnfStyle w:val="001000000000" w:firstRow="0" w:lastRow="0" w:firstColumn="1" w:lastColumn="0" w:oddVBand="0" w:evenVBand="0" w:oddHBand="0" w:evenHBand="0" w:firstRowFirstColumn="0" w:firstRowLastColumn="0" w:lastRowFirstColumn="0" w:lastRowLastColumn="0"/>
            <w:tcW w:w="1863" w:type="dxa"/>
          </w:tcPr>
          <w:p w14:paraId="52A06BBA" w14:textId="37A791B7" w:rsidR="00D0476D" w:rsidRDefault="00D0476D" w:rsidP="003055E3">
            <w:pPr>
              <w:rPr>
                <w:noProof/>
              </w:rPr>
            </w:pPr>
            <w:r>
              <w:rPr>
                <w:noProof/>
              </w:rPr>
              <w:t>Stratford-on-Avon</w:t>
            </w:r>
          </w:p>
        </w:tc>
        <w:tc>
          <w:tcPr>
            <w:tcW w:w="2007" w:type="dxa"/>
          </w:tcPr>
          <w:p w14:paraId="6F519A48" w14:textId="43A747D8" w:rsidR="00D0476D" w:rsidRPr="004D42F3" w:rsidRDefault="00EA799E" w:rsidP="003055E3">
            <w:pPr>
              <w:cnfStyle w:val="000000000000" w:firstRow="0" w:lastRow="0" w:firstColumn="0" w:lastColumn="0" w:oddVBand="0" w:evenVBand="0" w:oddHBand="0" w:evenHBand="0" w:firstRowFirstColumn="0" w:firstRowLastColumn="0" w:lastRowFirstColumn="0" w:lastRowLastColumn="0"/>
              <w:rPr>
                <w:color w:val="00B050"/>
              </w:rPr>
            </w:pPr>
            <w:r w:rsidRPr="004D42F3">
              <w:rPr>
                <w:noProof/>
                <w:color w:val="00B050"/>
              </w:rPr>
              <w:t>4</w:t>
            </w:r>
          </w:p>
        </w:tc>
        <w:tc>
          <w:tcPr>
            <w:tcW w:w="2176" w:type="dxa"/>
          </w:tcPr>
          <w:p w14:paraId="2898A296" w14:textId="037C0FE6" w:rsidR="00D0476D" w:rsidRPr="00EA799E" w:rsidRDefault="00EA799E" w:rsidP="003055E3">
            <w:pPr>
              <w:cnfStyle w:val="000000000000" w:firstRow="0" w:lastRow="0" w:firstColumn="0" w:lastColumn="0" w:oddVBand="0" w:evenVBand="0" w:oddHBand="0" w:evenHBand="0" w:firstRowFirstColumn="0" w:firstRowLastColumn="0" w:lastRowFirstColumn="0" w:lastRowLastColumn="0"/>
              <w:rPr>
                <w:color w:val="FF0000"/>
              </w:rPr>
            </w:pPr>
            <w:r w:rsidRPr="00EA799E">
              <w:rPr>
                <w:noProof/>
                <w:color w:val="FF0000"/>
              </w:rPr>
              <w:t>1</w:t>
            </w:r>
          </w:p>
        </w:tc>
        <w:tc>
          <w:tcPr>
            <w:tcW w:w="2278" w:type="dxa"/>
          </w:tcPr>
          <w:p w14:paraId="02A213A9" w14:textId="497AA9A5" w:rsidR="00D0476D" w:rsidRPr="004D42F3" w:rsidRDefault="00EA799E" w:rsidP="003055E3">
            <w:pPr>
              <w:cnfStyle w:val="000000000000" w:firstRow="0" w:lastRow="0" w:firstColumn="0" w:lastColumn="0" w:oddVBand="0" w:evenVBand="0" w:oddHBand="0" w:evenHBand="0" w:firstRowFirstColumn="0" w:firstRowLastColumn="0" w:lastRowFirstColumn="0" w:lastRowLastColumn="0"/>
              <w:rPr>
                <w:color w:val="325C91" w:themeColor="accent1" w:themeShade="BF"/>
              </w:rPr>
            </w:pPr>
            <w:r w:rsidRPr="004D42F3">
              <w:rPr>
                <w:noProof/>
                <w:color w:val="325C91" w:themeColor="accent1" w:themeShade="BF"/>
              </w:rPr>
              <w:t>3</w:t>
            </w:r>
          </w:p>
        </w:tc>
        <w:tc>
          <w:tcPr>
            <w:tcW w:w="1864" w:type="dxa"/>
          </w:tcPr>
          <w:p w14:paraId="1ED8F298" w14:textId="01CAF689" w:rsidR="00D0476D" w:rsidRDefault="00EA799E" w:rsidP="003055E3">
            <w:pPr>
              <w:cnfStyle w:val="000000000000" w:firstRow="0" w:lastRow="0" w:firstColumn="0" w:lastColumn="0" w:oddVBand="0" w:evenVBand="0" w:oddHBand="0" w:evenHBand="0" w:firstRowFirstColumn="0" w:firstRowLastColumn="0" w:lastRowFirstColumn="0" w:lastRowLastColumn="0"/>
              <w:rPr>
                <w:noProof/>
              </w:rPr>
            </w:pPr>
            <w:r>
              <w:rPr>
                <w:noProof/>
              </w:rPr>
              <w:t>8</w:t>
            </w:r>
          </w:p>
        </w:tc>
      </w:tr>
      <w:tr w:rsidR="00D0476D" w14:paraId="71586FF2" w14:textId="77777777" w:rsidTr="00DD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0CDCEA3E" w14:textId="542D6AAF" w:rsidR="00D0476D" w:rsidRDefault="00D0476D" w:rsidP="003055E3">
            <w:pPr>
              <w:rPr>
                <w:noProof/>
              </w:rPr>
            </w:pPr>
            <w:r>
              <w:rPr>
                <w:noProof/>
              </w:rPr>
              <w:t>Warwick</w:t>
            </w:r>
          </w:p>
        </w:tc>
        <w:tc>
          <w:tcPr>
            <w:tcW w:w="2007" w:type="dxa"/>
          </w:tcPr>
          <w:p w14:paraId="1213058C" w14:textId="6260A635" w:rsidR="00D0476D" w:rsidRPr="004D42F3" w:rsidRDefault="00EA799E" w:rsidP="003055E3">
            <w:pPr>
              <w:cnfStyle w:val="000000100000" w:firstRow="0" w:lastRow="0" w:firstColumn="0" w:lastColumn="0" w:oddVBand="0" w:evenVBand="0" w:oddHBand="1" w:evenHBand="0" w:firstRowFirstColumn="0" w:firstRowLastColumn="0" w:lastRowFirstColumn="0" w:lastRowLastColumn="0"/>
              <w:rPr>
                <w:color w:val="00B050"/>
              </w:rPr>
            </w:pPr>
            <w:r w:rsidRPr="004D42F3">
              <w:rPr>
                <w:noProof/>
                <w:color w:val="00B050"/>
              </w:rPr>
              <w:t>4</w:t>
            </w:r>
          </w:p>
        </w:tc>
        <w:tc>
          <w:tcPr>
            <w:tcW w:w="2176" w:type="dxa"/>
          </w:tcPr>
          <w:p w14:paraId="7EC88819" w14:textId="77777777" w:rsidR="00D0476D" w:rsidRPr="00EA799E" w:rsidRDefault="00D0476D" w:rsidP="003055E3">
            <w:pPr>
              <w:cnfStyle w:val="000000100000" w:firstRow="0" w:lastRow="0" w:firstColumn="0" w:lastColumn="0" w:oddVBand="0" w:evenVBand="0" w:oddHBand="1" w:evenHBand="0" w:firstRowFirstColumn="0" w:firstRowLastColumn="0" w:lastRowFirstColumn="0" w:lastRowLastColumn="0"/>
              <w:rPr>
                <w:color w:val="FF0000"/>
              </w:rPr>
            </w:pPr>
          </w:p>
        </w:tc>
        <w:tc>
          <w:tcPr>
            <w:tcW w:w="2278" w:type="dxa"/>
          </w:tcPr>
          <w:p w14:paraId="6E1A28C8" w14:textId="30D52130" w:rsidR="00D0476D" w:rsidRPr="004D42F3" w:rsidRDefault="00EA799E" w:rsidP="003055E3">
            <w:pPr>
              <w:cnfStyle w:val="000000100000" w:firstRow="0" w:lastRow="0" w:firstColumn="0" w:lastColumn="0" w:oddVBand="0" w:evenVBand="0" w:oddHBand="1" w:evenHBand="0" w:firstRowFirstColumn="0" w:firstRowLastColumn="0" w:lastRowFirstColumn="0" w:lastRowLastColumn="0"/>
              <w:rPr>
                <w:color w:val="325C91" w:themeColor="accent1" w:themeShade="BF"/>
              </w:rPr>
            </w:pPr>
            <w:r w:rsidRPr="004D42F3">
              <w:rPr>
                <w:noProof/>
                <w:color w:val="325C91" w:themeColor="accent1" w:themeShade="BF"/>
              </w:rPr>
              <w:t>7</w:t>
            </w:r>
          </w:p>
        </w:tc>
        <w:tc>
          <w:tcPr>
            <w:tcW w:w="1864" w:type="dxa"/>
          </w:tcPr>
          <w:p w14:paraId="7C9B6AAD" w14:textId="3ABB1D35" w:rsidR="00D0476D" w:rsidRDefault="00EA799E" w:rsidP="003055E3">
            <w:pPr>
              <w:cnfStyle w:val="000000100000" w:firstRow="0" w:lastRow="0" w:firstColumn="0" w:lastColumn="0" w:oddVBand="0" w:evenVBand="0" w:oddHBand="1" w:evenHBand="0" w:firstRowFirstColumn="0" w:firstRowLastColumn="0" w:lastRowFirstColumn="0" w:lastRowLastColumn="0"/>
              <w:rPr>
                <w:noProof/>
              </w:rPr>
            </w:pPr>
            <w:r>
              <w:rPr>
                <w:noProof/>
              </w:rPr>
              <w:t>11</w:t>
            </w:r>
          </w:p>
        </w:tc>
      </w:tr>
      <w:tr w:rsidR="00EA799E" w14:paraId="535FE8E4" w14:textId="77777777" w:rsidTr="004D42F3">
        <w:tc>
          <w:tcPr>
            <w:cnfStyle w:val="001000000000" w:firstRow="0" w:lastRow="0" w:firstColumn="1" w:lastColumn="0" w:oddVBand="0" w:evenVBand="0" w:oddHBand="0" w:evenHBand="0" w:firstRowFirstColumn="0" w:firstRowLastColumn="0" w:lastRowFirstColumn="0" w:lastRowLastColumn="0"/>
            <w:tcW w:w="1863" w:type="dxa"/>
          </w:tcPr>
          <w:p w14:paraId="4BD787F7" w14:textId="140508CE" w:rsidR="00EA799E" w:rsidRDefault="00EA799E" w:rsidP="003055E3">
            <w:pPr>
              <w:rPr>
                <w:noProof/>
              </w:rPr>
            </w:pPr>
            <w:r>
              <w:rPr>
                <w:noProof/>
              </w:rPr>
              <w:lastRenderedPageBreak/>
              <w:t>Total</w:t>
            </w:r>
          </w:p>
        </w:tc>
        <w:tc>
          <w:tcPr>
            <w:tcW w:w="2007" w:type="dxa"/>
          </w:tcPr>
          <w:p w14:paraId="2687FCE0" w14:textId="58E9FB6E" w:rsidR="00EA799E" w:rsidRPr="004D42F3" w:rsidRDefault="00EA799E" w:rsidP="003055E3">
            <w:pPr>
              <w:cnfStyle w:val="000000000000" w:firstRow="0" w:lastRow="0" w:firstColumn="0" w:lastColumn="0" w:oddVBand="0" w:evenVBand="0" w:oddHBand="0" w:evenHBand="0" w:firstRowFirstColumn="0" w:firstRowLastColumn="0" w:lastRowFirstColumn="0" w:lastRowLastColumn="0"/>
              <w:rPr>
                <w:noProof/>
                <w:color w:val="00B050"/>
              </w:rPr>
            </w:pPr>
            <w:r w:rsidRPr="004D42F3">
              <w:rPr>
                <w:noProof/>
                <w:color w:val="00B050"/>
              </w:rPr>
              <w:t>15</w:t>
            </w:r>
          </w:p>
        </w:tc>
        <w:tc>
          <w:tcPr>
            <w:tcW w:w="2176" w:type="dxa"/>
          </w:tcPr>
          <w:p w14:paraId="49FCF7AA" w14:textId="235F9B35" w:rsidR="00EA799E" w:rsidRPr="00EA799E" w:rsidRDefault="00EA799E" w:rsidP="003055E3">
            <w:pPr>
              <w:cnfStyle w:val="000000000000" w:firstRow="0" w:lastRow="0" w:firstColumn="0" w:lastColumn="0" w:oddVBand="0" w:evenVBand="0" w:oddHBand="0" w:evenHBand="0" w:firstRowFirstColumn="0" w:firstRowLastColumn="0" w:lastRowFirstColumn="0" w:lastRowLastColumn="0"/>
              <w:rPr>
                <w:noProof/>
                <w:color w:val="FF0000"/>
              </w:rPr>
            </w:pPr>
            <w:r w:rsidRPr="00EA799E">
              <w:rPr>
                <w:noProof/>
                <w:color w:val="FF0000"/>
              </w:rPr>
              <w:t>3</w:t>
            </w:r>
          </w:p>
        </w:tc>
        <w:tc>
          <w:tcPr>
            <w:tcW w:w="2278" w:type="dxa"/>
          </w:tcPr>
          <w:p w14:paraId="08B609E1" w14:textId="030FD825" w:rsidR="00EA799E" w:rsidRPr="004D42F3" w:rsidRDefault="00EA799E" w:rsidP="003055E3">
            <w:pPr>
              <w:cnfStyle w:val="000000000000" w:firstRow="0" w:lastRow="0" w:firstColumn="0" w:lastColumn="0" w:oddVBand="0" w:evenVBand="0" w:oddHBand="0" w:evenHBand="0" w:firstRowFirstColumn="0" w:firstRowLastColumn="0" w:lastRowFirstColumn="0" w:lastRowLastColumn="0"/>
              <w:rPr>
                <w:noProof/>
                <w:color w:val="325C91" w:themeColor="accent1" w:themeShade="BF"/>
              </w:rPr>
            </w:pPr>
            <w:r w:rsidRPr="004D42F3">
              <w:rPr>
                <w:noProof/>
                <w:color w:val="325C91" w:themeColor="accent1" w:themeShade="BF"/>
              </w:rPr>
              <w:t>28</w:t>
            </w:r>
          </w:p>
        </w:tc>
        <w:tc>
          <w:tcPr>
            <w:tcW w:w="1864" w:type="dxa"/>
          </w:tcPr>
          <w:p w14:paraId="4AA5BD67" w14:textId="65B9C064" w:rsidR="00EA799E" w:rsidRDefault="00EA799E" w:rsidP="003055E3">
            <w:pPr>
              <w:cnfStyle w:val="000000000000" w:firstRow="0" w:lastRow="0" w:firstColumn="0" w:lastColumn="0" w:oddVBand="0" w:evenVBand="0" w:oddHBand="0" w:evenHBand="0" w:firstRowFirstColumn="0" w:firstRowLastColumn="0" w:lastRowFirstColumn="0" w:lastRowLastColumn="0"/>
              <w:rPr>
                <w:noProof/>
              </w:rPr>
            </w:pPr>
            <w:r>
              <w:rPr>
                <w:noProof/>
              </w:rPr>
              <w:t>46</w:t>
            </w:r>
          </w:p>
        </w:tc>
      </w:tr>
    </w:tbl>
    <w:p w14:paraId="32CAAE62" w14:textId="66401196" w:rsidR="00F10F69" w:rsidRDefault="00F10F69" w:rsidP="001B5525">
      <w:pPr>
        <w:pStyle w:val="Caption"/>
        <w:rPr>
          <w:noProof/>
        </w:rPr>
      </w:pPr>
      <w:r>
        <w:rPr>
          <w:noProof/>
        </w:rPr>
        <w:t xml:space="preserve"> </w:t>
      </w:r>
      <w:r w:rsidR="001B5525">
        <w:t xml:space="preserve">Table </w:t>
      </w:r>
      <w:r>
        <w:fldChar w:fldCharType="begin"/>
      </w:r>
      <w:r>
        <w:instrText>SEQ Table \* ARABIC</w:instrText>
      </w:r>
      <w:r>
        <w:fldChar w:fldCharType="separate"/>
      </w:r>
      <w:r w:rsidR="00AC4C6D">
        <w:rPr>
          <w:noProof/>
        </w:rPr>
        <w:t>16</w:t>
      </w:r>
      <w:r>
        <w:fldChar w:fldCharType="end"/>
      </w:r>
      <w:r w:rsidR="001B5525">
        <w:t>: Pharmacies who provide Needle Exchange, Supervised Consumption, or Both in Warwickshire</w:t>
      </w:r>
      <w:r w:rsidR="001B5525">
        <w:br/>
        <w:t xml:space="preserve">Source: </w:t>
      </w:r>
      <w:r w:rsidR="005824F2">
        <w:t>Pharmoutcomes</w:t>
      </w:r>
    </w:p>
    <w:p w14:paraId="2D0937F4" w14:textId="101545D7" w:rsidR="00763102" w:rsidRDefault="008219D9" w:rsidP="003055E3">
      <w:r>
        <w:rPr>
          <w:noProof/>
        </w:rPr>
        <w:drawing>
          <wp:inline distT="0" distB="0" distL="0" distR="0" wp14:anchorId="1B24F8EA" wp14:editId="2EC20A25">
            <wp:extent cx="4743450" cy="701023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749218" cy="7018756"/>
                    </a:xfrm>
                    <a:prstGeom prst="rect">
                      <a:avLst/>
                    </a:prstGeom>
                  </pic:spPr>
                </pic:pic>
              </a:graphicData>
            </a:graphic>
          </wp:inline>
        </w:drawing>
      </w:r>
    </w:p>
    <w:p w14:paraId="40E762E9" w14:textId="065B9FD9" w:rsidR="001B5525" w:rsidRDefault="001B5525" w:rsidP="001B5525">
      <w:pPr>
        <w:pStyle w:val="Caption"/>
      </w:pPr>
      <w:r>
        <w:t xml:space="preserve">Figure </w:t>
      </w:r>
      <w:r>
        <w:fldChar w:fldCharType="begin"/>
      </w:r>
      <w:r>
        <w:instrText>SEQ Figure \* ARABIC</w:instrText>
      </w:r>
      <w:r>
        <w:fldChar w:fldCharType="separate"/>
      </w:r>
      <w:r w:rsidR="006553F7">
        <w:rPr>
          <w:noProof/>
        </w:rPr>
        <w:t>42</w:t>
      </w:r>
      <w:r>
        <w:fldChar w:fldCharType="end"/>
      </w:r>
      <w:r>
        <w:t>: Pharmacies who provide Needle Exchange, Supervised Consumption, or Both in Warwickshire</w:t>
      </w:r>
      <w:r>
        <w:br/>
        <w:t>Source:</w:t>
      </w:r>
      <w:r w:rsidR="005824F2" w:rsidRPr="005824F2">
        <w:t xml:space="preserve"> </w:t>
      </w:r>
      <w:r w:rsidR="005824F2">
        <w:t>Pharmoutcomes</w:t>
      </w:r>
    </w:p>
    <w:p w14:paraId="7BFF91BC" w14:textId="1F9A05D4" w:rsidR="00155089" w:rsidRDefault="00987224" w:rsidP="003055E3">
      <w:r>
        <w:lastRenderedPageBreak/>
        <w:t xml:space="preserve">It should be noted that non-pharmacy providers throughout Warwickshire provide Substance Misuse services that include supervised consumption and needle exchange. Any planned increases in service provision should therefore take these providers into account. </w:t>
      </w:r>
    </w:p>
    <w:p w14:paraId="29BB7167" w14:textId="77777777" w:rsidR="00A95507" w:rsidRDefault="00A95507" w:rsidP="003055E3"/>
    <w:p w14:paraId="39D76AB0" w14:textId="518AD0A1" w:rsidR="001F4BAE" w:rsidRPr="001F4BAE" w:rsidRDefault="001F4BAE" w:rsidP="003055E3">
      <w:r>
        <w:rPr>
          <w:b/>
          <w:bCs/>
        </w:rPr>
        <w:t>Conclusion for Substance Misuse services</w:t>
      </w:r>
    </w:p>
    <w:p w14:paraId="280FEEB7" w14:textId="61E82610" w:rsidR="00A94058" w:rsidRPr="008B0B23" w:rsidRDefault="004B1EBA" w:rsidP="00787F56">
      <w:r w:rsidRPr="004B1EBA">
        <w:t>To achieve the national ambition outlined in the Drug Strategy 2021, more work will be required to improve the quality of services and expand the number of providers delivering supervised consumption and needle exchange programmes in Warwickshire.</w:t>
      </w:r>
      <w:r w:rsidR="00A661B6">
        <w:t xml:space="preserve"> </w:t>
      </w:r>
      <w:r w:rsidR="00A661B6" w:rsidRPr="00A661B6">
        <w:t>More work is required to map out the current provision to ensure there is fair and equitable provision countywide. Adequate provision will need to be sought in the more deprived areas and those with higher drug and alcohol prevalence. Individuals within these areas are more likely to have a range of health inequalities and poorer health outcomes.</w:t>
      </w:r>
    </w:p>
    <w:p w14:paraId="74B1DD6F" w14:textId="77777777" w:rsidR="004B1EBA" w:rsidRPr="008B0B23" w:rsidRDefault="004B1EBA" w:rsidP="00787F56"/>
    <w:p w14:paraId="3080FB54" w14:textId="1EA77BEA" w:rsidR="007672B4" w:rsidRPr="006C376C" w:rsidRDefault="003410EC" w:rsidP="00787F56">
      <w:pPr>
        <w:rPr>
          <w:color w:val="477CBF"/>
        </w:rPr>
      </w:pPr>
      <w:r w:rsidRPr="3EF86C35">
        <w:rPr>
          <w:color w:val="477CBF" w:themeColor="accent1"/>
        </w:rPr>
        <w:t>Smoking Cessation</w:t>
      </w:r>
    </w:p>
    <w:p w14:paraId="51705822" w14:textId="1EA77BEA" w:rsidR="00722CC8" w:rsidRDefault="007672B4" w:rsidP="00787F56">
      <w:r>
        <w:t>WCC</w:t>
      </w:r>
      <w:r w:rsidR="00B34BE8">
        <w:t xml:space="preserve"> commission community stop smoking service ‘Quit 4 Good’. </w:t>
      </w:r>
      <w:r w:rsidR="009858AB">
        <w:t xml:space="preserve">Smokers can receive support to quit smoking via the GP, pharmacy or </w:t>
      </w:r>
      <w:r w:rsidR="00547F9B">
        <w:t xml:space="preserve">virtual offer from Everyone Health. </w:t>
      </w:r>
      <w:r w:rsidR="00722CC8">
        <w:t>Pharmacies</w:t>
      </w:r>
      <w:r w:rsidR="00484073">
        <w:t xml:space="preserve"> providing this service can be found online - </w:t>
      </w:r>
      <w:hyperlink r:id="rId86">
        <w:r w:rsidR="00722CC8" w:rsidRPr="3EF86C35">
          <w:rPr>
            <w:rStyle w:val="Hyperlink"/>
          </w:rPr>
          <w:t>https://quit4good.warwickshire.gov.uk/</w:t>
        </w:r>
      </w:hyperlink>
    </w:p>
    <w:p w14:paraId="43490528" w14:textId="77777777" w:rsidR="00E234C5" w:rsidRDefault="00E234C5" w:rsidP="00E234C5"/>
    <w:p w14:paraId="223006FC" w14:textId="2788B9B4" w:rsidR="00E234C5" w:rsidRDefault="00E234C5" w:rsidP="00E234C5">
      <w:r>
        <w:t xml:space="preserve">Coventry City Council commission Healthy Lifestyle Service to deliver a range of lifestyle interventions, including smoking cessation. Smokers can receive free one to one support over 12 weeks with a qualified health coach through the Healthy Lifestyle Service, as well as via their GP or local pharmacy. Information for Healthy Lifestyle Service can be found online: </w:t>
      </w:r>
      <w:hyperlink r:id="rId87" w:history="1">
        <w:r w:rsidRPr="006C35DB">
          <w:rPr>
            <w:rStyle w:val="Hyperlink"/>
          </w:rPr>
          <w:t>https://hlscoventry.org/our-services/stop-smoking/</w:t>
        </w:r>
      </w:hyperlink>
      <w:r>
        <w:t xml:space="preserve"> </w:t>
      </w:r>
    </w:p>
    <w:p w14:paraId="36DBDCE4" w14:textId="1EA77BEA" w:rsidR="00265849" w:rsidRDefault="00265849" w:rsidP="00787F56"/>
    <w:p w14:paraId="365C86EF" w14:textId="08376D7F" w:rsidR="000262E6" w:rsidRPr="007151FB" w:rsidRDefault="007151FB" w:rsidP="00787F56">
      <w:r>
        <w:t xml:space="preserve">The Stop Smoking Service is one where pharmacies provide support and advice to people who want to give up smoking. The delivery for the service helps reduce levels of smoking-related illness, disability, premature death, and health inequality. </w:t>
      </w:r>
    </w:p>
    <w:p w14:paraId="45128A1F" w14:textId="365AA653" w:rsidR="00613F16" w:rsidRDefault="00613F16" w:rsidP="00787F56">
      <w:r>
        <w:t>The aims of the service are:</w:t>
      </w:r>
    </w:p>
    <w:p w14:paraId="1EEA1344" w14:textId="668465D9" w:rsidR="00613F16" w:rsidRDefault="00613F16" w:rsidP="008D3B10">
      <w:pPr>
        <w:pStyle w:val="ListParagraph"/>
        <w:numPr>
          <w:ilvl w:val="0"/>
          <w:numId w:val="25"/>
        </w:numPr>
      </w:pPr>
      <w:r>
        <w:t xml:space="preserve">Support the development of stop smoking services outside of GP surgeries. </w:t>
      </w:r>
    </w:p>
    <w:p w14:paraId="5BB613AB" w14:textId="144C40A7" w:rsidR="00613F16" w:rsidRDefault="00613F16" w:rsidP="008D3B10">
      <w:pPr>
        <w:pStyle w:val="ListParagraph"/>
        <w:numPr>
          <w:ilvl w:val="0"/>
          <w:numId w:val="25"/>
        </w:numPr>
      </w:pPr>
      <w:r>
        <w:t>Enable supply of nicotine replacement therapies by appropriately trained non-physician health care professionals.</w:t>
      </w:r>
    </w:p>
    <w:p w14:paraId="10AB9F23" w14:textId="76A22507" w:rsidR="00613F16" w:rsidRDefault="00613F16" w:rsidP="008D3B10">
      <w:pPr>
        <w:pStyle w:val="ListParagraph"/>
        <w:numPr>
          <w:ilvl w:val="0"/>
          <w:numId w:val="25"/>
        </w:numPr>
      </w:pPr>
      <w:r>
        <w:lastRenderedPageBreak/>
        <w:t>Enable non-health care professionals who are offering intensive support to smokers to access nicotine replacement therapy as part of the support package.</w:t>
      </w:r>
    </w:p>
    <w:p w14:paraId="21E960ED" w14:textId="6B738669" w:rsidR="001540B2" w:rsidRDefault="00BF034E" w:rsidP="001540B2">
      <w:r>
        <w:rPr>
          <w:noProof/>
        </w:rPr>
        <w:drawing>
          <wp:anchor distT="0" distB="0" distL="114300" distR="114300" simplePos="0" relativeHeight="251658243" behindDoc="0" locked="0" layoutInCell="1" allowOverlap="1" wp14:anchorId="5DC39BEA" wp14:editId="5D276120">
            <wp:simplePos x="0" y="0"/>
            <wp:positionH relativeFrom="column">
              <wp:posOffset>1244666</wp:posOffset>
            </wp:positionH>
            <wp:positionV relativeFrom="paragraph">
              <wp:posOffset>560070</wp:posOffset>
            </wp:positionV>
            <wp:extent cx="4219575" cy="6515100"/>
            <wp:effectExtent l="0" t="0" r="9525" b="0"/>
            <wp:wrapTopAndBottom/>
            <wp:docPr id="292678416" name="Picture 29267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4219575" cy="6515100"/>
                    </a:xfrm>
                    <a:prstGeom prst="rect">
                      <a:avLst/>
                    </a:prstGeom>
                  </pic:spPr>
                </pic:pic>
              </a:graphicData>
            </a:graphic>
          </wp:anchor>
        </w:drawing>
      </w:r>
      <w:r w:rsidR="007D403A">
        <w:t xml:space="preserve">In Coventry and Warwickshire, a total of </w:t>
      </w:r>
      <w:r w:rsidR="002C7D46">
        <w:t>73 pharmacies provide the smoking cessation service.</w:t>
      </w:r>
    </w:p>
    <w:p w14:paraId="18A2D0CA" w14:textId="250E3A3B" w:rsidR="001B5525" w:rsidRDefault="001B5525" w:rsidP="001B5525">
      <w:pPr>
        <w:pStyle w:val="Caption"/>
        <w:rPr>
          <w:rFonts w:eastAsia="MS Mincho" w:cs="Arial"/>
          <w:b w:val="0"/>
          <w:bCs w:val="0"/>
          <w:szCs w:val="24"/>
        </w:rPr>
      </w:pPr>
      <w:r>
        <w:t xml:space="preserve">Figure </w:t>
      </w:r>
      <w:r>
        <w:fldChar w:fldCharType="begin"/>
      </w:r>
      <w:r>
        <w:instrText>SEQ Figure \* ARABIC</w:instrText>
      </w:r>
      <w:r>
        <w:fldChar w:fldCharType="separate"/>
      </w:r>
      <w:r w:rsidR="006553F7">
        <w:rPr>
          <w:noProof/>
        </w:rPr>
        <w:t>43</w:t>
      </w:r>
      <w:r>
        <w:fldChar w:fldCharType="end"/>
      </w:r>
      <w:r>
        <w:t>: Pharmacies who provide the smoking cessation service in Coventry and Warwickshire</w:t>
      </w:r>
      <w:r>
        <w:br/>
        <w:t xml:space="preserve">Source: </w:t>
      </w:r>
      <w:r w:rsidR="005824F2">
        <w:t>Coventry City Council and Warwickshire County Council</w:t>
      </w:r>
    </w:p>
    <w:p w14:paraId="0F1437B7" w14:textId="77777777" w:rsidR="0073097A" w:rsidRDefault="00DC2FB7" w:rsidP="00787F56">
      <w:pPr>
        <w:rPr>
          <w:rFonts w:eastAsia="MS Mincho" w:cs="Arial"/>
          <w:szCs w:val="24"/>
        </w:rPr>
      </w:pPr>
      <w:r>
        <w:rPr>
          <w:rFonts w:eastAsia="MS Mincho" w:cs="Arial"/>
          <w:szCs w:val="24"/>
        </w:rPr>
        <w:lastRenderedPageBreak/>
        <w:t xml:space="preserve">Whilst 73 pharmacies are registered to provide the service, actual activity is an issue with many of the pharmacies. </w:t>
      </w:r>
    </w:p>
    <w:p w14:paraId="03A7FB0A" w14:textId="4004B157" w:rsidR="00DC2FB7" w:rsidRDefault="00DC2FB7" w:rsidP="00787F56">
      <w:pPr>
        <w:rPr>
          <w:rFonts w:eastAsia="MS Mincho" w:cs="Arial"/>
          <w:szCs w:val="24"/>
        </w:rPr>
      </w:pPr>
      <w:r>
        <w:rPr>
          <w:rFonts w:eastAsia="MS Mincho" w:cs="Arial"/>
          <w:szCs w:val="24"/>
        </w:rPr>
        <w:t xml:space="preserve">In Warwickshire, under the contract for this service pharmacies are required to have 6 patients per year who set a quit date. An audit of services carried out showed that numbers are well below this figure for most pharmacies, and some have no activity at all. </w:t>
      </w:r>
    </w:p>
    <w:p w14:paraId="4E9F8423" w14:textId="2525CB95" w:rsidR="00675ABB" w:rsidRPr="00DC2FB7" w:rsidRDefault="00675ABB" w:rsidP="00787F56">
      <w:pPr>
        <w:rPr>
          <w:rFonts w:eastAsia="MS Mincho" w:cs="Arial"/>
          <w:szCs w:val="24"/>
        </w:rPr>
      </w:pPr>
      <w:r>
        <w:rPr>
          <w:rFonts w:eastAsia="MS Mincho" w:cs="Arial"/>
          <w:szCs w:val="24"/>
        </w:rPr>
        <w:t xml:space="preserve">In Coventry, </w:t>
      </w:r>
      <w:r w:rsidR="005A1C46">
        <w:rPr>
          <w:rFonts w:eastAsia="MS Mincho" w:cs="Arial"/>
          <w:szCs w:val="24"/>
        </w:rPr>
        <w:t xml:space="preserve">there has been a significant drop in the amount of quits that pharmacies </w:t>
      </w:r>
      <w:r w:rsidR="006C36B7">
        <w:rPr>
          <w:rFonts w:eastAsia="MS Mincho" w:cs="Arial"/>
          <w:szCs w:val="24"/>
        </w:rPr>
        <w:t xml:space="preserve">reported from 702 in 2019/20 to </w:t>
      </w:r>
      <w:r w:rsidR="00F926B3">
        <w:rPr>
          <w:rFonts w:eastAsia="MS Mincho" w:cs="Arial"/>
          <w:szCs w:val="24"/>
        </w:rPr>
        <w:t xml:space="preserve">261 in 2021/22. There isn’t a minimum number </w:t>
      </w:r>
      <w:r w:rsidR="007F0CEC">
        <w:rPr>
          <w:rFonts w:eastAsia="MS Mincho" w:cs="Arial"/>
          <w:szCs w:val="24"/>
        </w:rPr>
        <w:t xml:space="preserve">of patients in order for the pharmacy to offer the service. Instead, the focus is insuring a good geographic spread of pharmacies including coverage within the more deprived neighbourhoods. </w:t>
      </w:r>
    </w:p>
    <w:p w14:paraId="3CF3E376" w14:textId="650C0182" w:rsidR="007151FB" w:rsidRDefault="003D1463" w:rsidP="00787F56">
      <w:pPr>
        <w:rPr>
          <w:rFonts w:eastAsia="MS Mincho" w:cs="Arial"/>
          <w:szCs w:val="24"/>
        </w:rPr>
      </w:pPr>
      <w:r>
        <w:rPr>
          <w:rFonts w:eastAsia="MS Mincho" w:cs="Arial"/>
          <w:b/>
          <w:bCs/>
          <w:szCs w:val="24"/>
        </w:rPr>
        <w:t>Conclusion for Stop Smoking Service</w:t>
      </w:r>
    </w:p>
    <w:p w14:paraId="40AF6C96" w14:textId="529F979E" w:rsidR="003D1463" w:rsidRDefault="00DC2FB7" w:rsidP="00787F56">
      <w:pPr>
        <w:rPr>
          <w:rFonts w:eastAsia="MS Mincho" w:cs="Arial"/>
          <w:szCs w:val="24"/>
        </w:rPr>
      </w:pPr>
      <w:r>
        <w:rPr>
          <w:rFonts w:eastAsia="MS Mincho" w:cs="Arial"/>
          <w:szCs w:val="24"/>
        </w:rPr>
        <w:t>Partnership work needs to be done between Commissioners of SSS/SSiP services and pharmacies to identify the actions to increase activity across those pharmacies where behavioural support and prescribing is low, with a particular focus on areas of greatest need</w:t>
      </w:r>
      <w:r w:rsidR="00F734A5">
        <w:rPr>
          <w:rFonts w:eastAsia="MS Mincho" w:cs="Arial"/>
          <w:szCs w:val="24"/>
        </w:rPr>
        <w:t>.</w:t>
      </w:r>
      <w:r w:rsidR="00CD1239">
        <w:rPr>
          <w:rFonts w:eastAsia="MS Mincho" w:cs="Arial"/>
          <w:szCs w:val="24"/>
        </w:rPr>
        <w:t xml:space="preserve"> Consideration should be given </w:t>
      </w:r>
      <w:r w:rsidR="00FB1A1D">
        <w:rPr>
          <w:rFonts w:eastAsia="MS Mincho" w:cs="Arial"/>
          <w:szCs w:val="24"/>
        </w:rPr>
        <w:t xml:space="preserve">to the role of pharmacies within the NHS </w:t>
      </w:r>
      <w:r w:rsidR="00BF48FC">
        <w:rPr>
          <w:rFonts w:eastAsia="MS Mincho" w:cs="Arial"/>
          <w:szCs w:val="24"/>
        </w:rPr>
        <w:t xml:space="preserve">long term plan tobacco dependency </w:t>
      </w:r>
      <w:r w:rsidR="00AA4DA8">
        <w:rPr>
          <w:rFonts w:eastAsia="MS Mincho" w:cs="Arial"/>
          <w:szCs w:val="24"/>
        </w:rPr>
        <w:t xml:space="preserve">commitment </w:t>
      </w:r>
      <w:r w:rsidR="00723D56">
        <w:rPr>
          <w:rFonts w:eastAsia="MS Mincho" w:cs="Arial"/>
          <w:szCs w:val="24"/>
        </w:rPr>
        <w:t xml:space="preserve">to deliver </w:t>
      </w:r>
      <w:r w:rsidR="00624C48">
        <w:rPr>
          <w:rFonts w:eastAsia="MS Mincho" w:cs="Arial"/>
          <w:szCs w:val="24"/>
        </w:rPr>
        <w:t xml:space="preserve">NHS funded </w:t>
      </w:r>
      <w:r w:rsidR="002414DF">
        <w:rPr>
          <w:rFonts w:eastAsia="MS Mincho" w:cs="Arial"/>
          <w:szCs w:val="24"/>
        </w:rPr>
        <w:t xml:space="preserve">tobacco </w:t>
      </w:r>
      <w:r w:rsidR="00C048D1">
        <w:rPr>
          <w:rFonts w:eastAsia="MS Mincho" w:cs="Arial"/>
          <w:szCs w:val="24"/>
        </w:rPr>
        <w:t>dependence</w:t>
      </w:r>
      <w:r w:rsidR="002414DF">
        <w:rPr>
          <w:rFonts w:eastAsia="MS Mincho" w:cs="Arial"/>
          <w:szCs w:val="24"/>
        </w:rPr>
        <w:t xml:space="preserve"> treatment services which includes </w:t>
      </w:r>
      <w:r w:rsidR="00DE6D38">
        <w:rPr>
          <w:rFonts w:eastAsia="MS Mincho" w:cs="Arial"/>
          <w:szCs w:val="24"/>
        </w:rPr>
        <w:t>inpatient, maternity,</w:t>
      </w:r>
      <w:r w:rsidR="002414DF">
        <w:rPr>
          <w:rFonts w:eastAsia="MS Mincho" w:cs="Arial"/>
          <w:szCs w:val="24"/>
        </w:rPr>
        <w:t xml:space="preserve"> outpatients</w:t>
      </w:r>
      <w:r w:rsidR="00DE6D38">
        <w:rPr>
          <w:rFonts w:eastAsia="MS Mincho" w:cs="Arial"/>
          <w:szCs w:val="24"/>
        </w:rPr>
        <w:t>,</w:t>
      </w:r>
      <w:r w:rsidR="002414DF">
        <w:rPr>
          <w:rFonts w:eastAsia="MS Mincho" w:cs="Arial"/>
          <w:szCs w:val="24"/>
        </w:rPr>
        <w:t xml:space="preserve"> and community settings. </w:t>
      </w:r>
      <w:r w:rsidR="00443963">
        <w:rPr>
          <w:rFonts w:eastAsia="MS Mincho" w:cs="Arial"/>
          <w:szCs w:val="24"/>
        </w:rPr>
        <w:t xml:space="preserve"> </w:t>
      </w:r>
    </w:p>
    <w:p w14:paraId="43FD2905" w14:textId="77777777" w:rsidR="003D1463" w:rsidRDefault="003D1463" w:rsidP="00787F56">
      <w:pPr>
        <w:rPr>
          <w:rFonts w:eastAsia="MS Mincho" w:cs="Arial"/>
          <w:szCs w:val="24"/>
        </w:rPr>
      </w:pPr>
    </w:p>
    <w:p w14:paraId="7BAFCB7F" w14:textId="47C1B4B6" w:rsidR="000262E6" w:rsidRPr="006C376C" w:rsidRDefault="000262E6" w:rsidP="00787F56">
      <w:pPr>
        <w:rPr>
          <w:color w:val="477CBF"/>
        </w:rPr>
      </w:pPr>
      <w:r w:rsidRPr="006C376C">
        <w:rPr>
          <w:color w:val="477CBF"/>
        </w:rPr>
        <w:t xml:space="preserve">Stop Smoking </w:t>
      </w:r>
      <w:r w:rsidR="00943CA4">
        <w:rPr>
          <w:color w:val="477CBF"/>
        </w:rPr>
        <w:t xml:space="preserve">in </w:t>
      </w:r>
      <w:r w:rsidRPr="006C376C">
        <w:rPr>
          <w:color w:val="477CBF"/>
        </w:rPr>
        <w:t>Pregnancy</w:t>
      </w:r>
      <w:r w:rsidR="00943CA4">
        <w:rPr>
          <w:color w:val="477CBF"/>
        </w:rPr>
        <w:t xml:space="preserve"> Service</w:t>
      </w:r>
      <w:r w:rsidRPr="006C376C">
        <w:rPr>
          <w:color w:val="477CBF"/>
        </w:rPr>
        <w:t xml:space="preserve"> </w:t>
      </w:r>
      <w:r w:rsidR="00BB4D51">
        <w:rPr>
          <w:color w:val="477CBF"/>
        </w:rPr>
        <w:t>(SSiPS)</w:t>
      </w:r>
      <w:r w:rsidRPr="006C376C">
        <w:rPr>
          <w:color w:val="477CBF"/>
        </w:rPr>
        <w:t xml:space="preserve"> </w:t>
      </w:r>
    </w:p>
    <w:p w14:paraId="74FAE9E2" w14:textId="003DDECF" w:rsidR="00A03F78" w:rsidRDefault="00230314" w:rsidP="00230314">
      <w:pPr>
        <w:rPr>
          <w:color w:val="FF0000"/>
        </w:rPr>
      </w:pPr>
      <w:r w:rsidRPr="00230314">
        <w:t>Currently</w:t>
      </w:r>
      <w:r>
        <w:t>,</w:t>
      </w:r>
      <w:r w:rsidRPr="00230314">
        <w:t xml:space="preserve"> all pregnant women from the booking </w:t>
      </w:r>
      <w:r w:rsidR="00CA2B13">
        <w:t>appointment</w:t>
      </w:r>
      <w:r w:rsidRPr="00230314">
        <w:t xml:space="preserve"> from all 3 trusts </w:t>
      </w:r>
      <w:r>
        <w:t xml:space="preserve">across Coventry and Warwickshire are </w:t>
      </w:r>
      <w:r w:rsidRPr="00230314">
        <w:t>referred to the S</w:t>
      </w:r>
      <w:r>
        <w:t xml:space="preserve">top </w:t>
      </w:r>
      <w:r w:rsidRPr="00230314">
        <w:t>S</w:t>
      </w:r>
      <w:r>
        <w:t xml:space="preserve">moking </w:t>
      </w:r>
      <w:r w:rsidR="00844334">
        <w:t>i</w:t>
      </w:r>
      <w:r>
        <w:t xml:space="preserve">n </w:t>
      </w:r>
      <w:r w:rsidRPr="00230314">
        <w:t>P</w:t>
      </w:r>
      <w:r>
        <w:t xml:space="preserve">regnancy </w:t>
      </w:r>
      <w:r w:rsidRPr="00230314">
        <w:t>S</w:t>
      </w:r>
      <w:r>
        <w:t xml:space="preserve">ervice. </w:t>
      </w:r>
    </w:p>
    <w:p w14:paraId="22802BBD" w14:textId="75077161" w:rsidR="00974123" w:rsidRDefault="00DF6C8C" w:rsidP="00230314">
      <w:pPr>
        <w:rPr>
          <w:rStyle w:val="Hyperlink"/>
        </w:rPr>
      </w:pPr>
      <w:r w:rsidRPr="00F11A03">
        <w:t xml:space="preserve">In Warwickshire this service is commissioned by WCC and provided by SWFT. </w:t>
      </w:r>
      <w:r w:rsidR="008F7C60" w:rsidRPr="00F11A03">
        <w:t xml:space="preserve">In Warwickshire, a specialist team of experienced stop smoking in pregnancy advisors provide a friendly, confidential service to help pregnant smokers and their families stop smoking. </w:t>
      </w:r>
      <w:r w:rsidR="004D5824" w:rsidRPr="00F11A03">
        <w:t>If nicotine replacement therapy is required the</w:t>
      </w:r>
      <w:r w:rsidR="00D52227" w:rsidRPr="00F11A03">
        <w:t xml:space="preserve"> advisor completes a letter of recommendation </w:t>
      </w:r>
      <w:r w:rsidR="00545C34" w:rsidRPr="00F11A03">
        <w:t xml:space="preserve">which needs </w:t>
      </w:r>
      <w:r w:rsidR="006251AA">
        <w:t>to be redeemed</w:t>
      </w:r>
      <w:r w:rsidR="002710F9">
        <w:t xml:space="preserve"> and dispensed</w:t>
      </w:r>
      <w:r w:rsidR="006251AA">
        <w:t xml:space="preserve"> from pharmacies.</w:t>
      </w:r>
      <w:r w:rsidR="002710F9">
        <w:t xml:space="preserve"> It is the same pharmacies involved in the smoking cessation service who are able to dispense </w:t>
      </w:r>
      <w:r w:rsidR="00A7463E">
        <w:t>NRT products.</w:t>
      </w:r>
      <w:r w:rsidR="006C688D">
        <w:t xml:space="preserve"> </w:t>
      </w:r>
      <w:r w:rsidR="00643F25">
        <w:t xml:space="preserve">It should be noted that not all pharmacies </w:t>
      </w:r>
      <w:r w:rsidR="00A7463E">
        <w:t>take</w:t>
      </w:r>
      <w:r w:rsidR="00643F25">
        <w:t xml:space="preserve"> part </w:t>
      </w:r>
      <w:r w:rsidR="00A7463E">
        <w:t>in</w:t>
      </w:r>
      <w:r w:rsidR="00643F25">
        <w:t xml:space="preserve"> this service; a patient may visit a pharmacy to redeem their voucher to be told the pharmacy does not participate in the scheme.</w:t>
      </w:r>
      <w:r w:rsidR="00483801">
        <w:t xml:space="preserve"> To access the service in Warwickshire </w:t>
      </w:r>
      <w:hyperlink r:id="rId89" w:history="1">
        <w:r w:rsidR="0065290A" w:rsidRPr="00F1268F">
          <w:rPr>
            <w:rStyle w:val="Hyperlink"/>
          </w:rPr>
          <w:t>https://quit4good.warwickshire.gov.uk/quit4baby</w:t>
        </w:r>
      </w:hyperlink>
    </w:p>
    <w:p w14:paraId="502B7D1D" w14:textId="5C9D697B" w:rsidR="00E234C5" w:rsidRPr="00E234C5" w:rsidRDefault="008845FC" w:rsidP="00230314">
      <w:r>
        <w:t xml:space="preserve">Similar to Warwickshire, </w:t>
      </w:r>
      <w:r w:rsidR="00D36936">
        <w:t>in Coventry</w:t>
      </w:r>
      <w:r>
        <w:t xml:space="preserve"> the SSiPS is commissioned as part of the Family Health and Lifestyles Service and sits separately to the Healthy Lifestyle Service. It has been highlighted that more promotion can be done to enable more pharmacies to dispense NRT products to pregnant women.</w:t>
      </w:r>
    </w:p>
    <w:p w14:paraId="57C90068" w14:textId="77777777" w:rsidR="0065290A" w:rsidRDefault="0065290A" w:rsidP="00230314"/>
    <w:p w14:paraId="19EC7CF4" w14:textId="5B4CE1F2" w:rsidR="00A7463E" w:rsidRDefault="00A7463E" w:rsidP="00230314">
      <w:r>
        <w:rPr>
          <w:b/>
          <w:bCs/>
        </w:rPr>
        <w:t xml:space="preserve">Conclusion for Stop Smoking </w:t>
      </w:r>
      <w:r w:rsidR="00E12122">
        <w:rPr>
          <w:b/>
          <w:bCs/>
        </w:rPr>
        <w:t xml:space="preserve">in </w:t>
      </w:r>
      <w:r>
        <w:rPr>
          <w:b/>
          <w:bCs/>
        </w:rPr>
        <w:t>Pregnancy</w:t>
      </w:r>
      <w:r w:rsidR="00E12122">
        <w:rPr>
          <w:b/>
          <w:bCs/>
        </w:rPr>
        <w:t xml:space="preserve"> (S</w:t>
      </w:r>
      <w:r w:rsidR="00BB4D51">
        <w:rPr>
          <w:b/>
          <w:bCs/>
        </w:rPr>
        <w:t>S</w:t>
      </w:r>
      <w:r w:rsidR="00E12122">
        <w:rPr>
          <w:b/>
          <w:bCs/>
        </w:rPr>
        <w:t>iPS)</w:t>
      </w:r>
    </w:p>
    <w:p w14:paraId="5BBC29B9" w14:textId="07D44A45" w:rsidR="00A03F78" w:rsidRPr="00447ADB" w:rsidRDefault="007E6B4B" w:rsidP="00230314">
      <w:r>
        <w:t xml:space="preserve">Within </w:t>
      </w:r>
      <w:r w:rsidR="00E43AE8">
        <w:t>Coventry and</w:t>
      </w:r>
      <w:r>
        <w:t xml:space="preserve"> Warwickshire work can </w:t>
      </w:r>
      <w:r w:rsidR="009D0B72">
        <w:t>be done to</w:t>
      </w:r>
      <w:r w:rsidR="009737A0">
        <w:t xml:space="preserve"> strengthen the pathways around the service, especially to</w:t>
      </w:r>
      <w:r w:rsidR="009D0B72">
        <w:t xml:space="preserve"> encourage pharmacists to </w:t>
      </w:r>
      <w:r w:rsidR="00A90671">
        <w:t>redeem and dispense the</w:t>
      </w:r>
      <w:r w:rsidR="009737A0">
        <w:t xml:space="preserve"> </w:t>
      </w:r>
      <w:r w:rsidR="00A90671">
        <w:t xml:space="preserve">letters of recommendation. </w:t>
      </w:r>
      <w:r w:rsidR="00FF0D44">
        <w:t>T</w:t>
      </w:r>
      <w:r w:rsidR="00E12122">
        <w:t>he S</w:t>
      </w:r>
      <w:r w:rsidR="00BB4D51">
        <w:t>S</w:t>
      </w:r>
      <w:r w:rsidR="00E12122">
        <w:t>iPS</w:t>
      </w:r>
      <w:r w:rsidR="00635680">
        <w:t xml:space="preserve"> is commissioned </w:t>
      </w:r>
      <w:r w:rsidR="00D80540">
        <w:t xml:space="preserve">separately to the </w:t>
      </w:r>
      <w:r w:rsidR="00BD1102">
        <w:t xml:space="preserve">generic </w:t>
      </w:r>
      <w:r w:rsidR="00D80540">
        <w:t>Stop Smoking service</w:t>
      </w:r>
      <w:r w:rsidR="00E12122">
        <w:t xml:space="preserve">, more </w:t>
      </w:r>
      <w:r w:rsidR="00E624E7">
        <w:t>promotion</w:t>
      </w:r>
      <w:r w:rsidR="00BD1102">
        <w:t xml:space="preserve"> can be done </w:t>
      </w:r>
      <w:r w:rsidR="00E624E7">
        <w:t>between these 2 services</w:t>
      </w:r>
      <w:r w:rsidR="0031670C">
        <w:t xml:space="preserve"> to i</w:t>
      </w:r>
      <w:r w:rsidR="00800515">
        <w:t>ncrease the number of pharmacies able to di</w:t>
      </w:r>
      <w:r w:rsidR="00D76A99">
        <w:t>spense NRT products</w:t>
      </w:r>
      <w:r w:rsidR="00231447">
        <w:t xml:space="preserve"> to pregnant women</w:t>
      </w:r>
      <w:r w:rsidR="00E624E7">
        <w:t xml:space="preserve">. </w:t>
      </w:r>
    </w:p>
    <w:p w14:paraId="60EAE344" w14:textId="77777777" w:rsidR="003410EC" w:rsidRPr="00230314" w:rsidRDefault="003410EC" w:rsidP="00787F56">
      <w:pPr>
        <w:rPr>
          <w:rFonts w:ascii="Calibri" w:hAnsi="Calibri"/>
          <w:sz w:val="22"/>
        </w:rPr>
      </w:pPr>
    </w:p>
    <w:p w14:paraId="38391266" w14:textId="78C15D57" w:rsidR="003410EC" w:rsidRPr="006C376C" w:rsidRDefault="003410EC" w:rsidP="00787F56">
      <w:pPr>
        <w:rPr>
          <w:color w:val="477CBF"/>
        </w:rPr>
      </w:pPr>
      <w:r w:rsidRPr="006C376C">
        <w:rPr>
          <w:color w:val="477CBF"/>
        </w:rPr>
        <w:t xml:space="preserve">Sexual Health </w:t>
      </w:r>
      <w:r w:rsidR="00600154" w:rsidRPr="006C376C">
        <w:rPr>
          <w:color w:val="477CBF"/>
        </w:rPr>
        <w:t>Services</w:t>
      </w:r>
    </w:p>
    <w:p w14:paraId="4364188A" w14:textId="3F155380" w:rsidR="00600154" w:rsidRDefault="00297F13" w:rsidP="00787F56">
      <w:r>
        <w:t xml:space="preserve">Community Pharmacy sexual health services in Coventry and Warwickshire are designed to improve access to key treatments including emergency hormonal contraception (“the morning after pill”). Providers of sexual health services </w:t>
      </w:r>
      <w:r w:rsidR="007B476A">
        <w:t>also encourage</w:t>
      </w:r>
      <w:r w:rsidR="00E34116">
        <w:t xml:space="preserve"> c</w:t>
      </w:r>
      <w:r w:rsidR="00811816">
        <w:t>lients to access mainstream contraceptive services and provide education on available contraception and the prevalence of sexually transmitted diseases.</w:t>
      </w:r>
    </w:p>
    <w:p w14:paraId="66881597" w14:textId="51E5A42D" w:rsidR="00811816" w:rsidRDefault="00811816" w:rsidP="00787F56">
      <w:r>
        <w:t xml:space="preserve">At present, pharmacies in Warwickshire are not testing or treating for STIs. Pharmacies are signposting to the Integrated Sexual Health Service (ISHS) website where users </w:t>
      </w:r>
      <w:r w:rsidR="00C04FD1">
        <w:t>can</w:t>
      </w:r>
      <w:r>
        <w:t xml:space="preserve"> order a testing kit for Chlamydia online.</w:t>
      </w:r>
    </w:p>
    <w:p w14:paraId="44AE2CFB" w14:textId="6E482A76" w:rsidR="00A50C17" w:rsidRDefault="00A50C17" w:rsidP="00787F56">
      <w:r>
        <w:t>Coventry pharmacies</w:t>
      </w:r>
      <w:r w:rsidR="003D4D3E">
        <w:t xml:space="preserve"> </w:t>
      </w:r>
      <w:r w:rsidR="00A374A8">
        <w:t xml:space="preserve">do </w:t>
      </w:r>
      <w:r w:rsidR="00566FF4">
        <w:t>offer</w:t>
      </w:r>
      <w:r w:rsidR="00DD7AF5">
        <w:t xml:space="preserve"> chlamydia testing as well as</w:t>
      </w:r>
      <w:r w:rsidR="003D4D3E">
        <w:t xml:space="preserve"> C-Card </w:t>
      </w:r>
      <w:r>
        <w:t>(condom</w:t>
      </w:r>
      <w:r w:rsidR="003D4D3E">
        <w:t xml:space="preserve"> distribution</w:t>
      </w:r>
      <w:r>
        <w:t>)</w:t>
      </w:r>
      <w:r w:rsidR="00566FF4">
        <w:t>.</w:t>
      </w:r>
    </w:p>
    <w:p w14:paraId="2D024E83" w14:textId="4030AD52" w:rsidR="0000064C" w:rsidRDefault="0000064C" w:rsidP="00787F56">
      <w:r>
        <w:rPr>
          <w:b/>
          <w:bCs/>
        </w:rPr>
        <w:t>Supply of emergency hormonal contraception (EHC)</w:t>
      </w:r>
    </w:p>
    <w:p w14:paraId="537BE22B" w14:textId="50E143B6" w:rsidR="003410EC" w:rsidRDefault="00554104" w:rsidP="00787F56">
      <w:r>
        <w:t>The service allows a client of any age to choose to attend an accredited Warwickshire pharmacy (operating within the parameters of a service level agreement and a current EHC PGD) to obtain EHC. Client privacy</w:t>
      </w:r>
      <w:r w:rsidR="00A74EDE">
        <w:t xml:space="preserve"> is of utmost importance, and the selection of each pharmacy will have been based on the assurance that they use approved private counselling area that complies with the requirements for provision of Advance services under the National Pharmacy Contractual Framework. </w:t>
      </w:r>
    </w:p>
    <w:p w14:paraId="048099B0" w14:textId="53182F7E" w:rsidR="002C7D46" w:rsidRDefault="00DE342D" w:rsidP="00787F56">
      <w:r>
        <w:rPr>
          <w:noProof/>
        </w:rPr>
        <w:lastRenderedPageBreak/>
        <w:drawing>
          <wp:anchor distT="0" distB="0" distL="114300" distR="114300" simplePos="0" relativeHeight="251658244" behindDoc="0" locked="0" layoutInCell="1" allowOverlap="1" wp14:anchorId="6D939C68" wp14:editId="2379C06A">
            <wp:simplePos x="0" y="0"/>
            <wp:positionH relativeFrom="column">
              <wp:posOffset>1073447</wp:posOffset>
            </wp:positionH>
            <wp:positionV relativeFrom="paragraph">
              <wp:posOffset>377693</wp:posOffset>
            </wp:positionV>
            <wp:extent cx="4457700" cy="6644986"/>
            <wp:effectExtent l="0" t="0" r="0" b="3810"/>
            <wp:wrapTopAndBottom/>
            <wp:docPr id="292678419" name="Picture 29267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t="622" b="-1"/>
                    <a:stretch/>
                  </pic:blipFill>
                  <pic:spPr bwMode="auto">
                    <a:xfrm>
                      <a:off x="0" y="0"/>
                      <a:ext cx="4457700" cy="6644986"/>
                    </a:xfrm>
                    <a:prstGeom prst="rect">
                      <a:avLst/>
                    </a:prstGeom>
                    <a:ln>
                      <a:noFill/>
                    </a:ln>
                    <a:extLst>
                      <a:ext uri="{53640926-AAD7-44D8-BBD7-CCE9431645EC}">
                        <a14:shadowObscured xmlns:a14="http://schemas.microsoft.com/office/drawing/2010/main"/>
                      </a:ext>
                    </a:extLst>
                  </pic:spPr>
                </pic:pic>
              </a:graphicData>
            </a:graphic>
          </wp:anchor>
        </w:drawing>
      </w:r>
      <w:r w:rsidR="002C7D46">
        <w:t xml:space="preserve">In Coventry and Warwickshire, a total of </w:t>
      </w:r>
      <w:r w:rsidR="00A331A7">
        <w:t>82 pharmacies provide sexual health services.</w:t>
      </w:r>
    </w:p>
    <w:p w14:paraId="3CD69EEB" w14:textId="57FDFBE0" w:rsidR="002C7D46" w:rsidRDefault="001B5525" w:rsidP="001B5525">
      <w:pPr>
        <w:pStyle w:val="Caption"/>
      </w:pPr>
      <w:r>
        <w:t xml:space="preserve">Figure </w:t>
      </w:r>
      <w:r>
        <w:fldChar w:fldCharType="begin"/>
      </w:r>
      <w:r>
        <w:instrText>SEQ Figure \* ARABIC</w:instrText>
      </w:r>
      <w:r>
        <w:fldChar w:fldCharType="separate"/>
      </w:r>
      <w:r w:rsidR="006553F7">
        <w:rPr>
          <w:noProof/>
        </w:rPr>
        <w:t>44</w:t>
      </w:r>
      <w:r>
        <w:fldChar w:fldCharType="end"/>
      </w:r>
      <w:r>
        <w:t>: Pharmacies who provide the sexual health service in Coventry and Warwickshire</w:t>
      </w:r>
      <w:r>
        <w:br/>
        <w:t xml:space="preserve">Source: </w:t>
      </w:r>
      <w:r w:rsidR="005824F2">
        <w:t>Coventry City Council and Warwickshire County Council</w:t>
      </w:r>
    </w:p>
    <w:p w14:paraId="61046BD4" w14:textId="2E6B85F2" w:rsidR="00902E6F" w:rsidRDefault="00902E6F" w:rsidP="00787F56">
      <w:r>
        <w:t xml:space="preserve">During periods of 2020, some pharmacies stopped undertaking the EHC consultation and dispensing functions due to capacity of pharmacists, but also as the requirements include the need for private consultations in rooms away from the main shop area. A number of those were not available due to the lack of ventilation, or the spaces being too small to fall in line </w:t>
      </w:r>
      <w:r>
        <w:lastRenderedPageBreak/>
        <w:t xml:space="preserve">with the 2m regulations. From 2021 onwards, the majority of the pharmacies signed up to undertake this work have reverted back to pre-pandemic activity levels. </w:t>
      </w:r>
    </w:p>
    <w:p w14:paraId="0EF9FE54" w14:textId="77777777" w:rsidR="00DA0C7C" w:rsidRDefault="00DA0C7C" w:rsidP="00DA0C7C">
      <w:pPr>
        <w:rPr>
          <w:rFonts w:eastAsia="Times New Roman" w:cs="Arial"/>
          <w:color w:val="000000"/>
          <w:sz w:val="22"/>
        </w:rPr>
      </w:pPr>
      <w:r>
        <w:rPr>
          <w:rFonts w:eastAsia="Times New Roman" w:cs="Arial"/>
          <w:color w:val="000000"/>
        </w:rPr>
        <w:t>Both Coventry and Warwickshire Integrated Sexual Health services are being renewed from 1</w:t>
      </w:r>
      <w:r>
        <w:rPr>
          <w:rFonts w:eastAsia="Times New Roman" w:cs="Arial"/>
          <w:color w:val="000000"/>
          <w:vertAlign w:val="superscript"/>
        </w:rPr>
        <w:t>st</w:t>
      </w:r>
      <w:r>
        <w:rPr>
          <w:rFonts w:eastAsia="Times New Roman" w:cs="Arial"/>
          <w:color w:val="000000"/>
        </w:rPr>
        <w:t> April 2024; it is hoped (going through final governance process ) that there will be one contract awarded to cover the whole area, this will help to ensure the offer is the same across the two areas and reduce the current confusion on what is available and to whom.</w:t>
      </w:r>
    </w:p>
    <w:p w14:paraId="05D20FE3" w14:textId="25CCF0DA" w:rsidR="00B45236" w:rsidRPr="00AB262B" w:rsidRDefault="00532F98" w:rsidP="00787F56">
      <w:r>
        <w:t xml:space="preserve">It is fair to say that pharmacies </w:t>
      </w:r>
      <w:r w:rsidR="00D732B0">
        <w:t xml:space="preserve">should be playing </w:t>
      </w:r>
      <w:r w:rsidR="00172979">
        <w:t xml:space="preserve">an important part of the recommissioned service. </w:t>
      </w:r>
      <w:r w:rsidR="00B45236">
        <w:t xml:space="preserve">Some of the key principles which the recommissioning will embed include reducing health inequalities and focussing on ongoing service improvement. </w:t>
      </w:r>
    </w:p>
    <w:p w14:paraId="042B417C" w14:textId="77777777" w:rsidR="006B7A9B" w:rsidRDefault="006B7A9B" w:rsidP="00787F56">
      <w:pPr>
        <w:rPr>
          <w:b/>
          <w:bCs/>
        </w:rPr>
      </w:pPr>
    </w:p>
    <w:p w14:paraId="3CF63266" w14:textId="65EE5B23" w:rsidR="00AB4847" w:rsidRDefault="00993C67" w:rsidP="00787F56">
      <w:pPr>
        <w:rPr>
          <w:b/>
          <w:bCs/>
        </w:rPr>
      </w:pPr>
      <w:r>
        <w:rPr>
          <w:b/>
          <w:bCs/>
        </w:rPr>
        <w:t>Conclusion for Sexual Health Services</w:t>
      </w:r>
    </w:p>
    <w:p w14:paraId="7FD38F86" w14:textId="5F79DFF9" w:rsidR="006C376C" w:rsidRPr="006C376C" w:rsidRDefault="006B7A9B" w:rsidP="00787F56">
      <w:r>
        <w:rPr>
          <w:rFonts w:eastAsia="Times New Roman" w:cs="Arial"/>
          <w:color w:val="000000"/>
        </w:rPr>
        <w:t>L</w:t>
      </w:r>
      <w:r w:rsidR="00AB262B">
        <w:rPr>
          <w:rFonts w:eastAsia="Times New Roman" w:cs="Arial"/>
          <w:color w:val="000000"/>
        </w:rPr>
        <w:t xml:space="preserve">ocal data shows </w:t>
      </w:r>
      <w:r w:rsidR="00B05D28">
        <w:rPr>
          <w:rFonts w:eastAsia="Times New Roman" w:cs="Arial"/>
          <w:color w:val="000000"/>
        </w:rPr>
        <w:t xml:space="preserve">that </w:t>
      </w:r>
      <w:r w:rsidR="00AB262B">
        <w:rPr>
          <w:rFonts w:eastAsia="Times New Roman" w:cs="Arial"/>
          <w:color w:val="000000"/>
        </w:rPr>
        <w:t xml:space="preserve">some Coventry residents </w:t>
      </w:r>
      <w:r w:rsidR="00B05D28">
        <w:rPr>
          <w:rFonts w:eastAsia="Times New Roman" w:cs="Arial"/>
          <w:color w:val="000000"/>
        </w:rPr>
        <w:t xml:space="preserve">are </w:t>
      </w:r>
      <w:r w:rsidR="00AB262B">
        <w:rPr>
          <w:rFonts w:eastAsia="Times New Roman" w:cs="Arial"/>
          <w:color w:val="000000"/>
        </w:rPr>
        <w:t>accessing EHC in Warwickshire, this could be as Warwickshire doesn't have an upper age limit whereas Coventry does.  Bringing the Integrated Sexual Health contracts together to one contract will enable the current pharmacy offers to be aligned, this will help to reduce service user confusion as to what is offered where and to whom.</w:t>
      </w:r>
    </w:p>
    <w:p w14:paraId="5D0A2FA5" w14:textId="77777777" w:rsidR="008E265A" w:rsidRDefault="008E265A" w:rsidP="00787F56">
      <w:pPr>
        <w:rPr>
          <w:color w:val="477CBF"/>
        </w:rPr>
      </w:pPr>
    </w:p>
    <w:p w14:paraId="6E8596AF" w14:textId="74FE5B87" w:rsidR="003410EC" w:rsidRPr="006C376C" w:rsidRDefault="003410EC" w:rsidP="00787F56">
      <w:pPr>
        <w:rPr>
          <w:color w:val="477CBF"/>
        </w:rPr>
      </w:pPr>
      <w:r w:rsidRPr="006C376C">
        <w:rPr>
          <w:color w:val="477CBF"/>
        </w:rPr>
        <w:t>End of Life (EoL) Medicines</w:t>
      </w:r>
    </w:p>
    <w:p w14:paraId="19EEB126" w14:textId="20E871CE" w:rsidR="003410EC" w:rsidRDefault="009F13FE" w:rsidP="00787F56">
      <w:r>
        <w:t>Community pharmacies provide advice and stock an agreed list of medicines commonly used in palliative care for patients nearing the end of their life.</w:t>
      </w:r>
      <w:r w:rsidR="004C6898">
        <w:t xml:space="preserve"> Pharmacies are a convenient access point for these medicines throughout Coventry and Warwickshire. </w:t>
      </w:r>
      <w:r w:rsidR="00524925">
        <w:t xml:space="preserve">There are </w:t>
      </w:r>
      <w:r w:rsidR="0013452A">
        <w:t xml:space="preserve">4 community pharmacies in Coventry and </w:t>
      </w:r>
      <w:r w:rsidR="000C3166">
        <w:t>7</w:t>
      </w:r>
      <w:r w:rsidR="00524925">
        <w:t xml:space="preserve"> community pharmacies </w:t>
      </w:r>
      <w:r w:rsidR="0013452A">
        <w:t>in Warwickshire</w:t>
      </w:r>
      <w:r w:rsidR="00524925">
        <w:t xml:space="preserve"> who are currently commissioned to provide this service, and therefore </w:t>
      </w:r>
      <w:r w:rsidR="004E5FC7">
        <w:t>guarantee to hold the stock of medicines. All pharmacies</w:t>
      </w:r>
      <w:r w:rsidR="00BE7F19">
        <w:t xml:space="preserve"> </w:t>
      </w:r>
      <w:r w:rsidR="00AA4548">
        <w:t>can</w:t>
      </w:r>
      <w:r w:rsidR="00BE7F19">
        <w:t xml:space="preserve"> order these medicines, although they are not guaranteed to ha</w:t>
      </w:r>
      <w:r w:rsidR="000C76F4">
        <w:t>ve</w:t>
      </w:r>
      <w:r w:rsidR="00BE7F19">
        <w:t xml:space="preserve"> stoc</w:t>
      </w:r>
      <w:r w:rsidR="00A15E14">
        <w:t>k</w:t>
      </w:r>
      <w:r w:rsidR="00BE7F19">
        <w:t>.</w:t>
      </w:r>
      <w:r w:rsidR="004C6898">
        <w:t xml:space="preserve"> </w:t>
      </w:r>
      <w:r w:rsidR="00DB7E59">
        <w:t>The demand of these medicines m</w:t>
      </w:r>
      <w:r w:rsidR="00AA4548">
        <w:t>a</w:t>
      </w:r>
      <w:r w:rsidR="00DB7E59">
        <w:t>y be urgent and/or unpredictable</w:t>
      </w:r>
      <w:r w:rsidR="00257813">
        <w:t>, the pharmacy contractor will therefore:</w:t>
      </w:r>
    </w:p>
    <w:p w14:paraId="0DA42B19" w14:textId="34525E69" w:rsidR="00257813" w:rsidRDefault="005B1D25" w:rsidP="008D3B10">
      <w:pPr>
        <w:pStyle w:val="ListParagraph"/>
        <w:numPr>
          <w:ilvl w:val="0"/>
          <w:numId w:val="32"/>
        </w:numPr>
      </w:pPr>
      <w:r>
        <w:t xml:space="preserve">Stock a locally agreed range of specialist medicines and make a commitment </w:t>
      </w:r>
      <w:r w:rsidR="002B2ECB">
        <w:t xml:space="preserve">to ensure prompt access to these medicines at all times agreed with the </w:t>
      </w:r>
      <w:r w:rsidR="000E5536">
        <w:t>ICB</w:t>
      </w:r>
      <w:r w:rsidR="002B2ECB">
        <w:t>.</w:t>
      </w:r>
    </w:p>
    <w:p w14:paraId="6BB3144D" w14:textId="5533E3AB" w:rsidR="002B2ECB" w:rsidRDefault="002B2ECB" w:rsidP="008D3B10">
      <w:pPr>
        <w:pStyle w:val="ListParagraph"/>
        <w:numPr>
          <w:ilvl w:val="0"/>
          <w:numId w:val="32"/>
        </w:numPr>
      </w:pPr>
      <w:r>
        <w:t xml:space="preserve">Provide information and advice to the user, carer, and clinician. They may also refer to specialist centres, support groups or other health and social care professionals where appropriate. </w:t>
      </w:r>
    </w:p>
    <w:p w14:paraId="343807FF" w14:textId="7497BBE4" w:rsidR="00693AE4" w:rsidRDefault="00651C68" w:rsidP="00693AE4">
      <w:r>
        <w:t>This servic</w:t>
      </w:r>
      <w:r w:rsidR="00857192">
        <w:t>e is currently due to run until 31</w:t>
      </w:r>
      <w:r w:rsidR="00857192" w:rsidRPr="00857192">
        <w:rPr>
          <w:vertAlign w:val="superscript"/>
        </w:rPr>
        <w:t>st</w:t>
      </w:r>
      <w:r w:rsidR="00857192">
        <w:t xml:space="preserve"> March 2023. </w:t>
      </w:r>
    </w:p>
    <w:p w14:paraId="76F4EDC4" w14:textId="77777777" w:rsidR="000918D5" w:rsidRDefault="000918D5" w:rsidP="00693AE4">
      <w:pPr>
        <w:rPr>
          <w:b/>
          <w:bCs/>
        </w:rPr>
      </w:pPr>
    </w:p>
    <w:p w14:paraId="1EF06AF1" w14:textId="6D1FC5D2" w:rsidR="00180552" w:rsidRPr="00180552" w:rsidRDefault="00180552" w:rsidP="00693AE4">
      <w:r>
        <w:rPr>
          <w:b/>
          <w:bCs/>
        </w:rPr>
        <w:lastRenderedPageBreak/>
        <w:t>Conclusion for End of Life Medicines Services</w:t>
      </w:r>
    </w:p>
    <w:p w14:paraId="24FE6B0A" w14:textId="496C8FB0" w:rsidR="002761A8" w:rsidRPr="00205A99" w:rsidRDefault="005C7668" w:rsidP="00787F56">
      <w:r>
        <w:t xml:space="preserve">Pharmacies provide a convenient access to these medicines throughout Coventry and Warwickshire. </w:t>
      </w:r>
      <w:r w:rsidR="00EF124F">
        <w:t xml:space="preserve">At present there is a limit to the number of pharmacies commissioners can </w:t>
      </w:r>
      <w:r w:rsidR="003B0E89">
        <w:t xml:space="preserve">commission this service to. This is currently being reviewed, and a supplementary statement to this PNA will be produced </w:t>
      </w:r>
      <w:r w:rsidR="00B54B2B">
        <w:t xml:space="preserve">if there is any change in this service. </w:t>
      </w:r>
      <w:r>
        <w:t xml:space="preserve"> </w:t>
      </w:r>
    </w:p>
    <w:p w14:paraId="2349F801" w14:textId="77777777" w:rsidR="00345615" w:rsidRDefault="00345615" w:rsidP="00787F56">
      <w:pPr>
        <w:rPr>
          <w:color w:val="477CBF"/>
        </w:rPr>
      </w:pPr>
    </w:p>
    <w:p w14:paraId="13673922" w14:textId="77777777" w:rsidR="00C02FA9" w:rsidRPr="006C376C" w:rsidRDefault="003410EC" w:rsidP="00787F56">
      <w:pPr>
        <w:rPr>
          <w:color w:val="477CBF"/>
        </w:rPr>
      </w:pPr>
      <w:r w:rsidRPr="468CD800">
        <w:rPr>
          <w:color w:val="477CBF" w:themeColor="accent1"/>
        </w:rPr>
        <w:t>Sharps Disposal</w:t>
      </w:r>
    </w:p>
    <w:p w14:paraId="205F3F79" w14:textId="123050F6" w:rsidR="00234B9B" w:rsidRPr="00234B9B" w:rsidRDefault="00BD3F43" w:rsidP="00787F56">
      <w:r>
        <w:t>The Sharps Disposal service</w:t>
      </w:r>
      <w:r w:rsidR="006B0055">
        <w:t xml:space="preserve"> currently collects any size of sharps container</w:t>
      </w:r>
      <w:r w:rsidR="00713E0B">
        <w:t xml:space="preserve"> once per month</w:t>
      </w:r>
      <w:r w:rsidR="00C561FB">
        <w:t xml:space="preserve"> which allows the disposal of 1L sharps which </w:t>
      </w:r>
      <w:r w:rsidR="00E22B5E">
        <w:t>pharmacies are not generally contracted to take</w:t>
      </w:r>
      <w:r w:rsidR="00713E0B">
        <w:t>. This will soon be moving to an on</w:t>
      </w:r>
      <w:r w:rsidR="00C21593">
        <w:t>-</w:t>
      </w:r>
      <w:r w:rsidR="00713E0B">
        <w:t>request service where pharmacies contact</w:t>
      </w:r>
      <w:r w:rsidR="00DF122C">
        <w:t xml:space="preserve"> the service when they need a collection</w:t>
      </w:r>
      <w:r w:rsidR="00C21593">
        <w:t xml:space="preserve">. </w:t>
      </w:r>
    </w:p>
    <w:p w14:paraId="5FA0DA11" w14:textId="5AD7B3FA" w:rsidR="00312795" w:rsidRDefault="00312795" w:rsidP="00787F56">
      <w:r>
        <w:t>This service only operates in Warwick District at the following pharmacies:</w:t>
      </w:r>
    </w:p>
    <w:tbl>
      <w:tblPr>
        <w:tblStyle w:val="ListTable2-Accent1"/>
        <w:tblW w:w="0" w:type="auto"/>
        <w:tblLook w:val="04A0" w:firstRow="1" w:lastRow="0" w:firstColumn="1" w:lastColumn="0" w:noHBand="0" w:noVBand="1"/>
      </w:tblPr>
      <w:tblGrid>
        <w:gridCol w:w="3396"/>
        <w:gridCol w:w="3396"/>
        <w:gridCol w:w="3396"/>
      </w:tblGrid>
      <w:tr w:rsidR="00312795" w14:paraId="64E66109" w14:textId="77777777" w:rsidTr="00312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6" w:type="dxa"/>
          </w:tcPr>
          <w:p w14:paraId="1A0CF43B" w14:textId="6719E778" w:rsidR="00312795" w:rsidRPr="00C47620" w:rsidRDefault="00312795" w:rsidP="00312795">
            <w:pPr>
              <w:rPr>
                <w:b w:val="0"/>
              </w:rPr>
            </w:pPr>
            <w:r w:rsidRPr="00C47620">
              <w:rPr>
                <w:b w:val="0"/>
              </w:rPr>
              <w:t>Birk and Nagra</w:t>
            </w:r>
            <w:r w:rsidR="00B12E38" w:rsidRPr="00C47620">
              <w:rPr>
                <w:b w:val="0"/>
              </w:rPr>
              <w:t>, CV31 1NL</w:t>
            </w:r>
          </w:p>
        </w:tc>
        <w:tc>
          <w:tcPr>
            <w:tcW w:w="3396" w:type="dxa"/>
          </w:tcPr>
          <w:p w14:paraId="7E0239C5" w14:textId="2D90B77C" w:rsidR="00312795" w:rsidRPr="00C47620" w:rsidRDefault="00B12E38" w:rsidP="00312795">
            <w:pPr>
              <w:cnfStyle w:val="100000000000" w:firstRow="1" w:lastRow="0" w:firstColumn="0" w:lastColumn="0" w:oddVBand="0" w:evenVBand="0" w:oddHBand="0" w:evenHBand="0" w:firstRowFirstColumn="0" w:firstRowLastColumn="0" w:lastRowFirstColumn="0" w:lastRowLastColumn="0"/>
              <w:rPr>
                <w:b w:val="0"/>
              </w:rPr>
            </w:pPr>
            <w:r w:rsidRPr="00C47620">
              <w:rPr>
                <w:b w:val="0"/>
              </w:rPr>
              <w:t>Birk and Nagra, CV31 3AG</w:t>
            </w:r>
          </w:p>
        </w:tc>
        <w:tc>
          <w:tcPr>
            <w:tcW w:w="3396" w:type="dxa"/>
          </w:tcPr>
          <w:p w14:paraId="366F3F91" w14:textId="1EA79153" w:rsidR="00312795" w:rsidRPr="00C47620" w:rsidRDefault="00B12E38" w:rsidP="00312795">
            <w:pPr>
              <w:cnfStyle w:val="100000000000" w:firstRow="1" w:lastRow="0" w:firstColumn="0" w:lastColumn="0" w:oddVBand="0" w:evenVBand="0" w:oddHBand="0" w:evenHBand="0" w:firstRowFirstColumn="0" w:firstRowLastColumn="0" w:lastRowFirstColumn="0" w:lastRowLastColumn="0"/>
              <w:rPr>
                <w:b w:val="0"/>
              </w:rPr>
            </w:pPr>
            <w:r w:rsidRPr="00C47620">
              <w:rPr>
                <w:b w:val="0"/>
              </w:rPr>
              <w:t>Birk and Nagra, CV31 2BB</w:t>
            </w:r>
          </w:p>
        </w:tc>
      </w:tr>
      <w:tr w:rsidR="00312795" w14:paraId="08987AA4" w14:textId="77777777" w:rsidTr="00312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6" w:type="dxa"/>
          </w:tcPr>
          <w:p w14:paraId="75257B6B" w14:textId="4BC16919" w:rsidR="00312795" w:rsidRPr="00C47620" w:rsidRDefault="00B12E38" w:rsidP="00312795">
            <w:pPr>
              <w:rPr>
                <w:b w:val="0"/>
              </w:rPr>
            </w:pPr>
            <w:r w:rsidRPr="00C47620">
              <w:rPr>
                <w:b w:val="0"/>
              </w:rPr>
              <w:t>Birk and Nagra, CV31 2DT</w:t>
            </w:r>
          </w:p>
        </w:tc>
        <w:tc>
          <w:tcPr>
            <w:tcW w:w="3396" w:type="dxa"/>
          </w:tcPr>
          <w:p w14:paraId="39FCC051" w14:textId="5BA78014" w:rsidR="00312795" w:rsidRDefault="00B12E38" w:rsidP="00312795">
            <w:pPr>
              <w:cnfStyle w:val="000000100000" w:firstRow="0" w:lastRow="0" w:firstColumn="0" w:lastColumn="0" w:oddVBand="0" w:evenVBand="0" w:oddHBand="1" w:evenHBand="0" w:firstRowFirstColumn="0" w:firstRowLastColumn="0" w:lastRowFirstColumn="0" w:lastRowLastColumn="0"/>
            </w:pPr>
            <w:r>
              <w:t>Birk and Nagra, CV31 2LY</w:t>
            </w:r>
          </w:p>
        </w:tc>
        <w:tc>
          <w:tcPr>
            <w:tcW w:w="3396" w:type="dxa"/>
          </w:tcPr>
          <w:p w14:paraId="306AB46D" w14:textId="357A76B5" w:rsidR="00312795" w:rsidRDefault="00173778" w:rsidP="00312795">
            <w:pPr>
              <w:cnfStyle w:val="000000100000" w:firstRow="0" w:lastRow="0" w:firstColumn="0" w:lastColumn="0" w:oddVBand="0" w:evenVBand="0" w:oddHBand="1" w:evenHBand="0" w:firstRowFirstColumn="0" w:firstRowLastColumn="0" w:lastRowFirstColumn="0" w:lastRowLastColumn="0"/>
            </w:pPr>
            <w:r>
              <w:t>Birk and Nagra, CV32 6DS</w:t>
            </w:r>
          </w:p>
        </w:tc>
      </w:tr>
      <w:tr w:rsidR="00173778" w14:paraId="5D36EDA4" w14:textId="77777777" w:rsidTr="00312795">
        <w:tc>
          <w:tcPr>
            <w:cnfStyle w:val="001000000000" w:firstRow="0" w:lastRow="0" w:firstColumn="1" w:lastColumn="0" w:oddVBand="0" w:evenVBand="0" w:oddHBand="0" w:evenHBand="0" w:firstRowFirstColumn="0" w:firstRowLastColumn="0" w:lastRowFirstColumn="0" w:lastRowLastColumn="0"/>
            <w:tcW w:w="3396" w:type="dxa"/>
          </w:tcPr>
          <w:p w14:paraId="647DC695" w14:textId="3A4A2648" w:rsidR="00173778" w:rsidRPr="00C47620" w:rsidRDefault="00173778" w:rsidP="00312795">
            <w:pPr>
              <w:rPr>
                <w:b w:val="0"/>
              </w:rPr>
            </w:pPr>
            <w:r w:rsidRPr="00C47620">
              <w:rPr>
                <w:b w:val="0"/>
              </w:rPr>
              <w:t>Birk and Nagra, CV34 6DZ</w:t>
            </w:r>
          </w:p>
        </w:tc>
        <w:tc>
          <w:tcPr>
            <w:tcW w:w="3396" w:type="dxa"/>
          </w:tcPr>
          <w:p w14:paraId="48381F91" w14:textId="367705BF" w:rsidR="00173778" w:rsidRDefault="00173778" w:rsidP="00312795">
            <w:pPr>
              <w:cnfStyle w:val="000000000000" w:firstRow="0" w:lastRow="0" w:firstColumn="0" w:lastColumn="0" w:oddVBand="0" w:evenVBand="0" w:oddHBand="0" w:evenHBand="0" w:firstRowFirstColumn="0" w:firstRowLastColumn="0" w:lastRowFirstColumn="0" w:lastRowLastColumn="0"/>
            </w:pPr>
            <w:r>
              <w:t>Boots Local, CV8 1JP</w:t>
            </w:r>
          </w:p>
        </w:tc>
        <w:tc>
          <w:tcPr>
            <w:tcW w:w="3396" w:type="dxa"/>
          </w:tcPr>
          <w:p w14:paraId="2C1FDB90" w14:textId="749C77A4" w:rsidR="00173778" w:rsidRDefault="00A56301" w:rsidP="00312795">
            <w:pPr>
              <w:cnfStyle w:val="000000000000" w:firstRow="0" w:lastRow="0" w:firstColumn="0" w:lastColumn="0" w:oddVBand="0" w:evenVBand="0" w:oddHBand="0" w:evenHBand="0" w:firstRowFirstColumn="0" w:firstRowLastColumn="0" w:lastRowFirstColumn="0" w:lastRowLastColumn="0"/>
            </w:pPr>
            <w:r>
              <w:t xml:space="preserve">Boots the Chemist, </w:t>
            </w:r>
            <w:r w:rsidR="00600B7D">
              <w:t>CV34 4DH</w:t>
            </w:r>
          </w:p>
        </w:tc>
      </w:tr>
      <w:tr w:rsidR="00600B7D" w14:paraId="0DB96A6F" w14:textId="77777777" w:rsidTr="00312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6" w:type="dxa"/>
          </w:tcPr>
          <w:p w14:paraId="07896D83" w14:textId="657234B9" w:rsidR="00600B7D" w:rsidRPr="00C47620" w:rsidRDefault="00600B7D" w:rsidP="00312795">
            <w:pPr>
              <w:rPr>
                <w:b w:val="0"/>
              </w:rPr>
            </w:pPr>
            <w:r w:rsidRPr="00C47620">
              <w:rPr>
                <w:b w:val="0"/>
              </w:rPr>
              <w:t xml:space="preserve">Boots the Chemist, </w:t>
            </w:r>
            <w:r w:rsidR="00F0083A" w:rsidRPr="00C47620">
              <w:rPr>
                <w:b w:val="0"/>
              </w:rPr>
              <w:t>CV34 6RH</w:t>
            </w:r>
          </w:p>
        </w:tc>
        <w:tc>
          <w:tcPr>
            <w:tcW w:w="3396" w:type="dxa"/>
          </w:tcPr>
          <w:p w14:paraId="3E3AF6D5" w14:textId="005F5F01" w:rsidR="00600B7D" w:rsidRDefault="00F0083A" w:rsidP="00312795">
            <w:pPr>
              <w:cnfStyle w:val="000000100000" w:firstRow="0" w:lastRow="0" w:firstColumn="0" w:lastColumn="0" w:oddVBand="0" w:evenVBand="0" w:oddHBand="1" w:evenHBand="0" w:firstRowFirstColumn="0" w:firstRowLastColumn="0" w:lastRowFirstColumn="0" w:lastRowLastColumn="0"/>
            </w:pPr>
            <w:r>
              <w:t>Mello</w:t>
            </w:r>
            <w:r w:rsidR="005712F7">
              <w:t xml:space="preserve">rs Pharmacy, </w:t>
            </w:r>
            <w:r w:rsidR="000F0F4B">
              <w:t>CV34 4SA</w:t>
            </w:r>
          </w:p>
        </w:tc>
        <w:tc>
          <w:tcPr>
            <w:tcW w:w="3396" w:type="dxa"/>
          </w:tcPr>
          <w:p w14:paraId="771C24B7" w14:textId="333694BA" w:rsidR="00600B7D" w:rsidRDefault="000F0F4B" w:rsidP="00312795">
            <w:pPr>
              <w:cnfStyle w:val="000000100000" w:firstRow="0" w:lastRow="0" w:firstColumn="0" w:lastColumn="0" w:oddVBand="0" w:evenVBand="0" w:oddHBand="1" w:evenHBand="0" w:firstRowFirstColumn="0" w:firstRowLastColumn="0" w:lastRowFirstColumn="0" w:lastRowLastColumn="0"/>
            </w:pPr>
            <w:r>
              <w:t>Dudley Taylor Pharmacy, CV8 1JD</w:t>
            </w:r>
          </w:p>
        </w:tc>
      </w:tr>
      <w:tr w:rsidR="000F0F4B" w14:paraId="625F341D" w14:textId="77777777" w:rsidTr="000F0F4B">
        <w:tc>
          <w:tcPr>
            <w:cnfStyle w:val="001000000000" w:firstRow="0" w:lastRow="0" w:firstColumn="1" w:lastColumn="0" w:oddVBand="0" w:evenVBand="0" w:oddHBand="0" w:evenHBand="0" w:firstRowFirstColumn="0" w:firstRowLastColumn="0" w:lastRowFirstColumn="0" w:lastRowLastColumn="0"/>
            <w:tcW w:w="3396" w:type="dxa"/>
          </w:tcPr>
          <w:p w14:paraId="63E81300" w14:textId="38EB60F1" w:rsidR="000F0F4B" w:rsidRPr="00C47620" w:rsidRDefault="000F0F4B" w:rsidP="00312795">
            <w:pPr>
              <w:rPr>
                <w:b w:val="0"/>
              </w:rPr>
            </w:pPr>
            <w:r w:rsidRPr="00C47620">
              <w:rPr>
                <w:b w:val="0"/>
              </w:rPr>
              <w:t>Ivens Dispensing Chemist, CV31 3BH</w:t>
            </w:r>
          </w:p>
        </w:tc>
        <w:tc>
          <w:tcPr>
            <w:tcW w:w="3396" w:type="dxa"/>
          </w:tcPr>
          <w:p w14:paraId="592DD30C" w14:textId="216CFF7C" w:rsidR="000F0F4B" w:rsidRDefault="000F0F4B" w:rsidP="00312795">
            <w:pPr>
              <w:cnfStyle w:val="000000000000" w:firstRow="0" w:lastRow="0" w:firstColumn="0" w:lastColumn="0" w:oddVBand="0" w:evenVBand="0" w:oddHBand="0" w:evenHBand="0" w:firstRowFirstColumn="0" w:firstRowLastColumn="0" w:lastRowFirstColumn="0" w:lastRowLastColumn="0"/>
            </w:pPr>
            <w:r>
              <w:t>Leyes Lane Pharmacy, CV8 2DE</w:t>
            </w:r>
          </w:p>
        </w:tc>
        <w:tc>
          <w:tcPr>
            <w:tcW w:w="3396" w:type="dxa"/>
          </w:tcPr>
          <w:p w14:paraId="4E064A5A" w14:textId="5A09272A" w:rsidR="000F0F4B" w:rsidRDefault="000F0F4B" w:rsidP="00312795">
            <w:pPr>
              <w:cnfStyle w:val="000000000000" w:firstRow="0" w:lastRow="0" w:firstColumn="0" w:lastColumn="0" w:oddVBand="0" w:evenVBand="0" w:oddHBand="0" w:evenHBand="0" w:firstRowFirstColumn="0" w:firstRowLastColumn="0" w:lastRowFirstColumn="0" w:lastRowLastColumn="0"/>
            </w:pPr>
            <w:r>
              <w:t>Lillington Pharmacy, CV32 7AG</w:t>
            </w:r>
          </w:p>
        </w:tc>
      </w:tr>
      <w:tr w:rsidR="000F0F4B" w14:paraId="1FE74405" w14:textId="77777777" w:rsidTr="000F0F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6" w:type="dxa"/>
          </w:tcPr>
          <w:p w14:paraId="3F30B558" w14:textId="19152337" w:rsidR="000F0F4B" w:rsidRPr="00C47620" w:rsidRDefault="000F0F4B" w:rsidP="00312795">
            <w:pPr>
              <w:rPr>
                <w:b w:val="0"/>
              </w:rPr>
            </w:pPr>
            <w:r w:rsidRPr="00C47620">
              <w:rPr>
                <w:b w:val="0"/>
              </w:rPr>
              <w:t>Lloyds Pharmacy, CV32 7SH</w:t>
            </w:r>
          </w:p>
        </w:tc>
        <w:tc>
          <w:tcPr>
            <w:tcW w:w="3396" w:type="dxa"/>
          </w:tcPr>
          <w:p w14:paraId="4AA9BA9F" w14:textId="3E2A9076" w:rsidR="000F0F4B" w:rsidRDefault="000F0F4B" w:rsidP="00312795">
            <w:pPr>
              <w:cnfStyle w:val="000000100000" w:firstRow="0" w:lastRow="0" w:firstColumn="0" w:lastColumn="0" w:oddVBand="0" w:evenVBand="0" w:oddHBand="1" w:evenHBand="0" w:firstRowFirstColumn="0" w:firstRowLastColumn="0" w:lastRowFirstColumn="0" w:lastRowLastColumn="0"/>
            </w:pPr>
            <w:r>
              <w:t>Lloyds Pharmacy, CV32 4PN</w:t>
            </w:r>
          </w:p>
        </w:tc>
        <w:tc>
          <w:tcPr>
            <w:tcW w:w="3396" w:type="dxa"/>
          </w:tcPr>
          <w:p w14:paraId="6C6954CE" w14:textId="3268B7CF" w:rsidR="000F0F4B" w:rsidRDefault="000F0F4B" w:rsidP="00312795">
            <w:pPr>
              <w:cnfStyle w:val="000000100000" w:firstRow="0" w:lastRow="0" w:firstColumn="0" w:lastColumn="0" w:oddVBand="0" w:evenVBand="0" w:oddHBand="1" w:evenHBand="0" w:firstRowFirstColumn="0" w:firstRowLastColumn="0" w:lastRowFirstColumn="0" w:lastRowLastColumn="0"/>
            </w:pPr>
            <w:r>
              <w:t>Stratwicks Pharmacy, CV34 5RN</w:t>
            </w:r>
          </w:p>
        </w:tc>
      </w:tr>
    </w:tbl>
    <w:p w14:paraId="70054058" w14:textId="77777777" w:rsidR="00C610F8" w:rsidRDefault="00C610F8" w:rsidP="00312795">
      <w:pPr>
        <w:rPr>
          <w:b/>
          <w:bCs/>
        </w:rPr>
      </w:pPr>
    </w:p>
    <w:p w14:paraId="14625979" w14:textId="62D3BCF7" w:rsidR="00312795" w:rsidRPr="009B50F2" w:rsidRDefault="009B50F2" w:rsidP="00312795">
      <w:pPr>
        <w:rPr>
          <w:b/>
        </w:rPr>
      </w:pPr>
      <w:r>
        <w:rPr>
          <w:b/>
          <w:bCs/>
        </w:rPr>
        <w:t>Conclusion for Sharps Disposal</w:t>
      </w:r>
    </w:p>
    <w:p w14:paraId="4B262B8D" w14:textId="6D08333E" w:rsidR="00E82E99" w:rsidRDefault="00522EF9" w:rsidP="00312795">
      <w:r>
        <w:t xml:space="preserve">There are different sharps service collections in place which can be unclear to both the public and pharmacies, such as the service provided by PHS which also collects sharps. </w:t>
      </w:r>
      <w:r w:rsidR="00E41EF9">
        <w:t xml:space="preserve">Because of this, the quantity of sharps collected </w:t>
      </w:r>
      <w:r w:rsidR="00CA5A22">
        <w:t xml:space="preserve">by this service </w:t>
      </w:r>
      <w:r w:rsidR="00E41EF9">
        <w:t xml:space="preserve">has been minimal. </w:t>
      </w:r>
      <w:r w:rsidR="00E03F50">
        <w:t>To help with this</w:t>
      </w:r>
      <w:r w:rsidR="00E82E99">
        <w:t xml:space="preserve"> the following opportunities have been identified:</w:t>
      </w:r>
    </w:p>
    <w:p w14:paraId="7F8BC9BB" w14:textId="699F296E" w:rsidR="00037610" w:rsidRPr="00BC7843" w:rsidRDefault="00E82E99" w:rsidP="008D3B10">
      <w:pPr>
        <w:pStyle w:val="ListParagraph"/>
        <w:numPr>
          <w:ilvl w:val="0"/>
          <w:numId w:val="38"/>
        </w:numPr>
      </w:pPr>
      <w:r>
        <w:lastRenderedPageBreak/>
        <w:t>Provide clarification on the different services to clear up confusion for pharmacies and patients, including</w:t>
      </w:r>
      <w:r w:rsidR="00D37EC4">
        <w:t xml:space="preserve"> over the size of sharps containers accepted with the different services. </w:t>
      </w:r>
    </w:p>
    <w:p w14:paraId="64D19701" w14:textId="2F43DC37" w:rsidR="00D37EC4" w:rsidRDefault="00D242EF" w:rsidP="008D3B10">
      <w:pPr>
        <w:pStyle w:val="ListParagraph"/>
        <w:numPr>
          <w:ilvl w:val="0"/>
          <w:numId w:val="38"/>
        </w:numPr>
      </w:pPr>
      <w:r>
        <w:t>Provide better communication between pharmacies who provide a sharps disposal service and GP</w:t>
      </w:r>
      <w:r w:rsidR="00BD0791">
        <w:t xml:space="preserve">s so better signposting can be done. </w:t>
      </w:r>
    </w:p>
    <w:p w14:paraId="6980E8A9" w14:textId="466BAB86" w:rsidR="00C610F8" w:rsidRPr="00BC7843" w:rsidRDefault="00C610F8" w:rsidP="00C610F8">
      <w:r>
        <w:t xml:space="preserve">Warwick </w:t>
      </w:r>
      <w:r w:rsidR="009737A0">
        <w:t>District</w:t>
      </w:r>
      <w:r>
        <w:t xml:space="preserve"> Council is open to additional pharmacies becoming sharps return points so that they can expand the service offered to residents to return sharps. </w:t>
      </w:r>
      <w:r w:rsidR="00E22B5E">
        <w:t xml:space="preserve">Consideration should also be given to expanding the service to cover all of Coventry and Warwickshire </w:t>
      </w:r>
      <w:r w:rsidR="001A793B">
        <w:t xml:space="preserve">to create equitable access.  </w:t>
      </w:r>
    </w:p>
    <w:p w14:paraId="10446FE5" w14:textId="77777777" w:rsidR="00C02FA9" w:rsidRDefault="00C02FA9" w:rsidP="00787F56">
      <w:pPr>
        <w:rPr>
          <w:color w:val="477CBF"/>
        </w:rPr>
      </w:pPr>
    </w:p>
    <w:p w14:paraId="37B9BC73" w14:textId="77777777" w:rsidR="00BF3ED5" w:rsidRPr="006C376C" w:rsidRDefault="00C02FA9" w:rsidP="00787F56">
      <w:pPr>
        <w:rPr>
          <w:color w:val="477CBF"/>
        </w:rPr>
      </w:pPr>
      <w:r w:rsidRPr="006C376C">
        <w:rPr>
          <w:color w:val="477CBF"/>
        </w:rPr>
        <w:t>HIV POC Testing</w:t>
      </w:r>
    </w:p>
    <w:p w14:paraId="0E249ADA" w14:textId="3ABE4C06" w:rsidR="00BF3ED5" w:rsidRDefault="00146CF7" w:rsidP="00787F56">
      <w:r>
        <w:t xml:space="preserve">The HIV Point of Care Testing </w:t>
      </w:r>
      <w:r w:rsidR="00BE1344">
        <w:t xml:space="preserve">service in Coventry aims to increase the number of HIV tests taken in Coventry, especially in </w:t>
      </w:r>
      <w:r w:rsidR="00EF5F91">
        <w:t>at-risk</w:t>
      </w:r>
      <w:r w:rsidR="00BE1344">
        <w:t xml:space="preserve"> groups such as the black African population and Men who have Sex with Men (MSM).</w:t>
      </w:r>
      <w:r w:rsidR="00010D36">
        <w:t xml:space="preserve"> </w:t>
      </w:r>
      <w:r w:rsidR="00EF5F91">
        <w:t xml:space="preserve">Pharmacy involvement </w:t>
      </w:r>
      <w:r w:rsidR="0029327A">
        <w:t xml:space="preserve">means patients can access this service who may not have otherwise accessed it. </w:t>
      </w:r>
    </w:p>
    <w:p w14:paraId="639AA2A8" w14:textId="66B6ECEA" w:rsidR="009E5666" w:rsidRPr="003D362B" w:rsidRDefault="00321E97" w:rsidP="00787F56">
      <w:r>
        <w:t xml:space="preserve">Pharmacies use the INSTI HIV-1/HIV-2 Antibody Point of Care blood spot Test (POCT) to screen for HIV antibodies. If a result is positive, </w:t>
      </w:r>
      <w:r w:rsidR="005E2854">
        <w:t xml:space="preserve">patients must attend the Integrated Sexual Health Service for another blood test to have their HIV diagnosis confirmed. </w:t>
      </w:r>
    </w:p>
    <w:p w14:paraId="30506D14" w14:textId="3800BE66" w:rsidR="00011120" w:rsidRDefault="00011120" w:rsidP="00787F56">
      <w:r>
        <w:t xml:space="preserve">There are </w:t>
      </w:r>
      <w:r w:rsidR="00F70E1C">
        <w:t>4 pharmacies in Coventry who provide the HIV POC Testing service.</w:t>
      </w:r>
      <w:r w:rsidR="00DD6EB0">
        <w:t xml:space="preserve"> No gaps in this service have been identified.</w:t>
      </w:r>
    </w:p>
    <w:p w14:paraId="662E7B6A" w14:textId="77777777" w:rsidR="003D362B" w:rsidRDefault="003D362B" w:rsidP="00787F56">
      <w:pPr>
        <w:rPr>
          <w:color w:val="477CBF"/>
        </w:rPr>
      </w:pPr>
    </w:p>
    <w:p w14:paraId="3226B651" w14:textId="77777777" w:rsidR="00BF3ED5" w:rsidRDefault="00BF3ED5" w:rsidP="00787F56">
      <w:pPr>
        <w:rPr>
          <w:color w:val="477CBF"/>
        </w:rPr>
      </w:pPr>
      <w:r w:rsidRPr="006C376C">
        <w:rPr>
          <w:color w:val="477CBF"/>
        </w:rPr>
        <w:t>Phlebotomy</w:t>
      </w:r>
    </w:p>
    <w:p w14:paraId="4E40037D" w14:textId="1A959C95" w:rsidR="00A8263F" w:rsidRPr="00A8263F" w:rsidRDefault="00A8263F" w:rsidP="00787F56">
      <w:r>
        <w:t>Phlebotomy services are blood tests or blood taking. A prescriber such as a nurse or GP can issue a patient with a request to have bloods take</w:t>
      </w:r>
      <w:r w:rsidR="00735708">
        <w:t xml:space="preserve">n, and for convenience and speed this can now be done at a local pharmacy, avoiding queues at hospitals and GP surgeries. </w:t>
      </w:r>
      <w:r w:rsidR="00082171">
        <w:t xml:space="preserve">The bloods are sent off for analysis and the results are sent back to the prescriber. This provides access to phlebotomy services at a wider range of times and venues to suit the local community. </w:t>
      </w:r>
    </w:p>
    <w:p w14:paraId="29539B6F" w14:textId="27A664CE" w:rsidR="00F70E1C" w:rsidRDefault="00290917" w:rsidP="00787F56">
      <w:r>
        <w:t>There are 17 pharmacies in Coventry who provide the Phlebotomy service.</w:t>
      </w:r>
      <w:r w:rsidR="00DD6EB0" w:rsidRPr="00DD6EB0">
        <w:t xml:space="preserve"> </w:t>
      </w:r>
      <w:r w:rsidR="00DD6EB0">
        <w:t>No gaps in this service have been identified.</w:t>
      </w:r>
    </w:p>
    <w:p w14:paraId="43725952" w14:textId="77777777" w:rsidR="00B65C13" w:rsidRDefault="00B65C13" w:rsidP="00787F56">
      <w:pPr>
        <w:rPr>
          <w:color w:val="477CBF"/>
        </w:rPr>
      </w:pPr>
    </w:p>
    <w:p w14:paraId="0FF53FFF" w14:textId="0095F772" w:rsidR="00CA3337" w:rsidRDefault="00CA3337" w:rsidP="00787F56">
      <w:pPr>
        <w:rPr>
          <w:color w:val="477CBF"/>
        </w:rPr>
      </w:pPr>
      <w:r>
        <w:rPr>
          <w:color w:val="477CBF"/>
        </w:rPr>
        <w:t>E</w:t>
      </w:r>
      <w:r w:rsidR="0031634B">
        <w:rPr>
          <w:color w:val="477CBF"/>
        </w:rPr>
        <w:t xml:space="preserve">mergency </w:t>
      </w:r>
      <w:r>
        <w:rPr>
          <w:color w:val="477CBF"/>
        </w:rPr>
        <w:t>D</w:t>
      </w:r>
      <w:r w:rsidR="0031634B">
        <w:rPr>
          <w:color w:val="477CBF"/>
        </w:rPr>
        <w:t>epartment (</w:t>
      </w:r>
      <w:r>
        <w:rPr>
          <w:color w:val="477CBF"/>
        </w:rPr>
        <w:t>ED</w:t>
      </w:r>
      <w:r w:rsidR="0031634B">
        <w:rPr>
          <w:color w:val="477CBF"/>
        </w:rPr>
        <w:t>)</w:t>
      </w:r>
      <w:r>
        <w:rPr>
          <w:color w:val="477CBF"/>
        </w:rPr>
        <w:t xml:space="preserve"> to CPCS Pilot Coventry and Rugby</w:t>
      </w:r>
    </w:p>
    <w:p w14:paraId="4513AA8A" w14:textId="17AF59A1" w:rsidR="004813BE" w:rsidRDefault="008A3195" w:rsidP="00787F56">
      <w:r>
        <w:lastRenderedPageBreak/>
        <w:t>The ED to CPCS</w:t>
      </w:r>
      <w:r w:rsidR="00DA386B">
        <w:t xml:space="preserve"> is an extension of the CPCS Advanced </w:t>
      </w:r>
      <w:r w:rsidR="00F20131">
        <w:t>Service and</w:t>
      </w:r>
      <w:r w:rsidR="00DA386B">
        <w:t xml:space="preserve"> is running as a pilot </w:t>
      </w:r>
      <w:r w:rsidR="00B662F6">
        <w:t>from 1</w:t>
      </w:r>
      <w:r w:rsidR="00B662F6" w:rsidRPr="00B662F6">
        <w:rPr>
          <w:vertAlign w:val="superscript"/>
        </w:rPr>
        <w:t>st</w:t>
      </w:r>
      <w:r w:rsidR="00B662F6">
        <w:t xml:space="preserve"> November 2021 to 30</w:t>
      </w:r>
      <w:r w:rsidR="00B662F6" w:rsidRPr="00B662F6">
        <w:rPr>
          <w:vertAlign w:val="superscript"/>
        </w:rPr>
        <w:t>th</w:t>
      </w:r>
      <w:r w:rsidR="00B662F6">
        <w:t xml:space="preserve"> September 2022. There are 21 </w:t>
      </w:r>
      <w:r w:rsidR="002D264C">
        <w:t xml:space="preserve">pharmacies in Coventry </w:t>
      </w:r>
      <w:r w:rsidR="002006BA">
        <w:t>and 5 pharmacies in Rugby taking part</w:t>
      </w:r>
      <w:r w:rsidR="004478B0">
        <w:t>, they are:</w:t>
      </w:r>
    </w:p>
    <w:p w14:paraId="1F3128B7" w14:textId="77777777" w:rsidR="00290917" w:rsidRDefault="00290917" w:rsidP="00787F56"/>
    <w:tbl>
      <w:tblPr>
        <w:tblStyle w:val="ListTable3-Accent1"/>
        <w:tblW w:w="0" w:type="auto"/>
        <w:tblLook w:val="04A0" w:firstRow="1" w:lastRow="0" w:firstColumn="1" w:lastColumn="0" w:noHBand="0" w:noVBand="1"/>
      </w:tblPr>
      <w:tblGrid>
        <w:gridCol w:w="3510"/>
        <w:gridCol w:w="3282"/>
        <w:gridCol w:w="3396"/>
      </w:tblGrid>
      <w:tr w:rsidR="005D72DC" w14:paraId="19A8A051" w14:textId="77777777" w:rsidTr="00F201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88" w:type="dxa"/>
            <w:gridSpan w:val="3"/>
            <w:tcBorders>
              <w:bottom w:val="single" w:sz="4" w:space="0" w:color="auto"/>
            </w:tcBorders>
            <w:shd w:val="clear" w:color="auto" w:fill="477CBF"/>
          </w:tcPr>
          <w:p w14:paraId="1F51A160" w14:textId="594A9DEF" w:rsidR="005D72DC" w:rsidRDefault="005D72DC" w:rsidP="002941AF">
            <w:pPr>
              <w:jc w:val="center"/>
            </w:pPr>
            <w:r>
              <w:t>Coventry</w:t>
            </w:r>
          </w:p>
        </w:tc>
      </w:tr>
      <w:tr w:rsidR="005D72DC" w:rsidRPr="00F20131" w14:paraId="69351BC0" w14:textId="77777777" w:rsidTr="00F20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751AFEFE" w14:textId="29F89E98" w:rsidR="005D72DC" w:rsidRPr="00F20131" w:rsidRDefault="00657D13" w:rsidP="00F20131">
            <w:pPr>
              <w:jc w:val="center"/>
              <w:rPr>
                <w:b w:val="0"/>
                <w:bCs w:val="0"/>
              </w:rPr>
            </w:pPr>
            <w:r w:rsidRPr="00F20131">
              <w:rPr>
                <w:b w:val="0"/>
                <w:bCs w:val="0"/>
              </w:rPr>
              <w:t>Acorn Chemist – CV3 3DP</w:t>
            </w:r>
          </w:p>
        </w:tc>
        <w:tc>
          <w:tcPr>
            <w:tcW w:w="3282" w:type="dxa"/>
            <w:tcBorders>
              <w:top w:val="single" w:sz="4" w:space="0" w:color="auto"/>
              <w:left w:val="single" w:sz="4" w:space="0" w:color="auto"/>
              <w:bottom w:val="single" w:sz="4" w:space="0" w:color="auto"/>
              <w:right w:val="single" w:sz="4" w:space="0" w:color="auto"/>
            </w:tcBorders>
          </w:tcPr>
          <w:p w14:paraId="27B53FA0" w14:textId="2F52534D" w:rsidR="005D72DC" w:rsidRPr="00F20131" w:rsidRDefault="00DE7A5D" w:rsidP="00F20131">
            <w:pPr>
              <w:jc w:val="center"/>
              <w:cnfStyle w:val="000000100000" w:firstRow="0" w:lastRow="0" w:firstColumn="0" w:lastColumn="0" w:oddVBand="0" w:evenVBand="0" w:oddHBand="1" w:evenHBand="0" w:firstRowFirstColumn="0" w:firstRowLastColumn="0" w:lastRowFirstColumn="0" w:lastRowLastColumn="0"/>
            </w:pPr>
            <w:r w:rsidRPr="00F20131">
              <w:t>Asda Pharmacy – CV2 2PN</w:t>
            </w:r>
          </w:p>
        </w:tc>
        <w:tc>
          <w:tcPr>
            <w:tcW w:w="3396" w:type="dxa"/>
            <w:tcBorders>
              <w:top w:val="single" w:sz="4" w:space="0" w:color="auto"/>
              <w:left w:val="single" w:sz="4" w:space="0" w:color="auto"/>
              <w:bottom w:val="single" w:sz="4" w:space="0" w:color="auto"/>
              <w:right w:val="single" w:sz="4" w:space="0" w:color="auto"/>
            </w:tcBorders>
          </w:tcPr>
          <w:p w14:paraId="6F569F95" w14:textId="049CA465" w:rsidR="005D72DC" w:rsidRPr="00F20131" w:rsidRDefault="00DE7A5D" w:rsidP="00F20131">
            <w:pPr>
              <w:jc w:val="center"/>
              <w:cnfStyle w:val="000000100000" w:firstRow="0" w:lastRow="0" w:firstColumn="0" w:lastColumn="0" w:oddVBand="0" w:evenVBand="0" w:oddHBand="1" w:evenHBand="0" w:firstRowFirstColumn="0" w:firstRowLastColumn="0" w:lastRowFirstColumn="0" w:lastRowLastColumn="0"/>
            </w:pPr>
            <w:r w:rsidRPr="00F20131">
              <w:t>Bannerbrook Pharmacy – CV4 9AE</w:t>
            </w:r>
          </w:p>
        </w:tc>
      </w:tr>
      <w:tr w:rsidR="005D72DC" w:rsidRPr="00F20131" w14:paraId="7BD9D144" w14:textId="77777777" w:rsidTr="00F20131">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35768212" w14:textId="025C1429" w:rsidR="005D72DC" w:rsidRPr="00F20131" w:rsidRDefault="00DE7A5D" w:rsidP="00F20131">
            <w:pPr>
              <w:jc w:val="center"/>
              <w:rPr>
                <w:b w:val="0"/>
                <w:bCs w:val="0"/>
              </w:rPr>
            </w:pPr>
            <w:r w:rsidRPr="00F20131">
              <w:rPr>
                <w:b w:val="0"/>
                <w:bCs w:val="0"/>
              </w:rPr>
              <w:t>Boots UK Ltd – CV3 6TA</w:t>
            </w:r>
          </w:p>
        </w:tc>
        <w:tc>
          <w:tcPr>
            <w:tcW w:w="3282" w:type="dxa"/>
            <w:tcBorders>
              <w:top w:val="single" w:sz="4" w:space="0" w:color="auto"/>
              <w:left w:val="single" w:sz="4" w:space="0" w:color="auto"/>
              <w:bottom w:val="single" w:sz="4" w:space="0" w:color="auto"/>
              <w:right w:val="single" w:sz="4" w:space="0" w:color="auto"/>
            </w:tcBorders>
          </w:tcPr>
          <w:p w14:paraId="1E68C6E8" w14:textId="57572F67" w:rsidR="005D72DC" w:rsidRPr="00F20131" w:rsidRDefault="00DE7A5D" w:rsidP="00F20131">
            <w:pPr>
              <w:jc w:val="center"/>
              <w:cnfStyle w:val="000000000000" w:firstRow="0" w:lastRow="0" w:firstColumn="0" w:lastColumn="0" w:oddVBand="0" w:evenVBand="0" w:oddHBand="0" w:evenHBand="0" w:firstRowFirstColumn="0" w:firstRowLastColumn="0" w:lastRowFirstColumn="0" w:lastRowLastColumn="0"/>
            </w:pPr>
            <w:r w:rsidRPr="00F20131">
              <w:t>Chemicare – CV6 2HT</w:t>
            </w:r>
          </w:p>
        </w:tc>
        <w:tc>
          <w:tcPr>
            <w:tcW w:w="3396" w:type="dxa"/>
            <w:tcBorders>
              <w:top w:val="single" w:sz="4" w:space="0" w:color="auto"/>
              <w:left w:val="single" w:sz="4" w:space="0" w:color="auto"/>
              <w:bottom w:val="single" w:sz="4" w:space="0" w:color="auto"/>
              <w:right w:val="single" w:sz="4" w:space="0" w:color="auto"/>
            </w:tcBorders>
          </w:tcPr>
          <w:p w14:paraId="34A36801" w14:textId="1761B343" w:rsidR="005D72DC" w:rsidRPr="00F20131" w:rsidRDefault="007C5588" w:rsidP="00F20131">
            <w:pPr>
              <w:jc w:val="center"/>
              <w:cnfStyle w:val="000000000000" w:firstRow="0" w:lastRow="0" w:firstColumn="0" w:lastColumn="0" w:oddVBand="0" w:evenVBand="0" w:oddHBand="0" w:evenHBand="0" w:firstRowFirstColumn="0" w:firstRowLastColumn="0" w:lastRowFirstColumn="0" w:lastRowLastColumn="0"/>
            </w:pPr>
            <w:r w:rsidRPr="00F20131">
              <w:t xml:space="preserve">Chemycare – CV2 </w:t>
            </w:r>
            <w:r w:rsidR="00F102A1" w:rsidRPr="00F20131">
              <w:t>2GG</w:t>
            </w:r>
          </w:p>
        </w:tc>
      </w:tr>
      <w:tr w:rsidR="005D72DC" w:rsidRPr="00F20131" w14:paraId="6D7CC28F" w14:textId="77777777" w:rsidTr="00F20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6E3E14E9" w14:textId="6960DBE5" w:rsidR="005D72DC" w:rsidRPr="00F20131" w:rsidRDefault="00022E0B" w:rsidP="00F20131">
            <w:pPr>
              <w:jc w:val="center"/>
              <w:rPr>
                <w:b w:val="0"/>
                <w:bCs w:val="0"/>
              </w:rPr>
            </w:pPr>
            <w:r w:rsidRPr="00F20131">
              <w:rPr>
                <w:b w:val="0"/>
                <w:bCs w:val="0"/>
              </w:rPr>
              <w:t>Clay Lane Pharmacy – CV2 4LJ</w:t>
            </w:r>
          </w:p>
        </w:tc>
        <w:tc>
          <w:tcPr>
            <w:tcW w:w="3282" w:type="dxa"/>
            <w:tcBorders>
              <w:top w:val="single" w:sz="4" w:space="0" w:color="auto"/>
              <w:left w:val="single" w:sz="4" w:space="0" w:color="auto"/>
              <w:bottom w:val="single" w:sz="4" w:space="0" w:color="auto"/>
              <w:right w:val="single" w:sz="4" w:space="0" w:color="auto"/>
            </w:tcBorders>
          </w:tcPr>
          <w:p w14:paraId="5EB52E8C" w14:textId="7F302671" w:rsidR="005D72DC" w:rsidRPr="00F20131" w:rsidRDefault="00022E0B" w:rsidP="00F20131">
            <w:pPr>
              <w:jc w:val="center"/>
              <w:cnfStyle w:val="000000100000" w:firstRow="0" w:lastRow="0" w:firstColumn="0" w:lastColumn="0" w:oddVBand="0" w:evenVBand="0" w:oddHBand="1" w:evenHBand="0" w:firstRowFirstColumn="0" w:firstRowLastColumn="0" w:lastRowFirstColumn="0" w:lastRowLastColumn="0"/>
            </w:pPr>
            <w:r w:rsidRPr="00F20131">
              <w:t>General Wolfe Pharmacy – CV6 5HP</w:t>
            </w:r>
          </w:p>
        </w:tc>
        <w:tc>
          <w:tcPr>
            <w:tcW w:w="3396" w:type="dxa"/>
            <w:tcBorders>
              <w:top w:val="single" w:sz="4" w:space="0" w:color="auto"/>
              <w:left w:val="single" w:sz="4" w:space="0" w:color="auto"/>
              <w:bottom w:val="single" w:sz="4" w:space="0" w:color="auto"/>
              <w:right w:val="single" w:sz="4" w:space="0" w:color="auto"/>
            </w:tcBorders>
          </w:tcPr>
          <w:p w14:paraId="67C78D18" w14:textId="2C02D304" w:rsidR="005D72DC" w:rsidRPr="00F20131" w:rsidRDefault="009A1EDD" w:rsidP="00F20131">
            <w:pPr>
              <w:jc w:val="center"/>
              <w:cnfStyle w:val="000000100000" w:firstRow="0" w:lastRow="0" w:firstColumn="0" w:lastColumn="0" w:oddVBand="0" w:evenVBand="0" w:oddHBand="1" w:evenHBand="0" w:firstRowFirstColumn="0" w:firstRowLastColumn="0" w:lastRowFirstColumn="0" w:lastRowLastColumn="0"/>
            </w:pPr>
            <w:r w:rsidRPr="00F20131">
              <w:t>Hillfields Pharmacy – CV1 5JF</w:t>
            </w:r>
          </w:p>
        </w:tc>
      </w:tr>
      <w:tr w:rsidR="005D72DC" w:rsidRPr="00F20131" w14:paraId="2EAB979E" w14:textId="77777777" w:rsidTr="00F20131">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6640D6EA" w14:textId="0987427C" w:rsidR="005D72DC" w:rsidRPr="00F20131" w:rsidRDefault="009A1EDD" w:rsidP="00F20131">
            <w:pPr>
              <w:jc w:val="center"/>
              <w:rPr>
                <w:b w:val="0"/>
                <w:bCs w:val="0"/>
              </w:rPr>
            </w:pPr>
            <w:r w:rsidRPr="00F20131">
              <w:rPr>
                <w:b w:val="0"/>
                <w:bCs w:val="0"/>
              </w:rPr>
              <w:t>Humber Pharmacy – CV3 1AT</w:t>
            </w:r>
          </w:p>
        </w:tc>
        <w:tc>
          <w:tcPr>
            <w:tcW w:w="3282" w:type="dxa"/>
            <w:tcBorders>
              <w:top w:val="single" w:sz="4" w:space="0" w:color="auto"/>
              <w:left w:val="single" w:sz="4" w:space="0" w:color="auto"/>
              <w:bottom w:val="single" w:sz="4" w:space="0" w:color="auto"/>
              <w:right w:val="single" w:sz="4" w:space="0" w:color="auto"/>
            </w:tcBorders>
          </w:tcPr>
          <w:p w14:paraId="6081CFA8" w14:textId="7E14202D" w:rsidR="005D72DC" w:rsidRPr="00F20131" w:rsidRDefault="00FA7F04" w:rsidP="00F20131">
            <w:pPr>
              <w:jc w:val="center"/>
              <w:cnfStyle w:val="000000000000" w:firstRow="0" w:lastRow="0" w:firstColumn="0" w:lastColumn="0" w:oddVBand="0" w:evenVBand="0" w:oddHBand="0" w:evenHBand="0" w:firstRowFirstColumn="0" w:firstRowLastColumn="0" w:lastRowFirstColumn="0" w:lastRowLastColumn="0"/>
            </w:pPr>
            <w:r w:rsidRPr="00F20131">
              <w:t>Imperiun Pharmacy</w:t>
            </w:r>
            <w:r w:rsidR="00F13870" w:rsidRPr="00F20131">
              <w:t xml:space="preserve"> – CV6 4HF</w:t>
            </w:r>
          </w:p>
        </w:tc>
        <w:tc>
          <w:tcPr>
            <w:tcW w:w="3396" w:type="dxa"/>
            <w:tcBorders>
              <w:top w:val="single" w:sz="4" w:space="0" w:color="auto"/>
              <w:left w:val="single" w:sz="4" w:space="0" w:color="auto"/>
              <w:bottom w:val="single" w:sz="4" w:space="0" w:color="auto"/>
              <w:right w:val="single" w:sz="4" w:space="0" w:color="auto"/>
            </w:tcBorders>
          </w:tcPr>
          <w:p w14:paraId="6F085B83" w14:textId="4D4CEF10" w:rsidR="005D72DC" w:rsidRPr="00F20131" w:rsidRDefault="00F13870" w:rsidP="00F20131">
            <w:pPr>
              <w:jc w:val="center"/>
              <w:cnfStyle w:val="000000000000" w:firstRow="0" w:lastRow="0" w:firstColumn="0" w:lastColumn="0" w:oddVBand="0" w:evenVBand="0" w:oddHBand="0" w:evenHBand="0" w:firstRowFirstColumn="0" w:firstRowLastColumn="0" w:lastRowFirstColumn="0" w:lastRowLastColumn="0"/>
            </w:pPr>
            <w:r w:rsidRPr="00F20131">
              <w:t>Jhoots Pharmacy – CV6 1HQ</w:t>
            </w:r>
          </w:p>
        </w:tc>
      </w:tr>
      <w:tr w:rsidR="005D72DC" w:rsidRPr="00F20131" w14:paraId="25B2F5A7" w14:textId="77777777" w:rsidTr="00F20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07E458F3" w14:textId="058D7985" w:rsidR="005D72DC" w:rsidRPr="00F20131" w:rsidRDefault="00F13870" w:rsidP="00F20131">
            <w:pPr>
              <w:jc w:val="center"/>
              <w:rPr>
                <w:b w:val="0"/>
                <w:bCs w:val="0"/>
              </w:rPr>
            </w:pPr>
            <w:r w:rsidRPr="00F20131">
              <w:rPr>
                <w:b w:val="0"/>
                <w:bCs w:val="0"/>
              </w:rPr>
              <w:t>Jhoots Pharmacy Torcross – CV2 3NE</w:t>
            </w:r>
          </w:p>
        </w:tc>
        <w:tc>
          <w:tcPr>
            <w:tcW w:w="3282" w:type="dxa"/>
            <w:tcBorders>
              <w:top w:val="single" w:sz="4" w:space="0" w:color="auto"/>
              <w:left w:val="single" w:sz="4" w:space="0" w:color="auto"/>
              <w:bottom w:val="single" w:sz="4" w:space="0" w:color="auto"/>
              <w:right w:val="single" w:sz="4" w:space="0" w:color="auto"/>
            </w:tcBorders>
          </w:tcPr>
          <w:p w14:paraId="5E351FDE" w14:textId="56099F0E" w:rsidR="005D72DC" w:rsidRPr="00F20131" w:rsidRDefault="00F13870" w:rsidP="00F20131">
            <w:pPr>
              <w:jc w:val="center"/>
              <w:cnfStyle w:val="000000100000" w:firstRow="0" w:lastRow="0" w:firstColumn="0" w:lastColumn="0" w:oddVBand="0" w:evenVBand="0" w:oddHBand="1" w:evenHBand="0" w:firstRowFirstColumn="0" w:firstRowLastColumn="0" w:lastRowFirstColumn="0" w:lastRowLastColumn="0"/>
            </w:pPr>
            <w:r w:rsidRPr="00F20131">
              <w:t>Lloyds Pharmacy – CV1 4FS</w:t>
            </w:r>
          </w:p>
        </w:tc>
        <w:tc>
          <w:tcPr>
            <w:tcW w:w="3396" w:type="dxa"/>
            <w:tcBorders>
              <w:top w:val="single" w:sz="4" w:space="0" w:color="auto"/>
              <w:left w:val="single" w:sz="4" w:space="0" w:color="auto"/>
              <w:bottom w:val="single" w:sz="4" w:space="0" w:color="auto"/>
              <w:right w:val="single" w:sz="4" w:space="0" w:color="auto"/>
            </w:tcBorders>
          </w:tcPr>
          <w:p w14:paraId="37146D54" w14:textId="08A8AD90" w:rsidR="005D72DC" w:rsidRPr="00F20131" w:rsidRDefault="00F13870" w:rsidP="00F20131">
            <w:pPr>
              <w:jc w:val="center"/>
              <w:cnfStyle w:val="000000100000" w:firstRow="0" w:lastRow="0" w:firstColumn="0" w:lastColumn="0" w:oddVBand="0" w:evenVBand="0" w:oddHBand="1" w:evenHBand="0" w:firstRowFirstColumn="0" w:firstRowLastColumn="0" w:lastRowFirstColumn="0" w:lastRowLastColumn="0"/>
            </w:pPr>
            <w:r w:rsidRPr="00F20131">
              <w:t>Lloyds Pharmacy Sainsburys – CV6 7NS</w:t>
            </w:r>
          </w:p>
        </w:tc>
      </w:tr>
      <w:tr w:rsidR="005D72DC" w:rsidRPr="00F20131" w14:paraId="01E54CF3" w14:textId="77777777" w:rsidTr="00F20131">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5D86BBBE" w14:textId="06421304" w:rsidR="005D72DC" w:rsidRPr="00F20131" w:rsidRDefault="00F13870" w:rsidP="00F20131">
            <w:pPr>
              <w:jc w:val="center"/>
              <w:rPr>
                <w:b w:val="0"/>
                <w:bCs w:val="0"/>
              </w:rPr>
            </w:pPr>
            <w:r w:rsidRPr="00F20131">
              <w:rPr>
                <w:b w:val="0"/>
                <w:bCs w:val="0"/>
              </w:rPr>
              <w:t>M Hussain Chemist – CV1 5AE</w:t>
            </w:r>
          </w:p>
        </w:tc>
        <w:tc>
          <w:tcPr>
            <w:tcW w:w="3282" w:type="dxa"/>
            <w:tcBorders>
              <w:top w:val="single" w:sz="4" w:space="0" w:color="auto"/>
              <w:left w:val="single" w:sz="4" w:space="0" w:color="auto"/>
              <w:bottom w:val="single" w:sz="4" w:space="0" w:color="auto"/>
              <w:right w:val="single" w:sz="4" w:space="0" w:color="auto"/>
            </w:tcBorders>
          </w:tcPr>
          <w:p w14:paraId="14DD4B15" w14:textId="6CB1D61B" w:rsidR="005D72DC" w:rsidRPr="00F20131" w:rsidRDefault="00497A26" w:rsidP="00F20131">
            <w:pPr>
              <w:jc w:val="center"/>
              <w:cnfStyle w:val="000000000000" w:firstRow="0" w:lastRow="0" w:firstColumn="0" w:lastColumn="0" w:oddVBand="0" w:evenVBand="0" w:oddHBand="0" w:evenHBand="0" w:firstRowFirstColumn="0" w:firstRowLastColumn="0" w:lastRowFirstColumn="0" w:lastRowLastColumn="0"/>
            </w:pPr>
            <w:r w:rsidRPr="00F20131">
              <w:t>Mount Nod Pharmacy – CV5 7NJ</w:t>
            </w:r>
          </w:p>
        </w:tc>
        <w:tc>
          <w:tcPr>
            <w:tcW w:w="3396" w:type="dxa"/>
            <w:tcBorders>
              <w:top w:val="single" w:sz="4" w:space="0" w:color="auto"/>
              <w:left w:val="single" w:sz="4" w:space="0" w:color="auto"/>
              <w:bottom w:val="single" w:sz="4" w:space="0" w:color="auto"/>
              <w:right w:val="single" w:sz="4" w:space="0" w:color="auto"/>
            </w:tcBorders>
          </w:tcPr>
          <w:p w14:paraId="08961D0E" w14:textId="7841A23C" w:rsidR="005D72DC" w:rsidRPr="00F20131" w:rsidRDefault="00497A26" w:rsidP="00F20131">
            <w:pPr>
              <w:jc w:val="center"/>
              <w:cnfStyle w:val="000000000000" w:firstRow="0" w:lastRow="0" w:firstColumn="0" w:lastColumn="0" w:oddVBand="0" w:evenVBand="0" w:oddHBand="0" w:evenHBand="0" w:firstRowFirstColumn="0" w:firstRowLastColumn="0" w:lastRowFirstColumn="0" w:lastRowLastColumn="0"/>
            </w:pPr>
            <w:r w:rsidRPr="00F20131">
              <w:t xml:space="preserve">Styvechale Pharmacy </w:t>
            </w:r>
            <w:r w:rsidR="00781A19" w:rsidRPr="00F20131">
              <w:t>–</w:t>
            </w:r>
            <w:r w:rsidRPr="00F20131">
              <w:t xml:space="preserve"> </w:t>
            </w:r>
            <w:r w:rsidR="00781A19" w:rsidRPr="00F20131">
              <w:t>CV3 6FQ</w:t>
            </w:r>
          </w:p>
        </w:tc>
      </w:tr>
      <w:tr w:rsidR="005D72DC" w:rsidRPr="00F20131" w14:paraId="752DD21F" w14:textId="77777777" w:rsidTr="00F20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54C5B5DB" w14:textId="3D9B095F" w:rsidR="005D72DC" w:rsidRPr="00F20131" w:rsidRDefault="00781A19" w:rsidP="00F20131">
            <w:pPr>
              <w:jc w:val="center"/>
              <w:rPr>
                <w:b w:val="0"/>
                <w:bCs w:val="0"/>
              </w:rPr>
            </w:pPr>
            <w:r w:rsidRPr="00F20131">
              <w:rPr>
                <w:b w:val="0"/>
                <w:bCs w:val="0"/>
              </w:rPr>
              <w:t>Superdrug – CV1 1LF</w:t>
            </w:r>
          </w:p>
        </w:tc>
        <w:tc>
          <w:tcPr>
            <w:tcW w:w="3282" w:type="dxa"/>
            <w:tcBorders>
              <w:top w:val="single" w:sz="4" w:space="0" w:color="auto"/>
              <w:left w:val="single" w:sz="4" w:space="0" w:color="auto"/>
              <w:bottom w:val="single" w:sz="4" w:space="0" w:color="auto"/>
              <w:right w:val="single" w:sz="4" w:space="0" w:color="auto"/>
            </w:tcBorders>
          </w:tcPr>
          <w:p w14:paraId="3FDE7983" w14:textId="2323AD6E" w:rsidR="005D72DC" w:rsidRPr="00F20131" w:rsidRDefault="00781A19" w:rsidP="00F20131">
            <w:pPr>
              <w:jc w:val="center"/>
              <w:cnfStyle w:val="000000100000" w:firstRow="0" w:lastRow="0" w:firstColumn="0" w:lastColumn="0" w:oddVBand="0" w:evenVBand="0" w:oddHBand="1" w:evenHBand="0" w:firstRowFirstColumn="0" w:firstRowLastColumn="0" w:lastRowFirstColumn="0" w:lastRowLastColumn="0"/>
            </w:pPr>
            <w:r w:rsidRPr="00F20131">
              <w:t>Superdrug – CV1 1DL</w:t>
            </w:r>
          </w:p>
        </w:tc>
        <w:tc>
          <w:tcPr>
            <w:tcW w:w="3396" w:type="dxa"/>
            <w:tcBorders>
              <w:top w:val="single" w:sz="4" w:space="0" w:color="auto"/>
              <w:left w:val="single" w:sz="4" w:space="0" w:color="auto"/>
              <w:bottom w:val="single" w:sz="4" w:space="0" w:color="auto"/>
              <w:right w:val="single" w:sz="4" w:space="0" w:color="auto"/>
            </w:tcBorders>
          </w:tcPr>
          <w:p w14:paraId="54E87719" w14:textId="12026004" w:rsidR="005D72DC" w:rsidRPr="00F20131" w:rsidRDefault="00781A19" w:rsidP="00F20131">
            <w:pPr>
              <w:jc w:val="center"/>
              <w:cnfStyle w:val="000000100000" w:firstRow="0" w:lastRow="0" w:firstColumn="0" w:lastColumn="0" w:oddVBand="0" w:evenVBand="0" w:oddHBand="1" w:evenHBand="0" w:firstRowFirstColumn="0" w:firstRowLastColumn="0" w:lastRowFirstColumn="0" w:lastRowLastColumn="0"/>
            </w:pPr>
            <w:r w:rsidRPr="00F20131">
              <w:t>Village Pharmacy – CV7 8JX</w:t>
            </w:r>
          </w:p>
        </w:tc>
      </w:tr>
      <w:tr w:rsidR="00F20131" w:rsidRPr="00F20131" w14:paraId="70D84ABA" w14:textId="77777777" w:rsidTr="00F20131">
        <w:tc>
          <w:tcPr>
            <w:cnfStyle w:val="001000000000" w:firstRow="0" w:lastRow="0" w:firstColumn="1" w:lastColumn="0" w:oddVBand="0" w:evenVBand="0" w:oddHBand="0" w:evenHBand="0" w:firstRowFirstColumn="0" w:firstRowLastColumn="0" w:lastRowFirstColumn="0" w:lastRowLastColumn="0"/>
            <w:tcW w:w="10188" w:type="dxa"/>
            <w:gridSpan w:val="3"/>
            <w:tcBorders>
              <w:top w:val="single" w:sz="4" w:space="0" w:color="auto"/>
              <w:bottom w:val="single" w:sz="4" w:space="0" w:color="auto"/>
            </w:tcBorders>
            <w:shd w:val="clear" w:color="auto" w:fill="477CBF"/>
          </w:tcPr>
          <w:p w14:paraId="4D05C15F" w14:textId="01323D11" w:rsidR="00781A19" w:rsidRPr="00F20131" w:rsidRDefault="00781A19" w:rsidP="002941AF">
            <w:pPr>
              <w:jc w:val="center"/>
              <w:rPr>
                <w:color w:val="FFFFFF" w:themeColor="background1"/>
              </w:rPr>
            </w:pPr>
            <w:r w:rsidRPr="00F20131">
              <w:rPr>
                <w:color w:val="FFFFFF" w:themeColor="background1"/>
              </w:rPr>
              <w:t>Rugby</w:t>
            </w:r>
          </w:p>
        </w:tc>
      </w:tr>
      <w:tr w:rsidR="00781A19" w:rsidRPr="00F20131" w14:paraId="58A08BB6" w14:textId="77777777" w:rsidTr="00F20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1B32CEE5" w14:textId="64FCD52E" w:rsidR="00781A19" w:rsidRPr="00F20131" w:rsidRDefault="001A7227" w:rsidP="00F20131">
            <w:pPr>
              <w:jc w:val="center"/>
              <w:rPr>
                <w:b w:val="0"/>
                <w:bCs w:val="0"/>
              </w:rPr>
            </w:pPr>
            <w:r w:rsidRPr="00F20131">
              <w:rPr>
                <w:b w:val="0"/>
                <w:bCs w:val="0"/>
              </w:rPr>
              <w:t>Lloyds Pharmacy in Sainsburys – CV22 6HU</w:t>
            </w:r>
          </w:p>
        </w:tc>
        <w:tc>
          <w:tcPr>
            <w:tcW w:w="3282" w:type="dxa"/>
            <w:tcBorders>
              <w:top w:val="single" w:sz="4" w:space="0" w:color="auto"/>
              <w:left w:val="single" w:sz="4" w:space="0" w:color="auto"/>
              <w:bottom w:val="single" w:sz="4" w:space="0" w:color="auto"/>
              <w:right w:val="single" w:sz="4" w:space="0" w:color="auto"/>
            </w:tcBorders>
          </w:tcPr>
          <w:p w14:paraId="0737EC0E" w14:textId="1C9B1CD4" w:rsidR="00781A19" w:rsidRPr="00F20131" w:rsidRDefault="001A7227" w:rsidP="00F20131">
            <w:pPr>
              <w:jc w:val="center"/>
              <w:cnfStyle w:val="000000100000" w:firstRow="0" w:lastRow="0" w:firstColumn="0" w:lastColumn="0" w:oddVBand="0" w:evenVBand="0" w:oddHBand="1" w:evenHBand="0" w:firstRowFirstColumn="0" w:firstRowLastColumn="0" w:lastRowFirstColumn="0" w:lastRowLastColumn="0"/>
            </w:pPr>
            <w:r w:rsidRPr="00F20131">
              <w:t>Lloyds Pharmacy – CV21 3AQ</w:t>
            </w:r>
          </w:p>
        </w:tc>
        <w:tc>
          <w:tcPr>
            <w:tcW w:w="3396" w:type="dxa"/>
            <w:tcBorders>
              <w:top w:val="single" w:sz="4" w:space="0" w:color="auto"/>
              <w:left w:val="single" w:sz="4" w:space="0" w:color="auto"/>
              <w:bottom w:val="single" w:sz="4" w:space="0" w:color="auto"/>
              <w:right w:val="single" w:sz="4" w:space="0" w:color="auto"/>
            </w:tcBorders>
          </w:tcPr>
          <w:p w14:paraId="0AED9CAF" w14:textId="4C3351CB" w:rsidR="00781A19" w:rsidRPr="00F20131" w:rsidRDefault="001A7227" w:rsidP="00F20131">
            <w:pPr>
              <w:jc w:val="center"/>
              <w:cnfStyle w:val="000000100000" w:firstRow="0" w:lastRow="0" w:firstColumn="0" w:lastColumn="0" w:oddVBand="0" w:evenVBand="0" w:oddHBand="1" w:evenHBand="0" w:firstRowFirstColumn="0" w:firstRowLastColumn="0" w:lastRowFirstColumn="0" w:lastRowLastColumn="0"/>
            </w:pPr>
            <w:r w:rsidRPr="00F20131">
              <w:t>Paddox Pharmacy – CV22 5BP</w:t>
            </w:r>
          </w:p>
        </w:tc>
      </w:tr>
      <w:tr w:rsidR="001A7227" w:rsidRPr="00F20131" w14:paraId="246485FF" w14:textId="77777777" w:rsidTr="00F20131">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single" w:sz="4" w:space="0" w:color="auto"/>
            </w:tcBorders>
          </w:tcPr>
          <w:p w14:paraId="4D8C63BD" w14:textId="1013D805" w:rsidR="001A7227" w:rsidRPr="00F20131" w:rsidRDefault="001A7227" w:rsidP="00F20131">
            <w:pPr>
              <w:jc w:val="center"/>
              <w:rPr>
                <w:b w:val="0"/>
                <w:bCs w:val="0"/>
              </w:rPr>
            </w:pPr>
            <w:r w:rsidRPr="00F20131">
              <w:rPr>
                <w:b w:val="0"/>
                <w:bCs w:val="0"/>
              </w:rPr>
              <w:t>Well Rugby Health &amp; Wellbeing Centre – CV21 3HX</w:t>
            </w:r>
          </w:p>
        </w:tc>
        <w:tc>
          <w:tcPr>
            <w:tcW w:w="3282" w:type="dxa"/>
            <w:tcBorders>
              <w:top w:val="single" w:sz="4" w:space="0" w:color="auto"/>
              <w:left w:val="single" w:sz="4" w:space="0" w:color="auto"/>
              <w:bottom w:val="single" w:sz="4" w:space="0" w:color="auto"/>
              <w:right w:val="single" w:sz="4" w:space="0" w:color="auto"/>
            </w:tcBorders>
          </w:tcPr>
          <w:p w14:paraId="1DDB1CE8" w14:textId="6848CC3E" w:rsidR="001A7227" w:rsidRPr="00F20131" w:rsidRDefault="001A7227" w:rsidP="00F20131">
            <w:pPr>
              <w:jc w:val="center"/>
              <w:cnfStyle w:val="000000000000" w:firstRow="0" w:lastRow="0" w:firstColumn="0" w:lastColumn="0" w:oddVBand="0" w:evenVBand="0" w:oddHBand="0" w:evenHBand="0" w:firstRowFirstColumn="0" w:firstRowLastColumn="0" w:lastRowFirstColumn="0" w:lastRowLastColumn="0"/>
            </w:pPr>
            <w:r w:rsidRPr="00F20131">
              <w:t>Rowlands – CV21 2AS</w:t>
            </w:r>
          </w:p>
        </w:tc>
        <w:tc>
          <w:tcPr>
            <w:tcW w:w="3396" w:type="dxa"/>
            <w:tcBorders>
              <w:top w:val="single" w:sz="4" w:space="0" w:color="auto"/>
              <w:left w:val="single" w:sz="4" w:space="0" w:color="auto"/>
              <w:bottom w:val="single" w:sz="4" w:space="0" w:color="auto"/>
              <w:right w:val="single" w:sz="4" w:space="0" w:color="auto"/>
            </w:tcBorders>
          </w:tcPr>
          <w:p w14:paraId="79F0C28D" w14:textId="77777777" w:rsidR="001A7227" w:rsidRPr="00F20131" w:rsidRDefault="001A7227" w:rsidP="00F20131">
            <w:pPr>
              <w:jc w:val="center"/>
              <w:cnfStyle w:val="000000000000" w:firstRow="0" w:lastRow="0" w:firstColumn="0" w:lastColumn="0" w:oddVBand="0" w:evenVBand="0" w:oddHBand="0" w:evenHBand="0" w:firstRowFirstColumn="0" w:firstRowLastColumn="0" w:lastRowFirstColumn="0" w:lastRowLastColumn="0"/>
            </w:pPr>
          </w:p>
        </w:tc>
      </w:tr>
    </w:tbl>
    <w:p w14:paraId="0E0EED36" w14:textId="77777777" w:rsidR="00290917" w:rsidRDefault="00290917" w:rsidP="00787F56"/>
    <w:p w14:paraId="09B24F00" w14:textId="6739C21C" w:rsidR="004478B0" w:rsidRDefault="00C67181" w:rsidP="00787F56">
      <w:r>
        <w:t xml:space="preserve">In this service pharmacies will receive referrals to the NHS CPCS from the identified additional </w:t>
      </w:r>
      <w:r w:rsidR="00587C9B">
        <w:t>Urgent and Emergency Care (</w:t>
      </w:r>
      <w:r>
        <w:t>UEC</w:t>
      </w:r>
      <w:r w:rsidR="00587C9B">
        <w:t>)</w:t>
      </w:r>
      <w:r>
        <w:t xml:space="preserve"> settings in the pilot areas</w:t>
      </w:r>
      <w:r w:rsidR="001204FD">
        <w:t xml:space="preserve">, for Coventry this being University Hospital Coventry and Warwickshire (UHCW) and for Warwickshire this being the Urgent Treatment Centre (UTC) at the Hospital of St Cross. </w:t>
      </w:r>
    </w:p>
    <w:p w14:paraId="3579DAE6" w14:textId="352FEE54" w:rsidR="000E4DF1" w:rsidRPr="004813BE" w:rsidRDefault="000E4DF1" w:rsidP="00787F56">
      <w:r>
        <w:lastRenderedPageBreak/>
        <w:t xml:space="preserve">Once the referral has been received by the pharmacy it will be actioned in the same way as referrals made in the CPCS Advanced Service. </w:t>
      </w:r>
      <w:r w:rsidR="00CE232B">
        <w:t xml:space="preserve">This will allow patients with low acuity minor illnesses and requests for urgent repeat medication supplies to be referred to the community pharmacies in the trial. </w:t>
      </w:r>
    </w:p>
    <w:p w14:paraId="4D7ADB34" w14:textId="77777777" w:rsidR="000918D5" w:rsidRDefault="000918D5" w:rsidP="00787F56">
      <w:pPr>
        <w:rPr>
          <w:b/>
          <w:bCs/>
        </w:rPr>
      </w:pPr>
    </w:p>
    <w:p w14:paraId="79479B91" w14:textId="2D52685F" w:rsidR="00C6790E" w:rsidRPr="00C6790E" w:rsidRDefault="00C6790E" w:rsidP="00787F56">
      <w:r>
        <w:rPr>
          <w:b/>
          <w:bCs/>
        </w:rPr>
        <w:t>Conclusion for ED to CPCS Pilot</w:t>
      </w:r>
    </w:p>
    <w:p w14:paraId="1B473DD1" w14:textId="3B02050B" w:rsidR="000C446A" w:rsidRDefault="00FE7B28" w:rsidP="00787F56">
      <w:r>
        <w:t>There will be further decisions made depending on the outcomes of the pilot</w:t>
      </w:r>
      <w:r w:rsidR="001C3B2C">
        <w:t xml:space="preserve"> during the evaluation. </w:t>
      </w:r>
    </w:p>
    <w:p w14:paraId="6FC19D80" w14:textId="77777777" w:rsidR="00E54368" w:rsidRDefault="00E54368" w:rsidP="00787F56">
      <w:pPr>
        <w:rPr>
          <w:color w:val="477CBF"/>
        </w:rPr>
      </w:pPr>
    </w:p>
    <w:p w14:paraId="417083A6" w14:textId="4EA4C0E6" w:rsidR="00B65C13" w:rsidRPr="006C376C" w:rsidRDefault="00B65C13" w:rsidP="00787F56">
      <w:pPr>
        <w:rPr>
          <w:color w:val="477CBF"/>
        </w:rPr>
      </w:pPr>
      <w:r>
        <w:rPr>
          <w:color w:val="477CBF"/>
        </w:rPr>
        <w:t>NHS England Extended Care Service</w:t>
      </w:r>
      <w:r w:rsidR="004C377F">
        <w:rPr>
          <w:color w:val="477CBF"/>
        </w:rPr>
        <w:t xml:space="preserve"> </w:t>
      </w:r>
    </w:p>
    <w:p w14:paraId="0A2CE393" w14:textId="77777777" w:rsidR="001E6827" w:rsidRDefault="00B45F2F" w:rsidP="00787F56">
      <w:r>
        <w:t>The C</w:t>
      </w:r>
      <w:r w:rsidR="001E6827">
        <w:t>ommunity Pharmacy Extended Care Service is provided in 2 Tiers, and aims to provide eligible patients who are registered with a GP contracted to NHS England &amp; Improvement Midlands Region with access to support for the treatment of the following:</w:t>
      </w:r>
    </w:p>
    <w:p w14:paraId="63A478A2" w14:textId="77777777" w:rsidR="001E6827" w:rsidRDefault="001E6827" w:rsidP="00787F56">
      <w:pPr>
        <w:rPr>
          <w:b/>
          <w:bCs/>
        </w:rPr>
      </w:pPr>
      <w:r>
        <w:rPr>
          <w:b/>
          <w:bCs/>
        </w:rPr>
        <w:t>Tier 1:</w:t>
      </w:r>
    </w:p>
    <w:p w14:paraId="5FD22B4B" w14:textId="77777777" w:rsidR="00CA3A84" w:rsidRDefault="00CA3A84" w:rsidP="008D3B10">
      <w:pPr>
        <w:pStyle w:val="ListParagraph"/>
        <w:numPr>
          <w:ilvl w:val="0"/>
          <w:numId w:val="33"/>
        </w:numPr>
      </w:pPr>
      <w:r>
        <w:t>Treatment of simple Urinary Tract Infections (UTI) in females (aged 16-years up to 65-years of age)</w:t>
      </w:r>
    </w:p>
    <w:p w14:paraId="13D1BC0C" w14:textId="77777777" w:rsidR="00CA3A84" w:rsidRDefault="00CA3A84" w:rsidP="008D3B10">
      <w:pPr>
        <w:pStyle w:val="ListParagraph"/>
        <w:numPr>
          <w:ilvl w:val="0"/>
          <w:numId w:val="33"/>
        </w:numPr>
      </w:pPr>
      <w:r>
        <w:t>Treatment of Acute Bacterial Conjunctivitis (for children aged 3-months to 2-years)</w:t>
      </w:r>
    </w:p>
    <w:p w14:paraId="6491A9AE" w14:textId="77777777" w:rsidR="00E23A08" w:rsidRDefault="00E23A08" w:rsidP="00CA3A84">
      <w:pPr>
        <w:rPr>
          <w:b/>
          <w:bCs/>
        </w:rPr>
      </w:pPr>
      <w:r>
        <w:rPr>
          <w:b/>
          <w:bCs/>
        </w:rPr>
        <w:t>Tier 2:</w:t>
      </w:r>
    </w:p>
    <w:p w14:paraId="6F48AAE9" w14:textId="77777777" w:rsidR="00E23A08" w:rsidRDefault="00E23A08" w:rsidP="008D3B10">
      <w:pPr>
        <w:pStyle w:val="ListParagraph"/>
        <w:numPr>
          <w:ilvl w:val="0"/>
          <w:numId w:val="34"/>
        </w:numPr>
      </w:pPr>
      <w:r>
        <w:t>Treatment of Impetigo</w:t>
      </w:r>
    </w:p>
    <w:p w14:paraId="041481DA" w14:textId="77777777" w:rsidR="00E23A08" w:rsidRDefault="00E23A08" w:rsidP="008D3B10">
      <w:pPr>
        <w:pStyle w:val="ListParagraph"/>
        <w:numPr>
          <w:ilvl w:val="0"/>
          <w:numId w:val="34"/>
        </w:numPr>
      </w:pPr>
      <w:r>
        <w:t>Treatment of Infected Insect Bites</w:t>
      </w:r>
    </w:p>
    <w:p w14:paraId="61A5AB59" w14:textId="77777777" w:rsidR="00E23A08" w:rsidRDefault="00E23A08" w:rsidP="008D3B10">
      <w:pPr>
        <w:pStyle w:val="ListParagraph"/>
        <w:numPr>
          <w:ilvl w:val="0"/>
          <w:numId w:val="34"/>
        </w:numPr>
      </w:pPr>
      <w:r>
        <w:t>Treatment of Infected Eczema</w:t>
      </w:r>
    </w:p>
    <w:p w14:paraId="60653C57" w14:textId="77777777" w:rsidR="00EC185C" w:rsidRDefault="00EC185C" w:rsidP="00E23A08">
      <w:r>
        <w:t>The overall aims of the service are to:</w:t>
      </w:r>
    </w:p>
    <w:p w14:paraId="55F94A1F" w14:textId="77777777" w:rsidR="00EC185C" w:rsidRDefault="00EC185C" w:rsidP="008D3B10">
      <w:pPr>
        <w:pStyle w:val="ListParagraph"/>
        <w:numPr>
          <w:ilvl w:val="0"/>
          <w:numId w:val="35"/>
        </w:numPr>
      </w:pPr>
      <w:r>
        <w:t>Educate patients to seek advice and treatment from the most appropriate healthcare setting</w:t>
      </w:r>
    </w:p>
    <w:p w14:paraId="39B4A2C2" w14:textId="77777777" w:rsidR="00EC185C" w:rsidRDefault="00EC185C" w:rsidP="008D3B10">
      <w:pPr>
        <w:pStyle w:val="ListParagraph"/>
        <w:numPr>
          <w:ilvl w:val="0"/>
          <w:numId w:val="35"/>
        </w:numPr>
      </w:pPr>
      <w:r>
        <w:t>Improve patient’s access to advice and appropriate treatment for these ailments via community pharmacy</w:t>
      </w:r>
    </w:p>
    <w:p w14:paraId="2C590E50" w14:textId="77777777" w:rsidR="00EC185C" w:rsidRDefault="00EC185C" w:rsidP="008D3B10">
      <w:pPr>
        <w:pStyle w:val="ListParagraph"/>
        <w:numPr>
          <w:ilvl w:val="0"/>
          <w:numId w:val="35"/>
        </w:numPr>
      </w:pPr>
      <w:r>
        <w:t>Reduce GP workload for these ailments allowing greater focus on more complex and urgent medical conditions</w:t>
      </w:r>
    </w:p>
    <w:p w14:paraId="360347EC" w14:textId="77777777" w:rsidR="00EC185C" w:rsidRDefault="00EC185C" w:rsidP="008D3B10">
      <w:pPr>
        <w:pStyle w:val="ListParagraph"/>
        <w:numPr>
          <w:ilvl w:val="0"/>
          <w:numId w:val="35"/>
        </w:numPr>
      </w:pPr>
      <w:r>
        <w:t>Educate patients with aim of reducing requests for inappropriate supplies of antibiotics</w:t>
      </w:r>
    </w:p>
    <w:p w14:paraId="15F67236" w14:textId="77777777" w:rsidR="00EC185C" w:rsidRDefault="00EC185C" w:rsidP="008D3B10">
      <w:pPr>
        <w:pStyle w:val="ListParagraph"/>
        <w:numPr>
          <w:ilvl w:val="0"/>
          <w:numId w:val="35"/>
        </w:numPr>
      </w:pPr>
      <w:r>
        <w:t>Promote the role of the pharmacist and self-care</w:t>
      </w:r>
    </w:p>
    <w:p w14:paraId="694DA76D" w14:textId="77777777" w:rsidR="00EC185C" w:rsidRDefault="00EC185C" w:rsidP="008D3B10">
      <w:pPr>
        <w:pStyle w:val="ListParagraph"/>
        <w:numPr>
          <w:ilvl w:val="0"/>
          <w:numId w:val="35"/>
        </w:numPr>
      </w:pPr>
      <w:r>
        <w:t>Improve working relationships between doctors and pharmacists</w:t>
      </w:r>
    </w:p>
    <w:p w14:paraId="7E4227D7" w14:textId="6BDE5618" w:rsidR="0048652E" w:rsidRDefault="00F25A59" w:rsidP="0048652E">
      <w:r>
        <w:lastRenderedPageBreak/>
        <w:t>50</w:t>
      </w:r>
      <w:r w:rsidR="0048652E">
        <w:t xml:space="preserve"> pharmacies in Coventry and </w:t>
      </w:r>
      <w:r>
        <w:t xml:space="preserve">61 pharmacies in </w:t>
      </w:r>
      <w:r w:rsidR="0048652E">
        <w:t>Warwickshire</w:t>
      </w:r>
      <w:r w:rsidR="00216047">
        <w:t xml:space="preserve"> </w:t>
      </w:r>
      <w:r w:rsidR="0048652E">
        <w:t xml:space="preserve">currently provide UTI treatment under Tier 1 and </w:t>
      </w:r>
      <w:r w:rsidR="00FC32E0">
        <w:t>44 pharmacies in Coventry and 58 pharmacies in Warwickshire</w:t>
      </w:r>
      <w:r w:rsidR="00E42575">
        <w:t xml:space="preserve"> currently provide Acute Bacterial Conjunctivitis treatment under Tier 1. </w:t>
      </w:r>
    </w:p>
    <w:p w14:paraId="54C6926B" w14:textId="6E682733" w:rsidR="00E42575" w:rsidRDefault="003E27EC" w:rsidP="0048652E">
      <w:r>
        <w:t>33</w:t>
      </w:r>
      <w:r w:rsidR="00E42575">
        <w:t xml:space="preserve"> pharmacies in Coventry and </w:t>
      </w:r>
      <w:r>
        <w:t xml:space="preserve">41 pharmacies in </w:t>
      </w:r>
      <w:r w:rsidR="00E42575">
        <w:t>Warwickshire</w:t>
      </w:r>
      <w:r w:rsidR="00B626E6">
        <w:t xml:space="preserve"> currently provide Tier 2</w:t>
      </w:r>
      <w:r w:rsidR="00216047">
        <w:t xml:space="preserve"> treatments. </w:t>
      </w:r>
    </w:p>
    <w:p w14:paraId="7DE4961C" w14:textId="1BEEF30E" w:rsidR="002C379F" w:rsidRDefault="00EC185C" w:rsidP="00787F56">
      <w:pPr>
        <w:rPr>
          <w:b/>
          <w:bCs/>
        </w:rPr>
      </w:pPr>
      <w:r>
        <w:rPr>
          <w:b/>
          <w:bCs/>
        </w:rPr>
        <w:t>Conclusion for Extended Care Services</w:t>
      </w:r>
    </w:p>
    <w:p w14:paraId="195A49AD" w14:textId="77777777" w:rsidR="00996C5C" w:rsidRDefault="002C379F" w:rsidP="00787F56">
      <w:r>
        <w:t xml:space="preserve">No gaps in this service have been identified from the information available. </w:t>
      </w:r>
    </w:p>
    <w:p w14:paraId="3BFFC36F" w14:textId="77777777" w:rsidR="00996C5C" w:rsidRDefault="00996C5C" w:rsidP="00787F56"/>
    <w:p w14:paraId="3A8EDF4F" w14:textId="429AD2CF" w:rsidR="00996C5C" w:rsidRPr="006C376C" w:rsidRDefault="00745AE4" w:rsidP="00996C5C">
      <w:pPr>
        <w:rPr>
          <w:color w:val="477CBF"/>
        </w:rPr>
      </w:pPr>
      <w:r>
        <w:rPr>
          <w:color w:val="477CBF"/>
        </w:rPr>
        <w:t xml:space="preserve">COVID-19 Vaccination National Enhanced </w:t>
      </w:r>
      <w:r w:rsidR="00A508BA">
        <w:rPr>
          <w:color w:val="477CBF"/>
        </w:rPr>
        <w:t>Service</w:t>
      </w:r>
      <w:r w:rsidR="00581830">
        <w:rPr>
          <w:color w:val="477CBF"/>
        </w:rPr>
        <w:t xml:space="preserve"> (Phase 5)</w:t>
      </w:r>
    </w:p>
    <w:p w14:paraId="79472CCE" w14:textId="7609626D" w:rsidR="00996C5C" w:rsidRDefault="00A508BA" w:rsidP="00787F56">
      <w:r>
        <w:t>From Autumn 2022 the COVID-19 vaccination service will be commissioned as a National Enhanced Service (NES)</w:t>
      </w:r>
      <w:r w:rsidR="00986869">
        <w:t xml:space="preserve"> with </w:t>
      </w:r>
      <w:r w:rsidR="007E147A">
        <w:t xml:space="preserve">community pharmacy contractors being selected locally to provide the service to meet the needs of the population. </w:t>
      </w:r>
      <w:r w:rsidR="00A472E2">
        <w:t>The service is planned to commence on 1</w:t>
      </w:r>
      <w:r w:rsidR="00A472E2" w:rsidRPr="00A472E2">
        <w:rPr>
          <w:vertAlign w:val="superscript"/>
        </w:rPr>
        <w:t>st</w:t>
      </w:r>
      <w:r w:rsidR="00A472E2">
        <w:t xml:space="preserve"> September 2022 </w:t>
      </w:r>
      <w:r w:rsidR="002340F5">
        <w:t xml:space="preserve">and will be supported by national Patient Group Directions and national protocols. </w:t>
      </w:r>
    </w:p>
    <w:p w14:paraId="400AA5CB" w14:textId="4F5F4B0A" w:rsidR="00A40CEA" w:rsidRPr="00A40CEA" w:rsidRDefault="00E42D90" w:rsidP="00E42D90">
      <w:pPr>
        <w:rPr>
          <w:rFonts w:ascii="Calibri" w:hAnsi="Calibri"/>
          <w:sz w:val="22"/>
        </w:rPr>
      </w:pPr>
      <w:r>
        <w:t xml:space="preserve">There are a mix of pharmacies operating from their usual location, and some operating out of temporary non-NHS sites in order to outreach into communities where there may be lower take up or a gap in provision. </w:t>
      </w: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4922"/>
        <w:gridCol w:w="2176"/>
      </w:tblGrid>
      <w:tr w:rsidR="00F15F22" w:rsidRPr="00F15F22" w14:paraId="5D50F9D1" w14:textId="77777777" w:rsidTr="00F15F22">
        <w:trPr>
          <w:trHeight w:val="230"/>
        </w:trPr>
        <w:tc>
          <w:tcPr>
            <w:tcW w:w="3260" w:type="dxa"/>
            <w:shd w:val="clear" w:color="auto" w:fill="0070C0"/>
            <w:tcMar>
              <w:top w:w="10" w:type="dxa"/>
              <w:left w:w="10" w:type="dxa"/>
              <w:bottom w:w="0" w:type="dxa"/>
              <w:right w:w="10" w:type="dxa"/>
            </w:tcMar>
            <w:vAlign w:val="center"/>
            <w:hideMark/>
          </w:tcPr>
          <w:p w14:paraId="13879648" w14:textId="77777777" w:rsidR="00F15F22" w:rsidRPr="00F15F22" w:rsidRDefault="00F15F22">
            <w:pPr>
              <w:rPr>
                <w:sz w:val="22"/>
                <w:szCs w:val="18"/>
              </w:rPr>
            </w:pPr>
            <w:r w:rsidRPr="00F15F22">
              <w:rPr>
                <w:color w:val="000000"/>
                <w:sz w:val="22"/>
                <w:szCs w:val="18"/>
              </w:rPr>
              <w:t>Site name</w:t>
            </w:r>
          </w:p>
        </w:tc>
        <w:tc>
          <w:tcPr>
            <w:tcW w:w="4922" w:type="dxa"/>
            <w:shd w:val="clear" w:color="auto" w:fill="0070C0"/>
            <w:tcMar>
              <w:top w:w="10" w:type="dxa"/>
              <w:left w:w="10" w:type="dxa"/>
              <w:bottom w:w="0" w:type="dxa"/>
              <w:right w:w="10" w:type="dxa"/>
            </w:tcMar>
            <w:vAlign w:val="center"/>
            <w:hideMark/>
          </w:tcPr>
          <w:p w14:paraId="539CFD21" w14:textId="77777777" w:rsidR="00F15F22" w:rsidRPr="00F15F22" w:rsidRDefault="00F15F22">
            <w:pPr>
              <w:rPr>
                <w:sz w:val="22"/>
                <w:szCs w:val="18"/>
              </w:rPr>
            </w:pPr>
            <w:r w:rsidRPr="00F15F22">
              <w:rPr>
                <w:color w:val="000000"/>
                <w:sz w:val="22"/>
                <w:szCs w:val="18"/>
              </w:rPr>
              <w:t>Site Address</w:t>
            </w:r>
          </w:p>
        </w:tc>
        <w:tc>
          <w:tcPr>
            <w:tcW w:w="2176" w:type="dxa"/>
            <w:shd w:val="clear" w:color="auto" w:fill="0070C0"/>
            <w:tcMar>
              <w:top w:w="10" w:type="dxa"/>
              <w:left w:w="10" w:type="dxa"/>
              <w:bottom w:w="0" w:type="dxa"/>
              <w:right w:w="10" w:type="dxa"/>
            </w:tcMar>
            <w:vAlign w:val="center"/>
            <w:hideMark/>
          </w:tcPr>
          <w:p w14:paraId="48A7C4F0" w14:textId="77777777" w:rsidR="00F15F22" w:rsidRPr="00F15F22" w:rsidRDefault="00F15F22">
            <w:pPr>
              <w:rPr>
                <w:sz w:val="22"/>
                <w:szCs w:val="18"/>
              </w:rPr>
            </w:pPr>
            <w:r w:rsidRPr="00F15F22">
              <w:rPr>
                <w:color w:val="000000"/>
                <w:sz w:val="22"/>
                <w:szCs w:val="18"/>
              </w:rPr>
              <w:t>Site Postcode</w:t>
            </w:r>
          </w:p>
        </w:tc>
      </w:tr>
      <w:tr w:rsidR="00F15F22" w:rsidRPr="00F15F22" w14:paraId="1FCF5C4A" w14:textId="795E7CEC" w:rsidTr="00F15F22">
        <w:trPr>
          <w:trHeight w:val="546"/>
        </w:trPr>
        <w:tc>
          <w:tcPr>
            <w:tcW w:w="3260" w:type="dxa"/>
            <w:tcMar>
              <w:top w:w="10" w:type="dxa"/>
              <w:left w:w="10" w:type="dxa"/>
              <w:bottom w:w="0" w:type="dxa"/>
              <w:right w:w="10" w:type="dxa"/>
            </w:tcMar>
            <w:vAlign w:val="center"/>
            <w:hideMark/>
          </w:tcPr>
          <w:p w14:paraId="60951C1C" w14:textId="77777777" w:rsidR="00F15F22" w:rsidRPr="00F15F22" w:rsidRDefault="00F15F22">
            <w:pPr>
              <w:rPr>
                <w:sz w:val="22"/>
                <w:szCs w:val="18"/>
              </w:rPr>
            </w:pPr>
            <w:r w:rsidRPr="00F15F22">
              <w:rPr>
                <w:sz w:val="22"/>
                <w:szCs w:val="18"/>
              </w:rPr>
              <w:t>Abbeygate Shopping Centre (Pharmacy2U)</w:t>
            </w:r>
          </w:p>
        </w:tc>
        <w:tc>
          <w:tcPr>
            <w:tcW w:w="4922" w:type="dxa"/>
            <w:tcMar>
              <w:top w:w="10" w:type="dxa"/>
              <w:left w:w="10" w:type="dxa"/>
              <w:bottom w:w="0" w:type="dxa"/>
              <w:right w:w="10" w:type="dxa"/>
            </w:tcMar>
            <w:vAlign w:val="center"/>
            <w:hideMark/>
          </w:tcPr>
          <w:p w14:paraId="53643E27" w14:textId="77777777" w:rsidR="00F15F22" w:rsidRPr="00F15F22" w:rsidRDefault="00F15F22">
            <w:pPr>
              <w:rPr>
                <w:sz w:val="22"/>
                <w:szCs w:val="18"/>
              </w:rPr>
            </w:pPr>
            <w:r w:rsidRPr="00F15F22">
              <w:rPr>
                <w:sz w:val="22"/>
                <w:szCs w:val="18"/>
              </w:rPr>
              <w:t>Unit 17, Abbey Street, Abbeygate Shopping Centre, Nuneaton</w:t>
            </w:r>
          </w:p>
        </w:tc>
        <w:tc>
          <w:tcPr>
            <w:tcW w:w="2176" w:type="dxa"/>
          </w:tcPr>
          <w:p w14:paraId="38EB5089" w14:textId="104B988E" w:rsidR="00F15F22" w:rsidRPr="00F15F22" w:rsidRDefault="00F15F22">
            <w:pPr>
              <w:rPr>
                <w:sz w:val="22"/>
                <w:szCs w:val="18"/>
              </w:rPr>
            </w:pPr>
            <w:r w:rsidRPr="00F15F22">
              <w:rPr>
                <w:sz w:val="22"/>
                <w:szCs w:val="18"/>
              </w:rPr>
              <w:t>CV11 4HL</w:t>
            </w:r>
          </w:p>
        </w:tc>
      </w:tr>
      <w:tr w:rsidR="00F15F22" w:rsidRPr="00F15F22" w14:paraId="107D1B59" w14:textId="77777777" w:rsidTr="00F15F22">
        <w:trPr>
          <w:trHeight w:val="367"/>
        </w:trPr>
        <w:tc>
          <w:tcPr>
            <w:tcW w:w="3260" w:type="dxa"/>
            <w:tcMar>
              <w:top w:w="10" w:type="dxa"/>
              <w:left w:w="10" w:type="dxa"/>
              <w:bottom w:w="0" w:type="dxa"/>
              <w:right w:w="10" w:type="dxa"/>
            </w:tcMar>
            <w:vAlign w:val="center"/>
            <w:hideMark/>
          </w:tcPr>
          <w:p w14:paraId="301731DA" w14:textId="77777777" w:rsidR="00F15F22" w:rsidRPr="00F15F22" w:rsidRDefault="00F15F22">
            <w:pPr>
              <w:rPr>
                <w:sz w:val="22"/>
                <w:szCs w:val="18"/>
              </w:rPr>
            </w:pPr>
            <w:r w:rsidRPr="00F15F22">
              <w:rPr>
                <w:sz w:val="22"/>
                <w:szCs w:val="18"/>
              </w:rPr>
              <w:t>Acorn Pharmacy - Coventry</w:t>
            </w:r>
          </w:p>
        </w:tc>
        <w:tc>
          <w:tcPr>
            <w:tcW w:w="4922" w:type="dxa"/>
            <w:tcMar>
              <w:top w:w="10" w:type="dxa"/>
              <w:left w:w="10" w:type="dxa"/>
              <w:bottom w:w="0" w:type="dxa"/>
              <w:right w:w="10" w:type="dxa"/>
            </w:tcMar>
            <w:vAlign w:val="center"/>
            <w:hideMark/>
          </w:tcPr>
          <w:p w14:paraId="04E05124" w14:textId="77777777" w:rsidR="00F15F22" w:rsidRPr="00F15F22" w:rsidRDefault="00F15F22">
            <w:pPr>
              <w:rPr>
                <w:sz w:val="22"/>
                <w:szCs w:val="18"/>
              </w:rPr>
            </w:pPr>
            <w:r w:rsidRPr="00F15F22">
              <w:rPr>
                <w:sz w:val="22"/>
                <w:szCs w:val="18"/>
              </w:rPr>
              <w:t>Unit 2 Remembrance Rd, Coventry</w:t>
            </w:r>
          </w:p>
        </w:tc>
        <w:tc>
          <w:tcPr>
            <w:tcW w:w="2176" w:type="dxa"/>
            <w:tcMar>
              <w:top w:w="10" w:type="dxa"/>
              <w:left w:w="10" w:type="dxa"/>
              <w:bottom w:w="0" w:type="dxa"/>
              <w:right w:w="10" w:type="dxa"/>
            </w:tcMar>
            <w:vAlign w:val="center"/>
            <w:hideMark/>
          </w:tcPr>
          <w:p w14:paraId="2C95767F" w14:textId="77777777" w:rsidR="00F15F22" w:rsidRPr="00F15F22" w:rsidRDefault="00F15F22">
            <w:pPr>
              <w:rPr>
                <w:sz w:val="22"/>
                <w:szCs w:val="18"/>
              </w:rPr>
            </w:pPr>
            <w:r w:rsidRPr="00F15F22">
              <w:rPr>
                <w:sz w:val="22"/>
                <w:szCs w:val="18"/>
              </w:rPr>
              <w:t>CV3 3DP</w:t>
            </w:r>
          </w:p>
        </w:tc>
      </w:tr>
      <w:tr w:rsidR="00F15F22" w:rsidRPr="00F15F22" w14:paraId="2031255E" w14:textId="77777777" w:rsidTr="00F15F22">
        <w:trPr>
          <w:trHeight w:val="367"/>
        </w:trPr>
        <w:tc>
          <w:tcPr>
            <w:tcW w:w="3260" w:type="dxa"/>
            <w:tcMar>
              <w:top w:w="10" w:type="dxa"/>
              <w:left w:w="10" w:type="dxa"/>
              <w:bottom w:w="0" w:type="dxa"/>
              <w:right w:w="10" w:type="dxa"/>
            </w:tcMar>
            <w:vAlign w:val="center"/>
            <w:hideMark/>
          </w:tcPr>
          <w:p w14:paraId="43996076" w14:textId="77777777" w:rsidR="00F15F22" w:rsidRPr="00F15F22" w:rsidRDefault="00F15F22">
            <w:pPr>
              <w:rPr>
                <w:sz w:val="22"/>
                <w:szCs w:val="18"/>
              </w:rPr>
            </w:pPr>
            <w:r w:rsidRPr="00F15F22">
              <w:rPr>
                <w:sz w:val="22"/>
                <w:szCs w:val="18"/>
              </w:rPr>
              <w:t>Allesley Pharmacy</w:t>
            </w:r>
          </w:p>
        </w:tc>
        <w:tc>
          <w:tcPr>
            <w:tcW w:w="4922" w:type="dxa"/>
            <w:tcMar>
              <w:top w:w="10" w:type="dxa"/>
              <w:left w:w="10" w:type="dxa"/>
              <w:bottom w:w="0" w:type="dxa"/>
              <w:right w:w="10" w:type="dxa"/>
            </w:tcMar>
            <w:vAlign w:val="center"/>
            <w:hideMark/>
          </w:tcPr>
          <w:p w14:paraId="6E165945" w14:textId="77777777" w:rsidR="00F15F22" w:rsidRPr="00F15F22" w:rsidRDefault="00F15F22">
            <w:pPr>
              <w:rPr>
                <w:sz w:val="22"/>
                <w:szCs w:val="18"/>
              </w:rPr>
            </w:pPr>
            <w:r w:rsidRPr="00F15F22">
              <w:rPr>
                <w:sz w:val="22"/>
                <w:szCs w:val="18"/>
              </w:rPr>
              <w:t>132-134 Birmingham Rd, Allesley, Coventry</w:t>
            </w:r>
          </w:p>
        </w:tc>
        <w:tc>
          <w:tcPr>
            <w:tcW w:w="2176" w:type="dxa"/>
            <w:tcMar>
              <w:top w:w="10" w:type="dxa"/>
              <w:left w:w="10" w:type="dxa"/>
              <w:bottom w:w="0" w:type="dxa"/>
              <w:right w:w="10" w:type="dxa"/>
            </w:tcMar>
            <w:vAlign w:val="center"/>
            <w:hideMark/>
          </w:tcPr>
          <w:p w14:paraId="6A6B9411" w14:textId="77777777" w:rsidR="00F15F22" w:rsidRPr="00F15F22" w:rsidRDefault="00F15F22">
            <w:pPr>
              <w:rPr>
                <w:sz w:val="22"/>
                <w:szCs w:val="18"/>
              </w:rPr>
            </w:pPr>
            <w:r w:rsidRPr="00F15F22">
              <w:rPr>
                <w:sz w:val="22"/>
                <w:szCs w:val="18"/>
              </w:rPr>
              <w:t>CV5 9HA</w:t>
            </w:r>
          </w:p>
        </w:tc>
      </w:tr>
      <w:tr w:rsidR="00F15F22" w:rsidRPr="00F15F22" w14:paraId="36E3631F" w14:textId="77777777" w:rsidTr="00F15F22">
        <w:trPr>
          <w:trHeight w:val="203"/>
        </w:trPr>
        <w:tc>
          <w:tcPr>
            <w:tcW w:w="3260" w:type="dxa"/>
            <w:tcMar>
              <w:top w:w="10" w:type="dxa"/>
              <w:left w:w="10" w:type="dxa"/>
              <w:bottom w:w="0" w:type="dxa"/>
              <w:right w:w="10" w:type="dxa"/>
            </w:tcMar>
            <w:vAlign w:val="center"/>
            <w:hideMark/>
          </w:tcPr>
          <w:p w14:paraId="1ABBF9D9" w14:textId="77777777" w:rsidR="00F15F22" w:rsidRPr="00F15F22" w:rsidRDefault="00F15F22">
            <w:pPr>
              <w:rPr>
                <w:sz w:val="22"/>
                <w:szCs w:val="18"/>
              </w:rPr>
            </w:pPr>
            <w:r w:rsidRPr="00F15F22">
              <w:rPr>
                <w:sz w:val="22"/>
                <w:szCs w:val="18"/>
              </w:rPr>
              <w:t>Brownsover Community Centre (Lister Chemists)</w:t>
            </w:r>
          </w:p>
        </w:tc>
        <w:tc>
          <w:tcPr>
            <w:tcW w:w="4922" w:type="dxa"/>
            <w:tcMar>
              <w:top w:w="10" w:type="dxa"/>
              <w:left w:w="10" w:type="dxa"/>
              <w:bottom w:w="0" w:type="dxa"/>
              <w:right w:w="10" w:type="dxa"/>
            </w:tcMar>
            <w:vAlign w:val="center"/>
            <w:hideMark/>
          </w:tcPr>
          <w:p w14:paraId="386CB21B" w14:textId="77777777" w:rsidR="00F15F22" w:rsidRPr="00F15F22" w:rsidRDefault="00F15F22">
            <w:pPr>
              <w:rPr>
                <w:sz w:val="22"/>
                <w:szCs w:val="18"/>
              </w:rPr>
            </w:pPr>
            <w:r w:rsidRPr="00F15F22">
              <w:rPr>
                <w:sz w:val="22"/>
                <w:szCs w:val="18"/>
              </w:rPr>
              <w:t>Bow Fell, Brownsover, Rugby</w:t>
            </w:r>
          </w:p>
        </w:tc>
        <w:tc>
          <w:tcPr>
            <w:tcW w:w="2176" w:type="dxa"/>
            <w:tcMar>
              <w:top w:w="10" w:type="dxa"/>
              <w:left w:w="10" w:type="dxa"/>
              <w:bottom w:w="0" w:type="dxa"/>
              <w:right w:w="10" w:type="dxa"/>
            </w:tcMar>
            <w:vAlign w:val="center"/>
            <w:hideMark/>
          </w:tcPr>
          <w:p w14:paraId="3CF97918" w14:textId="77777777" w:rsidR="00F15F22" w:rsidRPr="00F15F22" w:rsidRDefault="00F15F22">
            <w:pPr>
              <w:rPr>
                <w:sz w:val="22"/>
                <w:szCs w:val="18"/>
              </w:rPr>
            </w:pPr>
            <w:r w:rsidRPr="00F15F22">
              <w:rPr>
                <w:sz w:val="22"/>
                <w:szCs w:val="18"/>
              </w:rPr>
              <w:t>CV21 1JF</w:t>
            </w:r>
          </w:p>
        </w:tc>
      </w:tr>
      <w:tr w:rsidR="00F15F22" w:rsidRPr="00F15F22" w14:paraId="3DADFAAD" w14:textId="77777777" w:rsidTr="00F15F22">
        <w:trPr>
          <w:trHeight w:val="203"/>
        </w:trPr>
        <w:tc>
          <w:tcPr>
            <w:tcW w:w="3260" w:type="dxa"/>
            <w:tcMar>
              <w:top w:w="10" w:type="dxa"/>
              <w:left w:w="10" w:type="dxa"/>
              <w:bottom w:w="0" w:type="dxa"/>
              <w:right w:w="10" w:type="dxa"/>
            </w:tcMar>
            <w:vAlign w:val="center"/>
            <w:hideMark/>
          </w:tcPr>
          <w:p w14:paraId="5D812527" w14:textId="77777777" w:rsidR="00F15F22" w:rsidRPr="00F15F22" w:rsidRDefault="00F15F22">
            <w:pPr>
              <w:rPr>
                <w:sz w:val="22"/>
                <w:szCs w:val="18"/>
              </w:rPr>
            </w:pPr>
            <w:r w:rsidRPr="00F15F22">
              <w:rPr>
                <w:sz w:val="22"/>
                <w:szCs w:val="18"/>
              </w:rPr>
              <w:t>Coventry Community Resource Centre (Express Meds)</w:t>
            </w:r>
          </w:p>
        </w:tc>
        <w:tc>
          <w:tcPr>
            <w:tcW w:w="4922" w:type="dxa"/>
            <w:tcMar>
              <w:top w:w="10" w:type="dxa"/>
              <w:left w:w="10" w:type="dxa"/>
              <w:bottom w:w="0" w:type="dxa"/>
              <w:right w:w="10" w:type="dxa"/>
            </w:tcMar>
            <w:vAlign w:val="center"/>
            <w:hideMark/>
          </w:tcPr>
          <w:p w14:paraId="3E7B2ED9" w14:textId="77777777" w:rsidR="00F15F22" w:rsidRPr="00F15F22" w:rsidRDefault="00F15F22">
            <w:pPr>
              <w:rPr>
                <w:sz w:val="22"/>
                <w:szCs w:val="18"/>
              </w:rPr>
            </w:pPr>
            <w:r w:rsidRPr="00F15F22">
              <w:rPr>
                <w:sz w:val="22"/>
                <w:szCs w:val="18"/>
              </w:rPr>
              <w:t>Red Lane, Coventry</w:t>
            </w:r>
          </w:p>
        </w:tc>
        <w:tc>
          <w:tcPr>
            <w:tcW w:w="2176" w:type="dxa"/>
            <w:tcMar>
              <w:top w:w="10" w:type="dxa"/>
              <w:left w:w="10" w:type="dxa"/>
              <w:bottom w:w="0" w:type="dxa"/>
              <w:right w:w="10" w:type="dxa"/>
            </w:tcMar>
            <w:vAlign w:val="center"/>
            <w:hideMark/>
          </w:tcPr>
          <w:p w14:paraId="16C100F8" w14:textId="77777777" w:rsidR="00F15F22" w:rsidRPr="00F15F22" w:rsidRDefault="00F15F22">
            <w:pPr>
              <w:rPr>
                <w:sz w:val="22"/>
                <w:szCs w:val="18"/>
              </w:rPr>
            </w:pPr>
            <w:r w:rsidRPr="00F15F22">
              <w:rPr>
                <w:sz w:val="22"/>
                <w:szCs w:val="18"/>
              </w:rPr>
              <w:t>CV6 5EE</w:t>
            </w:r>
          </w:p>
        </w:tc>
      </w:tr>
      <w:tr w:rsidR="00F15F22" w:rsidRPr="00F15F22" w14:paraId="2345CFC5" w14:textId="77777777" w:rsidTr="00F15F22">
        <w:trPr>
          <w:trHeight w:val="367"/>
        </w:trPr>
        <w:tc>
          <w:tcPr>
            <w:tcW w:w="3260" w:type="dxa"/>
            <w:tcMar>
              <w:top w:w="10" w:type="dxa"/>
              <w:left w:w="10" w:type="dxa"/>
              <w:bottom w:w="0" w:type="dxa"/>
              <w:right w:w="10" w:type="dxa"/>
            </w:tcMar>
            <w:vAlign w:val="center"/>
            <w:hideMark/>
          </w:tcPr>
          <w:p w14:paraId="1F8A2113" w14:textId="77777777" w:rsidR="00F15F22" w:rsidRPr="00F15F22" w:rsidRDefault="00F15F22">
            <w:pPr>
              <w:rPr>
                <w:sz w:val="22"/>
                <w:szCs w:val="18"/>
              </w:rPr>
            </w:pPr>
            <w:r w:rsidRPr="00F15F22">
              <w:rPr>
                <w:sz w:val="22"/>
                <w:szCs w:val="18"/>
              </w:rPr>
              <w:t>Hb Dunn Chemists - Leamington Spa</w:t>
            </w:r>
          </w:p>
        </w:tc>
        <w:tc>
          <w:tcPr>
            <w:tcW w:w="4922" w:type="dxa"/>
            <w:tcMar>
              <w:top w:w="10" w:type="dxa"/>
              <w:left w:w="10" w:type="dxa"/>
              <w:bottom w:w="0" w:type="dxa"/>
              <w:right w:w="10" w:type="dxa"/>
            </w:tcMar>
            <w:vAlign w:val="center"/>
            <w:hideMark/>
          </w:tcPr>
          <w:p w14:paraId="1123ABD9" w14:textId="77777777" w:rsidR="00F15F22" w:rsidRPr="00F15F22" w:rsidRDefault="00F15F22">
            <w:pPr>
              <w:rPr>
                <w:sz w:val="22"/>
                <w:szCs w:val="18"/>
              </w:rPr>
            </w:pPr>
            <w:r w:rsidRPr="00F15F22">
              <w:rPr>
                <w:sz w:val="22"/>
                <w:szCs w:val="18"/>
              </w:rPr>
              <w:t>31-33 Oxford St, Leamington Spa</w:t>
            </w:r>
          </w:p>
        </w:tc>
        <w:tc>
          <w:tcPr>
            <w:tcW w:w="2176" w:type="dxa"/>
            <w:tcMar>
              <w:top w:w="10" w:type="dxa"/>
              <w:left w:w="10" w:type="dxa"/>
              <w:bottom w:w="0" w:type="dxa"/>
              <w:right w:w="10" w:type="dxa"/>
            </w:tcMar>
            <w:vAlign w:val="center"/>
            <w:hideMark/>
          </w:tcPr>
          <w:p w14:paraId="2084646C" w14:textId="77777777" w:rsidR="00F15F22" w:rsidRPr="00F15F22" w:rsidRDefault="00F15F22">
            <w:pPr>
              <w:rPr>
                <w:sz w:val="22"/>
                <w:szCs w:val="18"/>
              </w:rPr>
            </w:pPr>
            <w:r w:rsidRPr="00F15F22">
              <w:rPr>
                <w:sz w:val="22"/>
                <w:szCs w:val="18"/>
              </w:rPr>
              <w:t>CV32 4RA</w:t>
            </w:r>
          </w:p>
        </w:tc>
      </w:tr>
      <w:tr w:rsidR="00F15F22" w:rsidRPr="00F15F22" w14:paraId="0C2ED59F" w14:textId="77777777" w:rsidTr="00F15F22">
        <w:trPr>
          <w:trHeight w:val="367"/>
        </w:trPr>
        <w:tc>
          <w:tcPr>
            <w:tcW w:w="3260" w:type="dxa"/>
            <w:tcMar>
              <w:top w:w="10" w:type="dxa"/>
              <w:left w:w="10" w:type="dxa"/>
              <w:bottom w:w="0" w:type="dxa"/>
              <w:right w:w="10" w:type="dxa"/>
            </w:tcMar>
            <w:vAlign w:val="center"/>
            <w:hideMark/>
          </w:tcPr>
          <w:p w14:paraId="6CD398C4" w14:textId="77777777" w:rsidR="00F15F22" w:rsidRPr="00F15F22" w:rsidRDefault="00F15F22">
            <w:pPr>
              <w:rPr>
                <w:sz w:val="22"/>
                <w:szCs w:val="18"/>
              </w:rPr>
            </w:pPr>
            <w:r w:rsidRPr="00F15F22">
              <w:rPr>
                <w:sz w:val="22"/>
                <w:szCs w:val="18"/>
              </w:rPr>
              <w:t>Henley Road Pharmacy</w:t>
            </w:r>
          </w:p>
        </w:tc>
        <w:tc>
          <w:tcPr>
            <w:tcW w:w="4922" w:type="dxa"/>
            <w:tcMar>
              <w:top w:w="10" w:type="dxa"/>
              <w:left w:w="10" w:type="dxa"/>
              <w:bottom w:w="0" w:type="dxa"/>
              <w:right w:w="10" w:type="dxa"/>
            </w:tcMar>
            <w:vAlign w:val="center"/>
            <w:hideMark/>
          </w:tcPr>
          <w:p w14:paraId="0C9889C6" w14:textId="77777777" w:rsidR="00F15F22" w:rsidRPr="00F15F22" w:rsidRDefault="00F15F22">
            <w:pPr>
              <w:rPr>
                <w:sz w:val="22"/>
                <w:szCs w:val="18"/>
              </w:rPr>
            </w:pPr>
            <w:r w:rsidRPr="00F15F22">
              <w:rPr>
                <w:sz w:val="22"/>
                <w:szCs w:val="18"/>
              </w:rPr>
              <w:t>1 Henley Rd, Bell Green, Coventry</w:t>
            </w:r>
          </w:p>
        </w:tc>
        <w:tc>
          <w:tcPr>
            <w:tcW w:w="2176" w:type="dxa"/>
            <w:tcMar>
              <w:top w:w="10" w:type="dxa"/>
              <w:left w:w="10" w:type="dxa"/>
              <w:bottom w:w="0" w:type="dxa"/>
              <w:right w:w="10" w:type="dxa"/>
            </w:tcMar>
            <w:vAlign w:val="center"/>
            <w:hideMark/>
          </w:tcPr>
          <w:p w14:paraId="52EA1A11" w14:textId="77777777" w:rsidR="00F15F22" w:rsidRPr="00F15F22" w:rsidRDefault="00F15F22">
            <w:pPr>
              <w:rPr>
                <w:sz w:val="22"/>
                <w:szCs w:val="18"/>
              </w:rPr>
            </w:pPr>
            <w:r w:rsidRPr="00F15F22">
              <w:rPr>
                <w:sz w:val="22"/>
                <w:szCs w:val="18"/>
              </w:rPr>
              <w:t>CV2 1LQ</w:t>
            </w:r>
          </w:p>
        </w:tc>
      </w:tr>
      <w:tr w:rsidR="00F15F22" w:rsidRPr="00F15F22" w14:paraId="7D5CD714" w14:textId="77777777" w:rsidTr="00F15F22">
        <w:trPr>
          <w:trHeight w:val="203"/>
        </w:trPr>
        <w:tc>
          <w:tcPr>
            <w:tcW w:w="3260" w:type="dxa"/>
            <w:tcMar>
              <w:top w:w="10" w:type="dxa"/>
              <w:left w:w="10" w:type="dxa"/>
              <w:bottom w:w="0" w:type="dxa"/>
              <w:right w:w="10" w:type="dxa"/>
            </w:tcMar>
            <w:vAlign w:val="center"/>
            <w:hideMark/>
          </w:tcPr>
          <w:p w14:paraId="7470A68D" w14:textId="77777777" w:rsidR="00F15F22" w:rsidRPr="00F15F22" w:rsidRDefault="00F15F22">
            <w:pPr>
              <w:rPr>
                <w:sz w:val="22"/>
                <w:szCs w:val="18"/>
              </w:rPr>
            </w:pPr>
            <w:r w:rsidRPr="00F15F22">
              <w:rPr>
                <w:sz w:val="22"/>
                <w:szCs w:val="18"/>
              </w:rPr>
              <w:lastRenderedPageBreak/>
              <w:t>Imperiun Pharmacy - Coventry</w:t>
            </w:r>
          </w:p>
        </w:tc>
        <w:tc>
          <w:tcPr>
            <w:tcW w:w="4922" w:type="dxa"/>
            <w:tcMar>
              <w:top w:w="10" w:type="dxa"/>
              <w:left w:w="10" w:type="dxa"/>
              <w:bottom w:w="0" w:type="dxa"/>
              <w:right w:w="10" w:type="dxa"/>
            </w:tcMar>
            <w:vAlign w:val="center"/>
            <w:hideMark/>
          </w:tcPr>
          <w:p w14:paraId="20B2623D" w14:textId="77777777" w:rsidR="00F15F22" w:rsidRPr="00F15F22" w:rsidRDefault="00F15F22">
            <w:pPr>
              <w:rPr>
                <w:sz w:val="22"/>
                <w:szCs w:val="18"/>
              </w:rPr>
            </w:pPr>
            <w:r w:rsidRPr="00F15F22">
              <w:rPr>
                <w:sz w:val="22"/>
                <w:szCs w:val="18"/>
              </w:rPr>
              <w:t>1 Wheelwright Ln, Coventry</w:t>
            </w:r>
          </w:p>
        </w:tc>
        <w:tc>
          <w:tcPr>
            <w:tcW w:w="2176" w:type="dxa"/>
            <w:tcMar>
              <w:top w:w="10" w:type="dxa"/>
              <w:left w:w="10" w:type="dxa"/>
              <w:bottom w:w="0" w:type="dxa"/>
              <w:right w:w="10" w:type="dxa"/>
            </w:tcMar>
            <w:vAlign w:val="center"/>
            <w:hideMark/>
          </w:tcPr>
          <w:p w14:paraId="766F911A" w14:textId="77777777" w:rsidR="00F15F22" w:rsidRPr="00F15F22" w:rsidRDefault="00F15F22">
            <w:pPr>
              <w:rPr>
                <w:sz w:val="22"/>
                <w:szCs w:val="18"/>
              </w:rPr>
            </w:pPr>
            <w:r w:rsidRPr="00F15F22">
              <w:rPr>
                <w:sz w:val="22"/>
                <w:szCs w:val="18"/>
              </w:rPr>
              <w:t>CV6 4HF</w:t>
            </w:r>
          </w:p>
        </w:tc>
      </w:tr>
      <w:tr w:rsidR="00F15F22" w:rsidRPr="00F15F22" w14:paraId="2FCE4646" w14:textId="77777777" w:rsidTr="00F15F22">
        <w:trPr>
          <w:trHeight w:val="367"/>
        </w:trPr>
        <w:tc>
          <w:tcPr>
            <w:tcW w:w="3260" w:type="dxa"/>
            <w:tcMar>
              <w:top w:w="10" w:type="dxa"/>
              <w:left w:w="10" w:type="dxa"/>
              <w:bottom w:w="0" w:type="dxa"/>
              <w:right w:w="10" w:type="dxa"/>
            </w:tcMar>
            <w:vAlign w:val="center"/>
            <w:hideMark/>
          </w:tcPr>
          <w:p w14:paraId="3256D4AF" w14:textId="77777777" w:rsidR="00F15F22" w:rsidRPr="00F15F22" w:rsidRDefault="00F15F22">
            <w:pPr>
              <w:rPr>
                <w:sz w:val="22"/>
                <w:szCs w:val="18"/>
              </w:rPr>
            </w:pPr>
            <w:r w:rsidRPr="00F15F22">
              <w:rPr>
                <w:sz w:val="22"/>
                <w:szCs w:val="18"/>
              </w:rPr>
              <w:t>Kasli Pharmacy</w:t>
            </w:r>
          </w:p>
        </w:tc>
        <w:tc>
          <w:tcPr>
            <w:tcW w:w="4922" w:type="dxa"/>
            <w:tcMar>
              <w:top w:w="10" w:type="dxa"/>
              <w:left w:w="10" w:type="dxa"/>
              <w:bottom w:w="0" w:type="dxa"/>
              <w:right w:w="10" w:type="dxa"/>
            </w:tcMar>
            <w:vAlign w:val="center"/>
            <w:hideMark/>
          </w:tcPr>
          <w:p w14:paraId="482A01D5" w14:textId="77777777" w:rsidR="00F15F22" w:rsidRPr="00F15F22" w:rsidRDefault="00F15F22">
            <w:pPr>
              <w:rPr>
                <w:sz w:val="22"/>
                <w:szCs w:val="18"/>
              </w:rPr>
            </w:pPr>
            <w:r w:rsidRPr="00F15F22">
              <w:rPr>
                <w:sz w:val="22"/>
                <w:szCs w:val="18"/>
              </w:rPr>
              <w:t>216-218 Tomkinson Rd, Nuneaton</w:t>
            </w:r>
          </w:p>
        </w:tc>
        <w:tc>
          <w:tcPr>
            <w:tcW w:w="2176" w:type="dxa"/>
            <w:tcMar>
              <w:top w:w="10" w:type="dxa"/>
              <w:left w:w="10" w:type="dxa"/>
              <w:bottom w:w="0" w:type="dxa"/>
              <w:right w:w="10" w:type="dxa"/>
            </w:tcMar>
            <w:vAlign w:val="center"/>
            <w:hideMark/>
          </w:tcPr>
          <w:p w14:paraId="0E95346E" w14:textId="77777777" w:rsidR="00F15F22" w:rsidRPr="00F15F22" w:rsidRDefault="00F15F22">
            <w:pPr>
              <w:rPr>
                <w:sz w:val="22"/>
                <w:szCs w:val="18"/>
              </w:rPr>
            </w:pPr>
            <w:r w:rsidRPr="00F15F22">
              <w:rPr>
                <w:sz w:val="22"/>
                <w:szCs w:val="18"/>
              </w:rPr>
              <w:t>CV10 8BW</w:t>
            </w:r>
          </w:p>
        </w:tc>
      </w:tr>
      <w:tr w:rsidR="00F15F22" w:rsidRPr="00F15F22" w14:paraId="2AA11468" w14:textId="77777777" w:rsidTr="00F15F22">
        <w:trPr>
          <w:trHeight w:val="203"/>
        </w:trPr>
        <w:tc>
          <w:tcPr>
            <w:tcW w:w="3260" w:type="dxa"/>
            <w:tcMar>
              <w:top w:w="10" w:type="dxa"/>
              <w:left w:w="10" w:type="dxa"/>
              <w:bottom w:w="0" w:type="dxa"/>
              <w:right w:w="10" w:type="dxa"/>
            </w:tcMar>
            <w:vAlign w:val="center"/>
            <w:hideMark/>
          </w:tcPr>
          <w:p w14:paraId="76863514" w14:textId="77777777" w:rsidR="00F15F22" w:rsidRPr="00F15F22" w:rsidRDefault="00F15F22">
            <w:pPr>
              <w:rPr>
                <w:sz w:val="22"/>
                <w:szCs w:val="18"/>
              </w:rPr>
            </w:pPr>
            <w:r w:rsidRPr="00F15F22">
              <w:rPr>
                <w:sz w:val="22"/>
                <w:szCs w:val="18"/>
              </w:rPr>
              <w:t>Knights Pharmacy - Rugby</w:t>
            </w:r>
          </w:p>
        </w:tc>
        <w:tc>
          <w:tcPr>
            <w:tcW w:w="4922" w:type="dxa"/>
            <w:tcMar>
              <w:top w:w="10" w:type="dxa"/>
              <w:left w:w="10" w:type="dxa"/>
              <w:bottom w:w="0" w:type="dxa"/>
              <w:right w:w="10" w:type="dxa"/>
            </w:tcMar>
            <w:vAlign w:val="center"/>
            <w:hideMark/>
          </w:tcPr>
          <w:p w14:paraId="15AF451E" w14:textId="77777777" w:rsidR="00F15F22" w:rsidRPr="00F15F22" w:rsidRDefault="00F15F22">
            <w:pPr>
              <w:rPr>
                <w:sz w:val="22"/>
                <w:szCs w:val="18"/>
              </w:rPr>
            </w:pPr>
            <w:r w:rsidRPr="00F15F22">
              <w:rPr>
                <w:sz w:val="22"/>
                <w:szCs w:val="18"/>
              </w:rPr>
              <w:t>30-31 Sheep St, Rugby</w:t>
            </w:r>
          </w:p>
        </w:tc>
        <w:tc>
          <w:tcPr>
            <w:tcW w:w="2176" w:type="dxa"/>
            <w:tcMar>
              <w:top w:w="10" w:type="dxa"/>
              <w:left w:w="10" w:type="dxa"/>
              <w:bottom w:w="0" w:type="dxa"/>
              <w:right w:w="10" w:type="dxa"/>
            </w:tcMar>
            <w:vAlign w:val="center"/>
            <w:hideMark/>
          </w:tcPr>
          <w:p w14:paraId="7FFB4552" w14:textId="77777777" w:rsidR="00F15F22" w:rsidRPr="00F15F22" w:rsidRDefault="00F15F22">
            <w:pPr>
              <w:rPr>
                <w:sz w:val="22"/>
                <w:szCs w:val="18"/>
              </w:rPr>
            </w:pPr>
            <w:r w:rsidRPr="00F15F22">
              <w:rPr>
                <w:sz w:val="22"/>
                <w:szCs w:val="18"/>
              </w:rPr>
              <w:t>CV21 3BX</w:t>
            </w:r>
          </w:p>
        </w:tc>
      </w:tr>
      <w:tr w:rsidR="00F15F22" w:rsidRPr="00F15F22" w14:paraId="48142DB4" w14:textId="77777777" w:rsidTr="00F15F22">
        <w:trPr>
          <w:trHeight w:val="203"/>
        </w:trPr>
        <w:tc>
          <w:tcPr>
            <w:tcW w:w="3260" w:type="dxa"/>
            <w:tcMar>
              <w:top w:w="10" w:type="dxa"/>
              <w:left w:w="10" w:type="dxa"/>
              <w:bottom w:w="0" w:type="dxa"/>
              <w:right w:w="10" w:type="dxa"/>
            </w:tcMar>
            <w:vAlign w:val="center"/>
            <w:hideMark/>
          </w:tcPr>
          <w:p w14:paraId="7CE7CFAA" w14:textId="77777777" w:rsidR="00F15F22" w:rsidRPr="00F15F22" w:rsidRDefault="00F15F22">
            <w:pPr>
              <w:rPr>
                <w:sz w:val="22"/>
                <w:szCs w:val="18"/>
              </w:rPr>
            </w:pPr>
            <w:r w:rsidRPr="00F15F22">
              <w:rPr>
                <w:sz w:val="22"/>
                <w:szCs w:val="18"/>
              </w:rPr>
              <w:t>Left Hand Grafton House (Delivermymeds)</w:t>
            </w:r>
          </w:p>
        </w:tc>
        <w:tc>
          <w:tcPr>
            <w:tcW w:w="4922" w:type="dxa"/>
            <w:tcMar>
              <w:top w:w="10" w:type="dxa"/>
              <w:left w:w="10" w:type="dxa"/>
              <w:bottom w:w="0" w:type="dxa"/>
              <w:right w:w="10" w:type="dxa"/>
            </w:tcMar>
            <w:vAlign w:val="center"/>
            <w:hideMark/>
          </w:tcPr>
          <w:p w14:paraId="6416A072" w14:textId="77777777" w:rsidR="00F15F22" w:rsidRPr="00F15F22" w:rsidRDefault="00F15F22">
            <w:pPr>
              <w:rPr>
                <w:sz w:val="22"/>
                <w:szCs w:val="18"/>
              </w:rPr>
            </w:pPr>
            <w:r w:rsidRPr="00F15F22">
              <w:rPr>
                <w:sz w:val="22"/>
                <w:szCs w:val="18"/>
              </w:rPr>
              <w:t>Bulls Head Yard Alcester</w:t>
            </w:r>
          </w:p>
        </w:tc>
        <w:tc>
          <w:tcPr>
            <w:tcW w:w="2176" w:type="dxa"/>
            <w:tcMar>
              <w:top w:w="10" w:type="dxa"/>
              <w:left w:w="10" w:type="dxa"/>
              <w:bottom w:w="0" w:type="dxa"/>
              <w:right w:w="10" w:type="dxa"/>
            </w:tcMar>
            <w:vAlign w:val="center"/>
            <w:hideMark/>
          </w:tcPr>
          <w:p w14:paraId="53162C2D" w14:textId="77777777" w:rsidR="00F15F22" w:rsidRPr="00F15F22" w:rsidRDefault="00F15F22">
            <w:pPr>
              <w:rPr>
                <w:sz w:val="22"/>
                <w:szCs w:val="18"/>
              </w:rPr>
            </w:pPr>
            <w:r w:rsidRPr="00F15F22">
              <w:rPr>
                <w:sz w:val="22"/>
                <w:szCs w:val="18"/>
              </w:rPr>
              <w:t>B49 5BX</w:t>
            </w:r>
          </w:p>
        </w:tc>
      </w:tr>
      <w:tr w:rsidR="00F15F22" w:rsidRPr="00F15F22" w14:paraId="3474B244" w14:textId="77777777" w:rsidTr="00F15F22">
        <w:trPr>
          <w:trHeight w:val="367"/>
        </w:trPr>
        <w:tc>
          <w:tcPr>
            <w:tcW w:w="3260" w:type="dxa"/>
            <w:tcMar>
              <w:top w:w="10" w:type="dxa"/>
              <w:left w:w="10" w:type="dxa"/>
              <w:bottom w:w="0" w:type="dxa"/>
              <w:right w:w="10" w:type="dxa"/>
            </w:tcMar>
            <w:vAlign w:val="center"/>
            <w:hideMark/>
          </w:tcPr>
          <w:p w14:paraId="749EA632" w14:textId="77777777" w:rsidR="00F15F22" w:rsidRPr="00F15F22" w:rsidRDefault="00F15F22">
            <w:pPr>
              <w:rPr>
                <w:sz w:val="22"/>
                <w:szCs w:val="18"/>
              </w:rPr>
            </w:pPr>
            <w:r w:rsidRPr="00F15F22">
              <w:rPr>
                <w:sz w:val="22"/>
                <w:szCs w:val="18"/>
              </w:rPr>
              <w:t>Monarch Pharmacy</w:t>
            </w:r>
          </w:p>
        </w:tc>
        <w:tc>
          <w:tcPr>
            <w:tcW w:w="4922" w:type="dxa"/>
            <w:tcMar>
              <w:top w:w="10" w:type="dxa"/>
              <w:left w:w="10" w:type="dxa"/>
              <w:bottom w:w="0" w:type="dxa"/>
              <w:right w:w="10" w:type="dxa"/>
            </w:tcMar>
            <w:vAlign w:val="center"/>
            <w:hideMark/>
          </w:tcPr>
          <w:p w14:paraId="055AB212" w14:textId="77777777" w:rsidR="00F15F22" w:rsidRPr="00F15F22" w:rsidRDefault="00F15F22">
            <w:pPr>
              <w:rPr>
                <w:sz w:val="22"/>
                <w:szCs w:val="18"/>
              </w:rPr>
            </w:pPr>
            <w:r w:rsidRPr="00F15F22">
              <w:rPr>
                <w:sz w:val="22"/>
                <w:szCs w:val="18"/>
              </w:rPr>
              <w:t>318 Radford Rd, Coventry CV6 3AA</w:t>
            </w:r>
          </w:p>
        </w:tc>
        <w:tc>
          <w:tcPr>
            <w:tcW w:w="2176" w:type="dxa"/>
            <w:tcMar>
              <w:top w:w="10" w:type="dxa"/>
              <w:left w:w="10" w:type="dxa"/>
              <w:bottom w:w="0" w:type="dxa"/>
              <w:right w:w="10" w:type="dxa"/>
            </w:tcMar>
            <w:vAlign w:val="center"/>
            <w:hideMark/>
          </w:tcPr>
          <w:p w14:paraId="036E1138" w14:textId="77777777" w:rsidR="00F15F22" w:rsidRPr="00F15F22" w:rsidRDefault="00F15F22">
            <w:pPr>
              <w:rPr>
                <w:sz w:val="22"/>
                <w:szCs w:val="18"/>
              </w:rPr>
            </w:pPr>
            <w:r w:rsidRPr="00F15F22">
              <w:rPr>
                <w:sz w:val="22"/>
                <w:szCs w:val="18"/>
              </w:rPr>
              <w:t>CV6 3AA</w:t>
            </w:r>
          </w:p>
        </w:tc>
      </w:tr>
      <w:tr w:rsidR="00F15F22" w:rsidRPr="00F15F22" w14:paraId="0DB75C35" w14:textId="77777777" w:rsidTr="00F15F22">
        <w:trPr>
          <w:trHeight w:val="367"/>
        </w:trPr>
        <w:tc>
          <w:tcPr>
            <w:tcW w:w="3260" w:type="dxa"/>
            <w:tcMar>
              <w:top w:w="10" w:type="dxa"/>
              <w:left w:w="10" w:type="dxa"/>
              <w:bottom w:w="0" w:type="dxa"/>
              <w:right w:w="10" w:type="dxa"/>
            </w:tcMar>
            <w:vAlign w:val="center"/>
            <w:hideMark/>
          </w:tcPr>
          <w:p w14:paraId="022E73DF" w14:textId="77777777" w:rsidR="00F15F22" w:rsidRPr="00F15F22" w:rsidRDefault="00F15F22">
            <w:pPr>
              <w:rPr>
                <w:sz w:val="22"/>
                <w:szCs w:val="18"/>
              </w:rPr>
            </w:pPr>
            <w:r w:rsidRPr="00F15F22">
              <w:rPr>
                <w:sz w:val="22"/>
                <w:szCs w:val="18"/>
              </w:rPr>
              <w:t>Atherstone Vaccination Clinic (Village Pharmacy)</w:t>
            </w:r>
          </w:p>
        </w:tc>
        <w:tc>
          <w:tcPr>
            <w:tcW w:w="4922" w:type="dxa"/>
            <w:tcMar>
              <w:top w:w="10" w:type="dxa"/>
              <w:left w:w="10" w:type="dxa"/>
              <w:bottom w:w="0" w:type="dxa"/>
              <w:right w:w="10" w:type="dxa"/>
            </w:tcMar>
            <w:vAlign w:val="center"/>
            <w:hideMark/>
          </w:tcPr>
          <w:p w14:paraId="4B1FE749" w14:textId="77777777" w:rsidR="00F15F22" w:rsidRPr="00F15F22" w:rsidRDefault="00F15F22">
            <w:pPr>
              <w:rPr>
                <w:sz w:val="22"/>
                <w:szCs w:val="18"/>
              </w:rPr>
            </w:pPr>
            <w:r w:rsidRPr="00F15F22">
              <w:rPr>
                <w:sz w:val="22"/>
                <w:szCs w:val="18"/>
              </w:rPr>
              <w:t>Old Bank House, South Street, Atherstone</w:t>
            </w:r>
          </w:p>
        </w:tc>
        <w:tc>
          <w:tcPr>
            <w:tcW w:w="2176" w:type="dxa"/>
            <w:tcMar>
              <w:top w:w="10" w:type="dxa"/>
              <w:left w:w="10" w:type="dxa"/>
              <w:bottom w:w="0" w:type="dxa"/>
              <w:right w:w="10" w:type="dxa"/>
            </w:tcMar>
            <w:vAlign w:val="center"/>
            <w:hideMark/>
          </w:tcPr>
          <w:p w14:paraId="21F8BAFC" w14:textId="77777777" w:rsidR="00F15F22" w:rsidRPr="00F15F22" w:rsidRDefault="00F15F22">
            <w:pPr>
              <w:rPr>
                <w:sz w:val="22"/>
                <w:szCs w:val="18"/>
              </w:rPr>
            </w:pPr>
            <w:r w:rsidRPr="00F15F22">
              <w:rPr>
                <w:sz w:val="22"/>
                <w:szCs w:val="18"/>
              </w:rPr>
              <w:t>CV9 1DE</w:t>
            </w:r>
          </w:p>
        </w:tc>
      </w:tr>
      <w:tr w:rsidR="00F15F22" w:rsidRPr="00F15F22" w14:paraId="7C7A25A9" w14:textId="77777777" w:rsidTr="00F15F22">
        <w:trPr>
          <w:trHeight w:val="203"/>
        </w:trPr>
        <w:tc>
          <w:tcPr>
            <w:tcW w:w="3260" w:type="dxa"/>
            <w:tcMar>
              <w:top w:w="10" w:type="dxa"/>
              <w:left w:w="10" w:type="dxa"/>
              <w:bottom w:w="0" w:type="dxa"/>
              <w:right w:w="10" w:type="dxa"/>
            </w:tcMar>
            <w:vAlign w:val="center"/>
            <w:hideMark/>
          </w:tcPr>
          <w:p w14:paraId="4C7BA9BB" w14:textId="77777777" w:rsidR="00F15F22" w:rsidRPr="00F15F22" w:rsidRDefault="00F15F22">
            <w:pPr>
              <w:rPr>
                <w:sz w:val="22"/>
                <w:szCs w:val="18"/>
              </w:rPr>
            </w:pPr>
            <w:r w:rsidRPr="00F15F22">
              <w:rPr>
                <w:sz w:val="22"/>
                <w:szCs w:val="18"/>
              </w:rPr>
              <w:t>Paddox Pharmacy</w:t>
            </w:r>
          </w:p>
        </w:tc>
        <w:tc>
          <w:tcPr>
            <w:tcW w:w="4922" w:type="dxa"/>
            <w:tcMar>
              <w:top w:w="10" w:type="dxa"/>
              <w:left w:w="10" w:type="dxa"/>
              <w:bottom w:w="0" w:type="dxa"/>
              <w:right w:w="10" w:type="dxa"/>
            </w:tcMar>
            <w:vAlign w:val="center"/>
            <w:hideMark/>
          </w:tcPr>
          <w:p w14:paraId="3F2B4B71" w14:textId="77777777" w:rsidR="00F15F22" w:rsidRPr="00F15F22" w:rsidRDefault="00F15F22">
            <w:pPr>
              <w:rPr>
                <w:sz w:val="22"/>
                <w:szCs w:val="18"/>
              </w:rPr>
            </w:pPr>
            <w:r w:rsidRPr="00F15F22">
              <w:rPr>
                <w:sz w:val="22"/>
                <w:szCs w:val="18"/>
              </w:rPr>
              <w:t>316 Hillmorton Rd, Rugby</w:t>
            </w:r>
          </w:p>
        </w:tc>
        <w:tc>
          <w:tcPr>
            <w:tcW w:w="2176" w:type="dxa"/>
            <w:tcMar>
              <w:top w:w="10" w:type="dxa"/>
              <w:left w:w="10" w:type="dxa"/>
              <w:bottom w:w="0" w:type="dxa"/>
              <w:right w:w="10" w:type="dxa"/>
            </w:tcMar>
            <w:vAlign w:val="center"/>
            <w:hideMark/>
          </w:tcPr>
          <w:p w14:paraId="7AFA0617" w14:textId="77777777" w:rsidR="00F15F22" w:rsidRPr="00F15F22" w:rsidRDefault="00F15F22">
            <w:pPr>
              <w:rPr>
                <w:sz w:val="22"/>
                <w:szCs w:val="18"/>
              </w:rPr>
            </w:pPr>
            <w:r w:rsidRPr="00F15F22">
              <w:rPr>
                <w:sz w:val="22"/>
                <w:szCs w:val="18"/>
              </w:rPr>
              <w:t>CV22 5BP</w:t>
            </w:r>
          </w:p>
        </w:tc>
      </w:tr>
      <w:tr w:rsidR="00F15F22" w:rsidRPr="00F15F22" w14:paraId="54380EFE" w14:textId="77777777" w:rsidTr="00F15F22">
        <w:trPr>
          <w:trHeight w:val="367"/>
        </w:trPr>
        <w:tc>
          <w:tcPr>
            <w:tcW w:w="3260" w:type="dxa"/>
            <w:tcMar>
              <w:top w:w="10" w:type="dxa"/>
              <w:left w:w="10" w:type="dxa"/>
              <w:bottom w:w="0" w:type="dxa"/>
              <w:right w:w="10" w:type="dxa"/>
            </w:tcMar>
            <w:vAlign w:val="center"/>
            <w:hideMark/>
          </w:tcPr>
          <w:p w14:paraId="2B9A1EEA" w14:textId="77777777" w:rsidR="00F15F22" w:rsidRPr="00F15F22" w:rsidRDefault="00F15F22">
            <w:pPr>
              <w:rPr>
                <w:sz w:val="22"/>
                <w:szCs w:val="18"/>
              </w:rPr>
            </w:pPr>
            <w:r w:rsidRPr="00F15F22">
              <w:rPr>
                <w:sz w:val="22"/>
                <w:szCs w:val="18"/>
              </w:rPr>
              <w:t>Ringwood Pharmacy</w:t>
            </w:r>
          </w:p>
        </w:tc>
        <w:tc>
          <w:tcPr>
            <w:tcW w:w="4922" w:type="dxa"/>
            <w:tcMar>
              <w:top w:w="10" w:type="dxa"/>
              <w:left w:w="10" w:type="dxa"/>
              <w:bottom w:w="0" w:type="dxa"/>
              <w:right w:w="10" w:type="dxa"/>
            </w:tcMar>
            <w:vAlign w:val="center"/>
            <w:hideMark/>
          </w:tcPr>
          <w:p w14:paraId="52A0CD8D" w14:textId="77777777" w:rsidR="00F15F22" w:rsidRPr="00F15F22" w:rsidRDefault="00F15F22">
            <w:pPr>
              <w:rPr>
                <w:sz w:val="22"/>
                <w:szCs w:val="18"/>
              </w:rPr>
            </w:pPr>
            <w:r w:rsidRPr="00F15F22">
              <w:rPr>
                <w:sz w:val="22"/>
                <w:szCs w:val="18"/>
              </w:rPr>
              <w:t>Ringwood Pharmacy, 200 Wigston Rd, Coventry</w:t>
            </w:r>
          </w:p>
        </w:tc>
        <w:tc>
          <w:tcPr>
            <w:tcW w:w="2176" w:type="dxa"/>
            <w:tcMar>
              <w:top w:w="10" w:type="dxa"/>
              <w:left w:w="10" w:type="dxa"/>
              <w:bottom w:w="0" w:type="dxa"/>
              <w:right w:w="10" w:type="dxa"/>
            </w:tcMar>
            <w:vAlign w:val="center"/>
            <w:hideMark/>
          </w:tcPr>
          <w:p w14:paraId="7DFA6C31" w14:textId="77777777" w:rsidR="00F15F22" w:rsidRPr="00F15F22" w:rsidRDefault="00F15F22">
            <w:pPr>
              <w:rPr>
                <w:sz w:val="22"/>
                <w:szCs w:val="18"/>
              </w:rPr>
            </w:pPr>
            <w:r w:rsidRPr="00F15F22">
              <w:rPr>
                <w:sz w:val="22"/>
                <w:szCs w:val="18"/>
              </w:rPr>
              <w:t>CV2 2RH</w:t>
            </w:r>
          </w:p>
        </w:tc>
      </w:tr>
      <w:tr w:rsidR="00F15F22" w:rsidRPr="00F15F22" w14:paraId="1D9295A7" w14:textId="77777777" w:rsidTr="00F15F22">
        <w:trPr>
          <w:trHeight w:val="203"/>
        </w:trPr>
        <w:tc>
          <w:tcPr>
            <w:tcW w:w="3260" w:type="dxa"/>
            <w:tcMar>
              <w:top w:w="10" w:type="dxa"/>
              <w:left w:w="10" w:type="dxa"/>
              <w:bottom w:w="0" w:type="dxa"/>
              <w:right w:w="10" w:type="dxa"/>
            </w:tcMar>
            <w:vAlign w:val="center"/>
            <w:hideMark/>
          </w:tcPr>
          <w:p w14:paraId="7ECD93E7" w14:textId="77777777" w:rsidR="00F15F22" w:rsidRPr="00F15F22" w:rsidRDefault="00F15F22">
            <w:pPr>
              <w:rPr>
                <w:sz w:val="22"/>
                <w:szCs w:val="18"/>
              </w:rPr>
            </w:pPr>
            <w:r w:rsidRPr="00F15F22">
              <w:rPr>
                <w:sz w:val="22"/>
                <w:szCs w:val="18"/>
              </w:rPr>
              <w:t>Rugby Indian Association (Acorn Pharmacy)</w:t>
            </w:r>
          </w:p>
        </w:tc>
        <w:tc>
          <w:tcPr>
            <w:tcW w:w="4922" w:type="dxa"/>
            <w:tcMar>
              <w:top w:w="10" w:type="dxa"/>
              <w:left w:w="10" w:type="dxa"/>
              <w:bottom w:w="0" w:type="dxa"/>
              <w:right w:w="10" w:type="dxa"/>
            </w:tcMar>
            <w:vAlign w:val="center"/>
            <w:hideMark/>
          </w:tcPr>
          <w:p w14:paraId="2FB006D8" w14:textId="77777777" w:rsidR="00F15F22" w:rsidRPr="00F15F22" w:rsidRDefault="00F15F22">
            <w:pPr>
              <w:rPr>
                <w:sz w:val="22"/>
                <w:szCs w:val="18"/>
              </w:rPr>
            </w:pPr>
            <w:r w:rsidRPr="00F15F22">
              <w:rPr>
                <w:sz w:val="22"/>
                <w:szCs w:val="18"/>
              </w:rPr>
              <w:t>Edward St, Rugby</w:t>
            </w:r>
          </w:p>
        </w:tc>
        <w:tc>
          <w:tcPr>
            <w:tcW w:w="2176" w:type="dxa"/>
            <w:tcMar>
              <w:top w:w="10" w:type="dxa"/>
              <w:left w:w="10" w:type="dxa"/>
              <w:bottom w:w="0" w:type="dxa"/>
              <w:right w:w="10" w:type="dxa"/>
            </w:tcMar>
            <w:vAlign w:val="center"/>
            <w:hideMark/>
          </w:tcPr>
          <w:p w14:paraId="0F03651D" w14:textId="77777777" w:rsidR="00F15F22" w:rsidRPr="00F15F22" w:rsidRDefault="00F15F22">
            <w:pPr>
              <w:rPr>
                <w:sz w:val="22"/>
                <w:szCs w:val="18"/>
              </w:rPr>
            </w:pPr>
            <w:r w:rsidRPr="00F15F22">
              <w:rPr>
                <w:sz w:val="22"/>
                <w:szCs w:val="18"/>
              </w:rPr>
              <w:t>CV21 2EZ</w:t>
            </w:r>
          </w:p>
        </w:tc>
      </w:tr>
      <w:tr w:rsidR="00F15F22" w:rsidRPr="00F15F22" w14:paraId="5A296757" w14:textId="77777777" w:rsidTr="00F15F22">
        <w:trPr>
          <w:trHeight w:val="203"/>
        </w:trPr>
        <w:tc>
          <w:tcPr>
            <w:tcW w:w="3260" w:type="dxa"/>
            <w:tcMar>
              <w:top w:w="10" w:type="dxa"/>
              <w:left w:w="10" w:type="dxa"/>
              <w:bottom w:w="0" w:type="dxa"/>
              <w:right w:w="10" w:type="dxa"/>
            </w:tcMar>
            <w:vAlign w:val="center"/>
            <w:hideMark/>
          </w:tcPr>
          <w:p w14:paraId="2F97284B" w14:textId="77777777" w:rsidR="00F15F22" w:rsidRPr="00F15F22" w:rsidRDefault="00F15F22">
            <w:pPr>
              <w:rPr>
                <w:sz w:val="22"/>
                <w:szCs w:val="18"/>
              </w:rPr>
            </w:pPr>
            <w:r w:rsidRPr="00F15F22">
              <w:rPr>
                <w:sz w:val="22"/>
                <w:szCs w:val="18"/>
              </w:rPr>
              <w:t>Tile Hill Lane Pharmacy - Coventry</w:t>
            </w:r>
          </w:p>
        </w:tc>
        <w:tc>
          <w:tcPr>
            <w:tcW w:w="4922" w:type="dxa"/>
            <w:tcMar>
              <w:top w:w="10" w:type="dxa"/>
              <w:left w:w="10" w:type="dxa"/>
              <w:bottom w:w="0" w:type="dxa"/>
              <w:right w:w="10" w:type="dxa"/>
            </w:tcMar>
            <w:vAlign w:val="center"/>
            <w:hideMark/>
          </w:tcPr>
          <w:p w14:paraId="54F181A3" w14:textId="77777777" w:rsidR="00F15F22" w:rsidRPr="00F15F22" w:rsidRDefault="00F15F22">
            <w:pPr>
              <w:rPr>
                <w:sz w:val="22"/>
                <w:szCs w:val="18"/>
              </w:rPr>
            </w:pPr>
            <w:r w:rsidRPr="00F15F22">
              <w:rPr>
                <w:sz w:val="22"/>
                <w:szCs w:val="18"/>
              </w:rPr>
              <w:t>343 Tile Hill Lane, Coventry</w:t>
            </w:r>
          </w:p>
        </w:tc>
        <w:tc>
          <w:tcPr>
            <w:tcW w:w="2176" w:type="dxa"/>
            <w:tcMar>
              <w:top w:w="10" w:type="dxa"/>
              <w:left w:w="10" w:type="dxa"/>
              <w:bottom w:w="0" w:type="dxa"/>
              <w:right w:w="10" w:type="dxa"/>
            </w:tcMar>
            <w:vAlign w:val="center"/>
            <w:hideMark/>
          </w:tcPr>
          <w:p w14:paraId="5007337D" w14:textId="77777777" w:rsidR="00F15F22" w:rsidRPr="00F15F22" w:rsidRDefault="00F15F22">
            <w:pPr>
              <w:rPr>
                <w:sz w:val="22"/>
                <w:szCs w:val="18"/>
              </w:rPr>
            </w:pPr>
            <w:r w:rsidRPr="00F15F22">
              <w:rPr>
                <w:sz w:val="22"/>
                <w:szCs w:val="18"/>
              </w:rPr>
              <w:t>CV4 9DU</w:t>
            </w:r>
          </w:p>
        </w:tc>
      </w:tr>
      <w:tr w:rsidR="00F15F22" w:rsidRPr="00F15F22" w14:paraId="36E74330" w14:textId="77777777" w:rsidTr="00F15F22">
        <w:trPr>
          <w:trHeight w:val="367"/>
        </w:trPr>
        <w:tc>
          <w:tcPr>
            <w:tcW w:w="3260" w:type="dxa"/>
            <w:tcMar>
              <w:top w:w="10" w:type="dxa"/>
              <w:left w:w="10" w:type="dxa"/>
              <w:bottom w:w="0" w:type="dxa"/>
              <w:right w:w="10" w:type="dxa"/>
            </w:tcMar>
            <w:vAlign w:val="center"/>
            <w:hideMark/>
          </w:tcPr>
          <w:p w14:paraId="03D7AE25" w14:textId="77777777" w:rsidR="00F15F22" w:rsidRPr="00F15F22" w:rsidRDefault="00F15F22">
            <w:pPr>
              <w:rPr>
                <w:sz w:val="22"/>
                <w:szCs w:val="18"/>
              </w:rPr>
            </w:pPr>
            <w:r w:rsidRPr="00F15F22">
              <w:rPr>
                <w:sz w:val="22"/>
                <w:szCs w:val="18"/>
              </w:rPr>
              <w:t>United Reform Church (Hillfields Pharmacy)</w:t>
            </w:r>
          </w:p>
        </w:tc>
        <w:tc>
          <w:tcPr>
            <w:tcW w:w="4922" w:type="dxa"/>
            <w:tcMar>
              <w:top w:w="10" w:type="dxa"/>
              <w:left w:w="10" w:type="dxa"/>
              <w:bottom w:w="0" w:type="dxa"/>
              <w:right w:w="10" w:type="dxa"/>
            </w:tcMar>
            <w:vAlign w:val="center"/>
            <w:hideMark/>
          </w:tcPr>
          <w:p w14:paraId="044074B3" w14:textId="77777777" w:rsidR="00F15F22" w:rsidRPr="00F15F22" w:rsidRDefault="00F15F22">
            <w:pPr>
              <w:rPr>
                <w:sz w:val="22"/>
                <w:szCs w:val="18"/>
              </w:rPr>
            </w:pPr>
            <w:r w:rsidRPr="00F15F22">
              <w:rPr>
                <w:sz w:val="22"/>
                <w:szCs w:val="18"/>
              </w:rPr>
              <w:t>United Reform Church, Chapel Street, Nuneaton</w:t>
            </w:r>
          </w:p>
        </w:tc>
        <w:tc>
          <w:tcPr>
            <w:tcW w:w="2176" w:type="dxa"/>
            <w:tcMar>
              <w:top w:w="10" w:type="dxa"/>
              <w:left w:w="10" w:type="dxa"/>
              <w:bottom w:w="0" w:type="dxa"/>
              <w:right w:w="10" w:type="dxa"/>
            </w:tcMar>
            <w:vAlign w:val="center"/>
            <w:hideMark/>
          </w:tcPr>
          <w:p w14:paraId="37C998EE" w14:textId="77777777" w:rsidR="00F15F22" w:rsidRPr="00F15F22" w:rsidRDefault="00F15F22">
            <w:pPr>
              <w:rPr>
                <w:sz w:val="22"/>
                <w:szCs w:val="18"/>
              </w:rPr>
            </w:pPr>
            <w:r w:rsidRPr="00F15F22">
              <w:rPr>
                <w:sz w:val="22"/>
                <w:szCs w:val="18"/>
              </w:rPr>
              <w:t>CV11 5QH</w:t>
            </w:r>
          </w:p>
        </w:tc>
      </w:tr>
      <w:tr w:rsidR="00F15F22" w:rsidRPr="00F15F22" w14:paraId="16A7EC9E" w14:textId="77777777" w:rsidTr="005E41DF">
        <w:trPr>
          <w:trHeight w:val="377"/>
        </w:trPr>
        <w:tc>
          <w:tcPr>
            <w:tcW w:w="3260" w:type="dxa"/>
            <w:tcMar>
              <w:top w:w="10" w:type="dxa"/>
              <w:left w:w="10" w:type="dxa"/>
              <w:bottom w:w="0" w:type="dxa"/>
              <w:right w:w="10" w:type="dxa"/>
            </w:tcMar>
            <w:vAlign w:val="center"/>
            <w:hideMark/>
          </w:tcPr>
          <w:p w14:paraId="3C577A25" w14:textId="77777777" w:rsidR="00F15F22" w:rsidRPr="00F15F22" w:rsidRDefault="00F15F22">
            <w:pPr>
              <w:rPr>
                <w:sz w:val="22"/>
                <w:szCs w:val="18"/>
              </w:rPr>
            </w:pPr>
            <w:r w:rsidRPr="00F15F22">
              <w:rPr>
                <w:sz w:val="22"/>
                <w:szCs w:val="18"/>
              </w:rPr>
              <w:t>Vantage Chemist - Coventry</w:t>
            </w:r>
          </w:p>
        </w:tc>
        <w:tc>
          <w:tcPr>
            <w:tcW w:w="4922" w:type="dxa"/>
            <w:tcMar>
              <w:top w:w="10" w:type="dxa"/>
              <w:left w:w="10" w:type="dxa"/>
              <w:bottom w:w="0" w:type="dxa"/>
              <w:right w:w="10" w:type="dxa"/>
            </w:tcMar>
            <w:vAlign w:val="center"/>
            <w:hideMark/>
          </w:tcPr>
          <w:p w14:paraId="02F5A1B5" w14:textId="77777777" w:rsidR="00F15F22" w:rsidRPr="00F15F22" w:rsidRDefault="00F15F22">
            <w:pPr>
              <w:rPr>
                <w:sz w:val="22"/>
                <w:szCs w:val="18"/>
              </w:rPr>
            </w:pPr>
            <w:r w:rsidRPr="00F15F22">
              <w:rPr>
                <w:sz w:val="22"/>
                <w:szCs w:val="18"/>
              </w:rPr>
              <w:t>131-132, Far Gosford St, Coventry</w:t>
            </w:r>
          </w:p>
        </w:tc>
        <w:tc>
          <w:tcPr>
            <w:tcW w:w="2176" w:type="dxa"/>
            <w:tcMar>
              <w:top w:w="10" w:type="dxa"/>
              <w:left w:w="10" w:type="dxa"/>
              <w:bottom w:w="0" w:type="dxa"/>
              <w:right w:w="10" w:type="dxa"/>
            </w:tcMar>
            <w:vAlign w:val="center"/>
            <w:hideMark/>
          </w:tcPr>
          <w:p w14:paraId="24493C13" w14:textId="77777777" w:rsidR="00F15F22" w:rsidRPr="00F15F22" w:rsidRDefault="00F15F22">
            <w:pPr>
              <w:rPr>
                <w:sz w:val="22"/>
                <w:szCs w:val="18"/>
              </w:rPr>
            </w:pPr>
            <w:r w:rsidRPr="00F15F22">
              <w:rPr>
                <w:sz w:val="22"/>
                <w:szCs w:val="18"/>
              </w:rPr>
              <w:t>CV1 5EA</w:t>
            </w:r>
          </w:p>
        </w:tc>
      </w:tr>
    </w:tbl>
    <w:p w14:paraId="51ED3C69" w14:textId="7FA29EA2" w:rsidR="00B54045" w:rsidRPr="004C7DF4" w:rsidRDefault="00E42D90" w:rsidP="00787F56">
      <w:r>
        <w:t> </w:t>
      </w:r>
    </w:p>
    <w:p w14:paraId="7D4F967F" w14:textId="289BBA4F" w:rsidR="003B03C9" w:rsidRDefault="003B03C9" w:rsidP="00787F56">
      <w:r>
        <w:br w:type="page"/>
      </w:r>
    </w:p>
    <w:p w14:paraId="2FA5AE82" w14:textId="1A546592" w:rsidR="00C46A3C" w:rsidRDefault="00C65FF5" w:rsidP="00C46A3C">
      <w:pPr>
        <w:pStyle w:val="Heading1"/>
      </w:pPr>
      <w:bookmarkStart w:id="58" w:name="_Toc113628615"/>
      <w:r>
        <w:lastRenderedPageBreak/>
        <w:t>Conclusion</w:t>
      </w:r>
      <w:bookmarkEnd w:id="58"/>
    </w:p>
    <w:p w14:paraId="14192937" w14:textId="77777777" w:rsidR="00E50EEE" w:rsidRDefault="00E50EEE" w:rsidP="00E50EEE">
      <w:pPr>
        <w:pStyle w:val="Heading2"/>
      </w:pPr>
      <w:bookmarkStart w:id="59" w:name="_Toc113628616"/>
      <w:r>
        <w:t>Coventry</w:t>
      </w:r>
      <w:bookmarkEnd w:id="59"/>
    </w:p>
    <w:p w14:paraId="0D43757A" w14:textId="17F586BA" w:rsidR="6C07DEBB" w:rsidRDefault="7E3C3877" w:rsidP="57F30C54">
      <w:r>
        <w:t xml:space="preserve">The PNA tells us that even though coverage of community pharmacies is adequate for our needs, all community pharmacy services could be more effectively integrated into local pathways to ensure maximum benefits for population level health and wellbeing. The pathway into community pharmacy should be clear and well communicated, allowing community pharmacies the </w:t>
      </w:r>
      <w:r w:rsidR="57F30C54">
        <w:t xml:space="preserve">opportunity to deliver appropriate services. </w:t>
      </w:r>
      <w:r w:rsidR="00E2245F" w:rsidRPr="00E2245F">
        <w:t xml:space="preserve">Community Pharmacies can offer a suite of services commissioned locally and nationally. The direction of travel for service delivery through </w:t>
      </w:r>
      <w:r w:rsidR="00981537">
        <w:t>community pharmacies</w:t>
      </w:r>
      <w:r w:rsidR="00E2245F" w:rsidRPr="00E2245F">
        <w:t xml:space="preserve"> requires integration in terms of pathway design and infrastructure and for </w:t>
      </w:r>
      <w:r w:rsidR="00981537">
        <w:t>community pharmacies</w:t>
      </w:r>
      <w:r w:rsidR="00E2245F" w:rsidRPr="00E2245F">
        <w:t xml:space="preserve"> to be recognised as a member of the </w:t>
      </w:r>
      <w:r w:rsidR="00981537">
        <w:t>multi-disciplinary team</w:t>
      </w:r>
      <w:r w:rsidR="00E2245F" w:rsidRPr="00E2245F">
        <w:t xml:space="preserve"> along with other service providers in primary care.</w:t>
      </w:r>
    </w:p>
    <w:p w14:paraId="2EC61F8C" w14:textId="5D763247" w:rsidR="0055269E" w:rsidRDefault="4984A280" w:rsidP="40E4B28A">
      <w:r>
        <w:t>As many community</w:t>
      </w:r>
      <w:r w:rsidR="7E3C3877">
        <w:t xml:space="preserve"> pharmacies are often located in deprived areas with high population density, they</w:t>
      </w:r>
      <w:r>
        <w:t xml:space="preserve"> are </w:t>
      </w:r>
      <w:r w:rsidR="7E3C3877">
        <w:t>an important first point of contact for patients seeking ad-hoc health advice alongside picking up regular prescribed medicines or purchasing over the counter medicines. It is im</w:t>
      </w:r>
      <w:r w:rsidR="1768877C">
        <w:t xml:space="preserve">portant </w:t>
      </w:r>
      <w:r w:rsidR="7E3C3877">
        <w:t>for pharmacies to continue to deliver healthy lifestyle campaigns to support the wider determinants of health, increasing awareness of</w:t>
      </w:r>
      <w:r w:rsidR="1768877C">
        <w:t xml:space="preserve"> </w:t>
      </w:r>
      <w:r w:rsidR="7E3C3877">
        <w:t>local and national programmes which could positively impact the community’s health and wellbeing.</w:t>
      </w:r>
    </w:p>
    <w:p w14:paraId="17139397" w14:textId="40E5E77E" w:rsidR="6C07DEBB" w:rsidRDefault="6C07DEBB">
      <w:r>
        <w:t xml:space="preserve">There </w:t>
      </w:r>
      <w:r w:rsidR="0FCE1547">
        <w:t xml:space="preserve">are many opportunities where community pharmacies can support all workstreams of the </w:t>
      </w:r>
      <w:r>
        <w:t>evolving ICS and</w:t>
      </w:r>
      <w:r w:rsidR="0FCE1547">
        <w:t xml:space="preserve"> improve health, wellbeing and reducing health inequalities. Key opportunities for the </w:t>
      </w:r>
      <w:r w:rsidR="1337EE35">
        <w:t>ICS</w:t>
      </w:r>
      <w:r w:rsidR="0FCE1547">
        <w:t xml:space="preserve"> exist around making the most of existing commissioned services (essential, advanced and locally commissioned services) particularly in relation to medicines optimisation. </w:t>
      </w:r>
    </w:p>
    <w:p w14:paraId="511E761B" w14:textId="048DA059" w:rsidR="0FCE1547" w:rsidRDefault="0FCE1547">
      <w:r>
        <w:t xml:space="preserve">There is capacity for community pharmacy to address local priorities described in the JSNA and </w:t>
      </w:r>
      <w:r w:rsidR="1245C07F">
        <w:t>forthcoming ICS strategy.</w:t>
      </w:r>
      <w:r>
        <w:t xml:space="preserve"> Community pharmacies have close links with their communities and are therefore well placed to support CHWB to deliver their priorities. </w:t>
      </w:r>
    </w:p>
    <w:p w14:paraId="795605CE" w14:textId="5DFC73C7" w:rsidR="6C07DEBB" w:rsidRDefault="0FCE1547">
      <w:r>
        <w:t xml:space="preserve">Local commissioning organisations should continue to consider pharmacies among potential providers when they are looking at the </w:t>
      </w:r>
      <w:r w:rsidR="00C72D47">
        <w:t xml:space="preserve">unmet pharmaceutical needs and </w:t>
      </w:r>
      <w:r>
        <w:t>health needs of the local population, including when considering options for delivering integrated care.</w:t>
      </w:r>
      <w:r w:rsidR="00C72D47">
        <w:t xml:space="preserve"> Any commissioning of services or initiatives in community pharmacies should be informed by the evidence base and evaluated locally ideally using an evaluation framework that is planned before implementation. </w:t>
      </w:r>
    </w:p>
    <w:p w14:paraId="41B24134" w14:textId="77777777" w:rsidR="00403272" w:rsidRDefault="00403272" w:rsidP="00403272">
      <w:r>
        <w:t xml:space="preserve">Pressures on community pharmacies have increased due to the COVID-19 pandemic, and this pressure may increase over the next few years due to the cost-of-living crisis. This should </w:t>
      </w:r>
      <w:r>
        <w:lastRenderedPageBreak/>
        <w:t xml:space="preserve">be carefully monitored to understand how this may change community pharmacy provision, and provide support should that be needed. </w:t>
      </w:r>
    </w:p>
    <w:p w14:paraId="0BC21DA8" w14:textId="33DDBC49" w:rsidR="00AF000F" w:rsidRDefault="00AF000F">
      <w:r>
        <w:t xml:space="preserve">There is good access for community pharmacies in Coventry, with </w:t>
      </w:r>
      <w:r w:rsidR="007A2D16">
        <w:t>51</w:t>
      </w:r>
      <w:r w:rsidR="007804A6">
        <w:t xml:space="preserve"> of the </w:t>
      </w:r>
      <w:r w:rsidR="007A2D16">
        <w:t>97</w:t>
      </w:r>
      <w:r w:rsidR="007804A6">
        <w:t xml:space="preserve"> pharmacies in </w:t>
      </w:r>
      <w:r w:rsidR="007A2D16">
        <w:t>Coventry</w:t>
      </w:r>
      <w:r w:rsidR="007804A6">
        <w:t xml:space="preserve"> being open on a Saturday</w:t>
      </w:r>
      <w:r w:rsidR="00F47678">
        <w:t xml:space="preserve"> and </w:t>
      </w:r>
      <w:r w:rsidR="00F81136">
        <w:t>the majority</w:t>
      </w:r>
      <w:r w:rsidR="00F47678">
        <w:t xml:space="preserve"> of </w:t>
      </w:r>
      <w:r w:rsidR="00F81136">
        <w:t xml:space="preserve">pharmacies </w:t>
      </w:r>
      <w:r w:rsidR="00F47678">
        <w:t xml:space="preserve">being </w:t>
      </w:r>
      <w:r w:rsidR="00F81136">
        <w:t xml:space="preserve">within a 5 </w:t>
      </w:r>
      <w:r w:rsidR="00007271">
        <w:t>minute</w:t>
      </w:r>
      <w:r w:rsidR="00F47678">
        <w:t xml:space="preserve"> drive</w:t>
      </w:r>
      <w:r w:rsidR="00F81136">
        <w:t xml:space="preserve">, and all pharmacies </w:t>
      </w:r>
      <w:r w:rsidR="00677C5A">
        <w:t>within a 15 minute drive.</w:t>
      </w:r>
      <w:r w:rsidR="00F47678">
        <w:t xml:space="preserve"> </w:t>
      </w:r>
      <w:r w:rsidR="005F6490">
        <w:t xml:space="preserve">There is </w:t>
      </w:r>
      <w:r w:rsidR="00007271">
        <w:t xml:space="preserve">opportunity to do more joined up work when it comes to signposting, both </w:t>
      </w:r>
      <w:r w:rsidR="00F41333">
        <w:t>into community pharmacies (providing clear information on opening times and services offered) and out of pharmacies (</w:t>
      </w:r>
      <w:r w:rsidR="001B0925">
        <w:t>best pathways for care</w:t>
      </w:r>
      <w:r w:rsidR="007A779F">
        <w:t>).</w:t>
      </w:r>
    </w:p>
    <w:p w14:paraId="714ABC46" w14:textId="2E4D801D" w:rsidR="005F3406" w:rsidRDefault="00823BD3" w:rsidP="005F3406">
      <w:r>
        <w:t>It is important to</w:t>
      </w:r>
      <w:r w:rsidR="005F3406">
        <w:t xml:space="preserve"> emphasis prevention, early intervention, and early help to protect and maintain people’s health and independence. The</w:t>
      </w:r>
      <w:r w:rsidR="00564551">
        <w:t xml:space="preserve"> Coventry</w:t>
      </w:r>
      <w:r w:rsidR="005F3406">
        <w:t xml:space="preserve"> Health and Wellbeing Board consider community pharmacies to be a key health and wellbeing resource and recognise that they offer potential opportunities to support health improvement initiatives and work closely with partners to promote health and wellbeing. </w:t>
      </w:r>
    </w:p>
    <w:p w14:paraId="6E7C2EB2" w14:textId="77777777" w:rsidR="00403272" w:rsidRDefault="00403272" w:rsidP="00403272">
      <w:r>
        <w:t xml:space="preserve">The public engagement process revealed a high level of satisfaction on the part of respondents. </w:t>
      </w:r>
      <w:r>
        <w:br w:type="page"/>
      </w:r>
    </w:p>
    <w:p w14:paraId="22B9BAAA" w14:textId="77777777" w:rsidR="00E50EEE" w:rsidRDefault="00E50EEE" w:rsidP="00E50EEE">
      <w:pPr>
        <w:pStyle w:val="Heading2"/>
      </w:pPr>
      <w:bookmarkStart w:id="60" w:name="_Toc113628617"/>
      <w:r>
        <w:lastRenderedPageBreak/>
        <w:t>Warwickshire</w:t>
      </w:r>
      <w:bookmarkEnd w:id="60"/>
      <w:r>
        <w:t xml:space="preserve"> </w:t>
      </w:r>
    </w:p>
    <w:p w14:paraId="4929F11F" w14:textId="3ED56543" w:rsidR="00287A0E" w:rsidRDefault="004A4FE5" w:rsidP="00E50EEE">
      <w:r>
        <w:t>Whi</w:t>
      </w:r>
      <w:r w:rsidR="005C798D">
        <w:t>lst the PNA concludes that there is an adequate provision of pharmaceutical services in Warwickshire to serve the needs of the population, there is an opportunity to encourage community pharmacies to be part of service pathways.</w:t>
      </w:r>
      <w:r w:rsidR="00287A0E">
        <w:t xml:space="preserve"> The pathway into community pharmacy should be clear and well communicated, allowing community pharmacies the opportunity to deliver appropriate services. </w:t>
      </w:r>
      <w:r w:rsidR="00E2245F" w:rsidRPr="00E2245F">
        <w:t xml:space="preserve">Community Pharmacies can offer a suite of services commissioned locally and nationally. </w:t>
      </w:r>
      <w:r w:rsidR="00981537" w:rsidRPr="00E2245F">
        <w:t xml:space="preserve">The direction of travel for service delivery through </w:t>
      </w:r>
      <w:r w:rsidR="00981537">
        <w:t>community pharmacies</w:t>
      </w:r>
      <w:r w:rsidR="00981537" w:rsidRPr="00E2245F">
        <w:t xml:space="preserve"> requires integration in terms of pathway design and infrastructure and for </w:t>
      </w:r>
      <w:r w:rsidR="00981537">
        <w:t>community pharmacies</w:t>
      </w:r>
      <w:r w:rsidR="00981537" w:rsidRPr="00E2245F">
        <w:t xml:space="preserve"> to be recognised as a member of the </w:t>
      </w:r>
      <w:r w:rsidR="00981537">
        <w:t>multi-disciplinary team</w:t>
      </w:r>
      <w:r w:rsidR="00981537" w:rsidRPr="00E2245F">
        <w:t xml:space="preserve"> along with other service providers in primary care.</w:t>
      </w:r>
    </w:p>
    <w:p w14:paraId="4D00F5DF" w14:textId="3A71BA93" w:rsidR="003502A0" w:rsidRDefault="00CA7CBF" w:rsidP="00E50EEE">
      <w:r>
        <w:t>Co</w:t>
      </w:r>
      <w:r w:rsidR="00795AE6">
        <w:t xml:space="preserve">mmunity pharmacies can serve as an important first point of contact for people seeking health advice as well as collecting prescriptions and buying over the counter medication. </w:t>
      </w:r>
      <w:r w:rsidR="007907DE">
        <w:t>Many pharmacies can be found in high density</w:t>
      </w:r>
      <w:r w:rsidR="00FB07FA">
        <w:t xml:space="preserve">, </w:t>
      </w:r>
      <w:r w:rsidR="009B2A19">
        <w:t>deprived</w:t>
      </w:r>
      <w:r w:rsidR="00FB07FA">
        <w:t xml:space="preserve"> areas</w:t>
      </w:r>
      <w:r w:rsidR="00D91027">
        <w:t xml:space="preserve"> and have important links out into the communities they serve. </w:t>
      </w:r>
      <w:r w:rsidR="00054B5F">
        <w:t>It is important for pharmacies to continue to deliver healthy lifestyle campaigns to support the wider determinants of health, increasing awareness of local and national programmes which could positively impact the community’s health and wellbeing.</w:t>
      </w:r>
    </w:p>
    <w:p w14:paraId="3EF89266" w14:textId="64DB163B" w:rsidR="006B3AF7" w:rsidRDefault="006B3AF7" w:rsidP="00E50EEE">
      <w:r>
        <w:t xml:space="preserve">Local commissioning organisations should therefore continue to consider pharmacies among potential providers when they are looking at the unmet pharmaceutical needs and health needs of the local population, including when considering options for delivering integrated care. </w:t>
      </w:r>
    </w:p>
    <w:p w14:paraId="35683B14" w14:textId="77777777" w:rsidR="00322E8C" w:rsidRDefault="00322E8C" w:rsidP="00322E8C">
      <w:r>
        <w:t xml:space="preserve">Pressures on community pharmacies have increased due to the COVID-19 pandemic, and this pressure may increase over the next few years due to the cost-of-living crisis. This should be carefully monitored to understand how this may change community pharmacy provision and provide support should that be needed. </w:t>
      </w:r>
    </w:p>
    <w:p w14:paraId="459C36AD" w14:textId="48BDA97A" w:rsidR="00AF000F" w:rsidRDefault="00AF000F" w:rsidP="00322E8C">
      <w:r>
        <w:t xml:space="preserve">There is good access for community pharmacies in Warwickshire, with </w:t>
      </w:r>
      <w:r w:rsidR="007804A6">
        <w:t xml:space="preserve">86 of the </w:t>
      </w:r>
      <w:r w:rsidR="00D817F3">
        <w:t>106</w:t>
      </w:r>
      <w:r w:rsidR="007804A6">
        <w:t xml:space="preserve"> pharmacies in the county being open on a Saturday</w:t>
      </w:r>
      <w:r w:rsidR="00F47678">
        <w:t xml:space="preserve"> and almost the entirety of the county being with a </w:t>
      </w:r>
      <w:r w:rsidR="00007271">
        <w:t>15-minute</w:t>
      </w:r>
      <w:r w:rsidR="00F47678">
        <w:t xml:space="preserve"> drive of a pharmacy</w:t>
      </w:r>
      <w:r w:rsidR="007804A6">
        <w:t>.</w:t>
      </w:r>
      <w:r w:rsidR="00F47678">
        <w:t xml:space="preserve"> </w:t>
      </w:r>
      <w:r w:rsidR="005F6490">
        <w:t xml:space="preserve">There is </w:t>
      </w:r>
      <w:r w:rsidR="00007271">
        <w:t xml:space="preserve">opportunity to do more joined up work when it comes to signposting, both </w:t>
      </w:r>
      <w:r w:rsidR="00F41333">
        <w:t>into community pharmacies (providing clear information on opening times and services offered) and out of pharmacies (</w:t>
      </w:r>
      <w:r w:rsidR="00392D50">
        <w:t xml:space="preserve">such as </w:t>
      </w:r>
      <w:r w:rsidR="001B0925">
        <w:t>best pathways for care</w:t>
      </w:r>
      <w:r w:rsidR="007A779F">
        <w:t xml:space="preserve">). </w:t>
      </w:r>
    </w:p>
    <w:p w14:paraId="1F41D3A8" w14:textId="5B41957B" w:rsidR="0094566F" w:rsidRDefault="003D0B30" w:rsidP="00E50EEE">
      <w:r>
        <w:t xml:space="preserve">The changing population needs for healthcare and in particular the demands of an </w:t>
      </w:r>
      <w:r w:rsidR="001C23AD">
        <w:t xml:space="preserve">increasing </w:t>
      </w:r>
      <w:r>
        <w:t xml:space="preserve">ageing population with multiple long-term conditions mean there are some significant challenges to overcome in the drive to improve health and well-being in Warwickshire. To meet these challenges, there will need to be a much greater emphasis on prevention, early </w:t>
      </w:r>
      <w:r>
        <w:lastRenderedPageBreak/>
        <w:t xml:space="preserve">intervention, and early help to protect and maintain people’s health and independence. The Warwickshire Health and Wellbeing Board consider community pharmacies to be a key health and wellbeing resource and recognise that they offer potential opportunities to support health improvement </w:t>
      </w:r>
      <w:r w:rsidR="00D45B7C">
        <w:t xml:space="preserve">initiatives and work closely with partners to promote health and wellbeing. </w:t>
      </w:r>
    </w:p>
    <w:p w14:paraId="75E001D6" w14:textId="2DFE2738" w:rsidR="00A873B1" w:rsidRDefault="0094566F" w:rsidP="00E50EEE">
      <w:r>
        <w:t xml:space="preserve">There are opportunities to develop the contribution of community pharmacies across </w:t>
      </w:r>
      <w:r w:rsidR="00A873B1">
        <w:t>all</w:t>
      </w:r>
      <w:r>
        <w:t xml:space="preserve"> the currently commissioned services</w:t>
      </w:r>
      <w:r w:rsidR="006A76E4">
        <w:t xml:space="preserve">. </w:t>
      </w:r>
      <w:r>
        <w:t xml:space="preserve">Any commissioning of services or initiatives in community pharmacies should be informed by the evidence base and evaluated locally ideally using an evaluation framework that is planned before implementation. </w:t>
      </w:r>
    </w:p>
    <w:p w14:paraId="094D1CEA" w14:textId="0E69CB35" w:rsidR="00EF38F4" w:rsidRDefault="00A873B1" w:rsidP="00E50EEE">
      <w:r>
        <w:t xml:space="preserve">There is capacity for community pharmacy to address local priorities described in the JSNA and </w:t>
      </w:r>
      <w:r w:rsidR="00886356">
        <w:t>evolving ICS</w:t>
      </w:r>
      <w:r>
        <w:t xml:space="preserve">. Community pharmacies have close links with their communities and are therefore well placed to support WHWB to deliver these priorities. </w:t>
      </w:r>
    </w:p>
    <w:p w14:paraId="51B10AA7" w14:textId="6E8C0977" w:rsidR="00A43B98" w:rsidRDefault="009E4923" w:rsidP="00E50EEE">
      <w:r>
        <w:t>The public engagement process revealed a high level of satisfaction on the part of respondents</w:t>
      </w:r>
      <w:r w:rsidR="006A76E4">
        <w:t>, with particular praise for the part they played in the COVID-19 pandemic</w:t>
      </w:r>
      <w:r>
        <w:t xml:space="preserve">. </w:t>
      </w:r>
      <w:r w:rsidR="00A43B98">
        <w:br w:type="page"/>
      </w:r>
    </w:p>
    <w:p w14:paraId="2161C34E" w14:textId="3587326D" w:rsidR="00C46A3C" w:rsidRDefault="00C46A3C" w:rsidP="00C46A3C">
      <w:pPr>
        <w:pStyle w:val="Heading1"/>
      </w:pPr>
      <w:bookmarkStart w:id="61" w:name="_Toc113628618"/>
      <w:r>
        <w:lastRenderedPageBreak/>
        <w:t>Appendicies</w:t>
      </w:r>
      <w:bookmarkEnd w:id="61"/>
    </w:p>
    <w:p w14:paraId="32983527" w14:textId="03F6AEF5" w:rsidR="004924E5" w:rsidRDefault="004924E5" w:rsidP="004924E5">
      <w:pPr>
        <w:pStyle w:val="Heading2"/>
      </w:pPr>
      <w:bookmarkStart w:id="62" w:name="_Toc113628619"/>
      <w:r>
        <w:t>Appendix 1 - Pharmacy Survey</w:t>
      </w:r>
      <w:bookmarkEnd w:id="62"/>
    </w:p>
    <w:p w14:paraId="143BF795" w14:textId="77777777" w:rsidR="004924E5" w:rsidRDefault="004924E5" w:rsidP="004924E5">
      <w:pPr>
        <w:rPr>
          <w:rFonts w:eastAsia="MS Mincho" w:cs="Arial"/>
          <w:szCs w:val="24"/>
        </w:rPr>
      </w:pPr>
      <w:r>
        <w:rPr>
          <w:rFonts w:eastAsia="MS Mincho" w:cs="Arial"/>
          <w:szCs w:val="24"/>
        </w:rPr>
        <w:t xml:space="preserve">Out of 197 pharmacies, </w:t>
      </w:r>
      <w:r w:rsidRPr="735E136F">
        <w:rPr>
          <w:rFonts w:eastAsia="MS Mincho" w:cs="Arial"/>
          <w:szCs w:val="24"/>
        </w:rPr>
        <w:t>161 responses to the Pharmacy Professionals survey</w:t>
      </w:r>
      <w:r>
        <w:rPr>
          <w:rFonts w:eastAsia="MS Mincho" w:cs="Arial"/>
          <w:szCs w:val="24"/>
        </w:rPr>
        <w:t xml:space="preserve"> were received</w:t>
      </w:r>
      <w:r w:rsidRPr="735E136F">
        <w:rPr>
          <w:rFonts w:eastAsia="MS Mincho" w:cs="Arial"/>
          <w:szCs w:val="24"/>
        </w:rPr>
        <w:t>. Of these, Coventry had 76 responses (47%) and Warwickshire had 85 responses (53%).</w:t>
      </w:r>
    </w:p>
    <w:p w14:paraId="5B95BD82" w14:textId="29426497" w:rsidR="004924E5" w:rsidRDefault="00430783" w:rsidP="004924E5">
      <w:pPr>
        <w:rPr>
          <w:rFonts w:eastAsia="MS Mincho" w:cs="Arial"/>
          <w:szCs w:val="24"/>
        </w:rPr>
      </w:pPr>
      <w:r>
        <w:rPr>
          <w:rFonts w:eastAsia="MS Mincho" w:cs="Arial"/>
          <w:szCs w:val="24"/>
        </w:rPr>
        <w:t>Table</w:t>
      </w:r>
      <w:r w:rsidR="004924E5">
        <w:rPr>
          <w:rFonts w:eastAsia="MS Mincho" w:cs="Arial"/>
          <w:szCs w:val="24"/>
        </w:rPr>
        <w:t xml:space="preserve"> </w:t>
      </w:r>
      <w:r>
        <w:rPr>
          <w:rFonts w:eastAsia="MS Mincho" w:cs="Arial"/>
          <w:szCs w:val="24"/>
        </w:rPr>
        <w:t>17</w:t>
      </w:r>
      <w:r w:rsidR="004924E5">
        <w:rPr>
          <w:rFonts w:eastAsia="MS Mincho" w:cs="Arial"/>
          <w:szCs w:val="24"/>
        </w:rPr>
        <w:t>: Number of responses to the Pharmacy Professionals Survey by District / Borough</w:t>
      </w:r>
    </w:p>
    <w:tbl>
      <w:tblPr>
        <w:tblStyle w:val="GridTable4-Accent1"/>
        <w:tblW w:w="0" w:type="auto"/>
        <w:jc w:val="center"/>
        <w:tblLook w:val="04A0" w:firstRow="1" w:lastRow="0" w:firstColumn="1" w:lastColumn="0" w:noHBand="0" w:noVBand="1"/>
      </w:tblPr>
      <w:tblGrid>
        <w:gridCol w:w="2660"/>
        <w:gridCol w:w="2977"/>
      </w:tblGrid>
      <w:tr w:rsidR="004924E5" w14:paraId="699ED2D6" w14:textId="77777777" w:rsidTr="004307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14:paraId="1A940EC7" w14:textId="77777777" w:rsidR="004924E5" w:rsidRDefault="004924E5" w:rsidP="007E46C2">
            <w:pPr>
              <w:rPr>
                <w:rFonts w:eastAsia="MS Mincho" w:cs="Arial"/>
                <w:szCs w:val="24"/>
              </w:rPr>
            </w:pPr>
            <w:r>
              <w:rPr>
                <w:rFonts w:eastAsia="MS Mincho" w:cs="Arial"/>
                <w:szCs w:val="24"/>
              </w:rPr>
              <w:t>District / Borough</w:t>
            </w:r>
          </w:p>
        </w:tc>
        <w:tc>
          <w:tcPr>
            <w:tcW w:w="2977" w:type="dxa"/>
          </w:tcPr>
          <w:p w14:paraId="3D07A702" w14:textId="77777777" w:rsidR="004924E5" w:rsidRDefault="004924E5" w:rsidP="007E46C2">
            <w:pPr>
              <w:cnfStyle w:val="100000000000" w:firstRow="1"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Number of Responses</w:t>
            </w:r>
          </w:p>
        </w:tc>
      </w:tr>
      <w:tr w:rsidR="004924E5" w14:paraId="3894EEE1" w14:textId="77777777" w:rsidTr="004307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14:paraId="0D0B5727" w14:textId="77777777" w:rsidR="004924E5" w:rsidRDefault="004924E5" w:rsidP="007E46C2">
            <w:pPr>
              <w:rPr>
                <w:rFonts w:eastAsia="MS Mincho" w:cs="Arial"/>
                <w:szCs w:val="24"/>
              </w:rPr>
            </w:pPr>
            <w:r>
              <w:rPr>
                <w:rFonts w:eastAsia="MS Mincho" w:cs="Arial"/>
                <w:szCs w:val="24"/>
              </w:rPr>
              <w:t>Coventry</w:t>
            </w:r>
          </w:p>
        </w:tc>
        <w:tc>
          <w:tcPr>
            <w:tcW w:w="2977" w:type="dxa"/>
          </w:tcPr>
          <w:p w14:paraId="071B2CDE" w14:textId="77777777" w:rsidR="004924E5" w:rsidRDefault="004924E5" w:rsidP="007E46C2">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76</w:t>
            </w:r>
          </w:p>
        </w:tc>
      </w:tr>
      <w:tr w:rsidR="004924E5" w14:paraId="1F511209" w14:textId="77777777" w:rsidTr="00430783">
        <w:trPr>
          <w:jc w:val="center"/>
        </w:trPr>
        <w:tc>
          <w:tcPr>
            <w:cnfStyle w:val="001000000000" w:firstRow="0" w:lastRow="0" w:firstColumn="1" w:lastColumn="0" w:oddVBand="0" w:evenVBand="0" w:oddHBand="0" w:evenHBand="0" w:firstRowFirstColumn="0" w:firstRowLastColumn="0" w:lastRowFirstColumn="0" w:lastRowLastColumn="0"/>
            <w:tcW w:w="2660" w:type="dxa"/>
          </w:tcPr>
          <w:p w14:paraId="449D0A5A" w14:textId="77777777" w:rsidR="004924E5" w:rsidRDefault="004924E5" w:rsidP="007E46C2">
            <w:pPr>
              <w:rPr>
                <w:rFonts w:eastAsia="MS Mincho" w:cs="Arial"/>
                <w:szCs w:val="24"/>
              </w:rPr>
            </w:pPr>
            <w:r>
              <w:rPr>
                <w:rFonts w:eastAsia="MS Mincho" w:cs="Arial"/>
                <w:szCs w:val="24"/>
              </w:rPr>
              <w:t>North Warwickshire</w:t>
            </w:r>
          </w:p>
        </w:tc>
        <w:tc>
          <w:tcPr>
            <w:tcW w:w="2977" w:type="dxa"/>
          </w:tcPr>
          <w:p w14:paraId="57A2E5A7" w14:textId="77777777" w:rsidR="004924E5" w:rsidRDefault="004924E5" w:rsidP="007E46C2">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13</w:t>
            </w:r>
          </w:p>
        </w:tc>
      </w:tr>
      <w:tr w:rsidR="004924E5" w14:paraId="65AC548E" w14:textId="77777777" w:rsidTr="004307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14:paraId="042D98FF" w14:textId="77777777" w:rsidR="004924E5" w:rsidRDefault="004924E5" w:rsidP="007E46C2">
            <w:pPr>
              <w:rPr>
                <w:rFonts w:eastAsia="MS Mincho" w:cs="Arial"/>
                <w:szCs w:val="24"/>
              </w:rPr>
            </w:pPr>
            <w:r>
              <w:rPr>
                <w:rFonts w:eastAsia="MS Mincho" w:cs="Arial"/>
                <w:szCs w:val="24"/>
              </w:rPr>
              <w:t>Nuneaton &amp; Bedworth</w:t>
            </w:r>
          </w:p>
        </w:tc>
        <w:tc>
          <w:tcPr>
            <w:tcW w:w="2977" w:type="dxa"/>
          </w:tcPr>
          <w:p w14:paraId="64532B2D" w14:textId="77777777" w:rsidR="004924E5" w:rsidRDefault="004924E5" w:rsidP="007E46C2">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22</w:t>
            </w:r>
          </w:p>
        </w:tc>
      </w:tr>
      <w:tr w:rsidR="004924E5" w14:paraId="27129F06" w14:textId="77777777" w:rsidTr="00430783">
        <w:trPr>
          <w:jc w:val="center"/>
        </w:trPr>
        <w:tc>
          <w:tcPr>
            <w:cnfStyle w:val="001000000000" w:firstRow="0" w:lastRow="0" w:firstColumn="1" w:lastColumn="0" w:oddVBand="0" w:evenVBand="0" w:oddHBand="0" w:evenHBand="0" w:firstRowFirstColumn="0" w:firstRowLastColumn="0" w:lastRowFirstColumn="0" w:lastRowLastColumn="0"/>
            <w:tcW w:w="2660" w:type="dxa"/>
          </w:tcPr>
          <w:p w14:paraId="1F34CB6A" w14:textId="77777777" w:rsidR="004924E5" w:rsidRDefault="004924E5" w:rsidP="007E46C2">
            <w:pPr>
              <w:rPr>
                <w:rFonts w:eastAsia="MS Mincho" w:cs="Arial"/>
                <w:szCs w:val="24"/>
              </w:rPr>
            </w:pPr>
            <w:r>
              <w:rPr>
                <w:rFonts w:eastAsia="MS Mincho" w:cs="Arial"/>
                <w:szCs w:val="24"/>
              </w:rPr>
              <w:t>Rugby</w:t>
            </w:r>
          </w:p>
        </w:tc>
        <w:tc>
          <w:tcPr>
            <w:tcW w:w="2977" w:type="dxa"/>
          </w:tcPr>
          <w:p w14:paraId="476C76B3" w14:textId="77777777" w:rsidR="004924E5" w:rsidRDefault="004924E5" w:rsidP="007E46C2">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13</w:t>
            </w:r>
          </w:p>
        </w:tc>
      </w:tr>
      <w:tr w:rsidR="004924E5" w14:paraId="6A31A87A" w14:textId="77777777" w:rsidTr="004307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tcPr>
          <w:p w14:paraId="106B7589" w14:textId="77777777" w:rsidR="004924E5" w:rsidRDefault="004924E5" w:rsidP="007E46C2">
            <w:pPr>
              <w:rPr>
                <w:rFonts w:eastAsia="MS Mincho" w:cs="Arial"/>
                <w:szCs w:val="24"/>
              </w:rPr>
            </w:pPr>
            <w:r>
              <w:rPr>
                <w:rFonts w:eastAsia="MS Mincho" w:cs="Arial"/>
                <w:szCs w:val="24"/>
              </w:rPr>
              <w:t>Stratford-on-Avon</w:t>
            </w:r>
          </w:p>
        </w:tc>
        <w:tc>
          <w:tcPr>
            <w:tcW w:w="2977" w:type="dxa"/>
          </w:tcPr>
          <w:p w14:paraId="0588BFC5" w14:textId="77777777" w:rsidR="004924E5" w:rsidRDefault="004924E5" w:rsidP="007E46C2">
            <w:pPr>
              <w:cnfStyle w:val="000000100000" w:firstRow="0" w:lastRow="0" w:firstColumn="0" w:lastColumn="0" w:oddVBand="0" w:evenVBand="0" w:oddHBand="1" w:evenHBand="0" w:firstRowFirstColumn="0" w:firstRowLastColumn="0" w:lastRowFirstColumn="0" w:lastRowLastColumn="0"/>
              <w:rPr>
                <w:rFonts w:eastAsia="MS Mincho" w:cs="Arial"/>
                <w:szCs w:val="24"/>
              </w:rPr>
            </w:pPr>
            <w:r>
              <w:rPr>
                <w:rFonts w:eastAsia="MS Mincho" w:cs="Arial"/>
                <w:szCs w:val="24"/>
              </w:rPr>
              <w:t>15</w:t>
            </w:r>
          </w:p>
        </w:tc>
      </w:tr>
      <w:tr w:rsidR="004924E5" w14:paraId="6F9AE179" w14:textId="77777777" w:rsidTr="00430783">
        <w:trPr>
          <w:jc w:val="center"/>
        </w:trPr>
        <w:tc>
          <w:tcPr>
            <w:cnfStyle w:val="001000000000" w:firstRow="0" w:lastRow="0" w:firstColumn="1" w:lastColumn="0" w:oddVBand="0" w:evenVBand="0" w:oddHBand="0" w:evenHBand="0" w:firstRowFirstColumn="0" w:firstRowLastColumn="0" w:lastRowFirstColumn="0" w:lastRowLastColumn="0"/>
            <w:tcW w:w="2660" w:type="dxa"/>
          </w:tcPr>
          <w:p w14:paraId="0E194E34" w14:textId="77777777" w:rsidR="004924E5" w:rsidRDefault="004924E5" w:rsidP="007E46C2">
            <w:pPr>
              <w:rPr>
                <w:rFonts w:eastAsia="MS Mincho" w:cs="Arial"/>
                <w:szCs w:val="24"/>
              </w:rPr>
            </w:pPr>
            <w:r>
              <w:rPr>
                <w:rFonts w:eastAsia="MS Mincho" w:cs="Arial"/>
                <w:szCs w:val="24"/>
              </w:rPr>
              <w:t>Warwick</w:t>
            </w:r>
          </w:p>
        </w:tc>
        <w:tc>
          <w:tcPr>
            <w:tcW w:w="2977" w:type="dxa"/>
          </w:tcPr>
          <w:p w14:paraId="7BD9DA5B" w14:textId="77777777" w:rsidR="004924E5" w:rsidRDefault="004924E5" w:rsidP="007E46C2">
            <w:pPr>
              <w:cnfStyle w:val="000000000000" w:firstRow="0" w:lastRow="0" w:firstColumn="0" w:lastColumn="0" w:oddVBand="0" w:evenVBand="0" w:oddHBand="0" w:evenHBand="0" w:firstRowFirstColumn="0" w:firstRowLastColumn="0" w:lastRowFirstColumn="0" w:lastRowLastColumn="0"/>
              <w:rPr>
                <w:rFonts w:eastAsia="MS Mincho" w:cs="Arial"/>
                <w:szCs w:val="24"/>
              </w:rPr>
            </w:pPr>
            <w:r>
              <w:rPr>
                <w:rFonts w:eastAsia="MS Mincho" w:cs="Arial"/>
                <w:szCs w:val="24"/>
              </w:rPr>
              <w:t>22</w:t>
            </w:r>
          </w:p>
        </w:tc>
      </w:tr>
    </w:tbl>
    <w:p w14:paraId="23C8C815" w14:textId="5814AEB8" w:rsidR="004924E5" w:rsidRDefault="00430783" w:rsidP="00430783">
      <w:pPr>
        <w:pStyle w:val="Caption"/>
        <w:rPr>
          <w:rFonts w:eastAsia="MS Mincho" w:cs="Arial"/>
          <w:szCs w:val="24"/>
        </w:rPr>
      </w:pPr>
      <w:r>
        <w:t xml:space="preserve">Table </w:t>
      </w:r>
      <w:r>
        <w:fldChar w:fldCharType="begin"/>
      </w:r>
      <w:r>
        <w:instrText>SEQ Table \* ARABIC</w:instrText>
      </w:r>
      <w:r>
        <w:fldChar w:fldCharType="separate"/>
      </w:r>
      <w:r w:rsidR="00AC4C6D">
        <w:rPr>
          <w:noProof/>
        </w:rPr>
        <w:t>17</w:t>
      </w:r>
      <w:r>
        <w:fldChar w:fldCharType="end"/>
      </w:r>
      <w:r>
        <w:t>: Number of responses to the pharmacy professionals survey by district/borough</w:t>
      </w:r>
    </w:p>
    <w:p w14:paraId="68B0A179" w14:textId="588389A1" w:rsidR="004924E5" w:rsidRDefault="004924E5" w:rsidP="004924E5">
      <w:pPr>
        <w:rPr>
          <w:rFonts w:eastAsia="MS Mincho" w:cs="Arial"/>
          <w:szCs w:val="24"/>
        </w:rPr>
      </w:pPr>
      <w:r>
        <w:rPr>
          <w:rFonts w:eastAsia="MS Mincho" w:cs="Arial"/>
          <w:szCs w:val="24"/>
        </w:rPr>
        <w:t>Of the 161 pharmacies</w:t>
      </w:r>
      <w:r w:rsidR="00C511FC">
        <w:rPr>
          <w:rFonts w:eastAsia="MS Mincho" w:cs="Arial"/>
          <w:szCs w:val="24"/>
        </w:rPr>
        <w:t xml:space="preserve"> who responded to the survey</w:t>
      </w:r>
      <w:r>
        <w:rPr>
          <w:rFonts w:eastAsia="MS Mincho" w:cs="Arial"/>
          <w:szCs w:val="24"/>
        </w:rPr>
        <w:t>, 159 had consultation rooms (98%), with the remaining being distance selling pharmacies. There were hand washing facilities at 142 of the pharmacies (88%), and toilet facilities at 54 pharmacies (34%).</w:t>
      </w:r>
    </w:p>
    <w:p w14:paraId="5B2F829C" w14:textId="77777777" w:rsidR="004924E5" w:rsidRDefault="004924E5" w:rsidP="004924E5">
      <w:pPr>
        <w:rPr>
          <w:rFonts w:eastAsia="MS Mincho" w:cs="Arial"/>
          <w:szCs w:val="24"/>
        </w:rPr>
      </w:pPr>
      <w:r>
        <w:rPr>
          <w:rFonts w:eastAsia="MS Mincho" w:cs="Arial"/>
          <w:szCs w:val="24"/>
        </w:rPr>
        <w:t>Offsite consultations were available at 75 pharmacies (47%)</w:t>
      </w:r>
    </w:p>
    <w:p w14:paraId="48B28AD7" w14:textId="77777777" w:rsidR="004924E5" w:rsidRDefault="004924E5" w:rsidP="004924E5">
      <w:pPr>
        <w:rPr>
          <w:rFonts w:eastAsia="MS Mincho" w:cs="Arial"/>
          <w:szCs w:val="24"/>
        </w:rPr>
      </w:pPr>
      <w:r>
        <w:rPr>
          <w:rFonts w:eastAsia="MS Mincho" w:cs="Arial"/>
          <w:szCs w:val="24"/>
        </w:rPr>
        <w:t>Almost all pharmacies dispensed appliances (159, 98%).</w:t>
      </w:r>
    </w:p>
    <w:p w14:paraId="048530BA" w14:textId="40E9A674" w:rsidR="004924E5" w:rsidRDefault="004924E5" w:rsidP="004924E5">
      <w:pPr>
        <w:rPr>
          <w:rFonts w:eastAsia="MS Mincho" w:cs="Arial"/>
        </w:rPr>
      </w:pPr>
      <w:r w:rsidRPr="7A26B2B4">
        <w:rPr>
          <w:rFonts w:eastAsia="MS Mincho" w:cs="Arial"/>
        </w:rPr>
        <w:t xml:space="preserve">The number of pharmacies providing advanced services is shown in figure </w:t>
      </w:r>
      <w:r w:rsidR="00430783" w:rsidRPr="7A26B2B4">
        <w:rPr>
          <w:rFonts w:eastAsia="MS Mincho" w:cs="Arial"/>
        </w:rPr>
        <w:t>4</w:t>
      </w:r>
      <w:r w:rsidR="00703DFB">
        <w:rPr>
          <w:rFonts w:eastAsia="MS Mincho" w:cs="Arial"/>
        </w:rPr>
        <w:t>5</w:t>
      </w:r>
      <w:r w:rsidRPr="7A26B2B4">
        <w:rPr>
          <w:rFonts w:eastAsia="MS Mincho" w:cs="Arial"/>
        </w:rPr>
        <w:t>.</w:t>
      </w:r>
    </w:p>
    <w:p w14:paraId="2F7E3696" w14:textId="340D599E" w:rsidR="004924E5" w:rsidRDefault="7A26B2B4" w:rsidP="004924E5">
      <w:pPr>
        <w:rPr>
          <w:rFonts w:eastAsia="MS Mincho" w:cs="Arial"/>
          <w:szCs w:val="24"/>
        </w:rPr>
      </w:pPr>
      <w:r>
        <w:rPr>
          <w:noProof/>
        </w:rPr>
        <w:lastRenderedPageBreak/>
        <w:drawing>
          <wp:inline distT="0" distB="0" distL="0" distR="0" wp14:anchorId="28C12EDD" wp14:editId="07F8F8B0">
            <wp:extent cx="4572000" cy="3267075"/>
            <wp:effectExtent l="0" t="0" r="0" b="0"/>
            <wp:docPr id="1300429126" name="Picture 130042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4572000" cy="3267075"/>
                    </a:xfrm>
                    <a:prstGeom prst="rect">
                      <a:avLst/>
                    </a:prstGeom>
                  </pic:spPr>
                </pic:pic>
              </a:graphicData>
            </a:graphic>
          </wp:inline>
        </w:drawing>
      </w:r>
    </w:p>
    <w:p w14:paraId="3D0D7783" w14:textId="451EFB86" w:rsidR="00430783" w:rsidRDefault="00430783" w:rsidP="00430783">
      <w:pPr>
        <w:pStyle w:val="Caption"/>
        <w:rPr>
          <w:rFonts w:eastAsia="MS Mincho" w:cs="Arial"/>
          <w:szCs w:val="24"/>
        </w:rPr>
      </w:pPr>
      <w:r>
        <w:t xml:space="preserve">Figure </w:t>
      </w:r>
      <w:r>
        <w:fldChar w:fldCharType="begin"/>
      </w:r>
      <w:r>
        <w:instrText>SEQ Figure \* ARABIC</w:instrText>
      </w:r>
      <w:r>
        <w:fldChar w:fldCharType="separate"/>
      </w:r>
      <w:r w:rsidR="006553F7">
        <w:rPr>
          <w:noProof/>
        </w:rPr>
        <w:t>45</w:t>
      </w:r>
      <w:r>
        <w:fldChar w:fldCharType="end"/>
      </w:r>
      <w:r>
        <w:t>: Number of pharmacies providing advanced services</w:t>
      </w:r>
    </w:p>
    <w:p w14:paraId="1800D69C" w14:textId="32CF1964" w:rsidR="004924E5" w:rsidRDefault="004924E5" w:rsidP="004924E5">
      <w:pPr>
        <w:rPr>
          <w:rFonts w:eastAsia="MS Mincho" w:cs="Arial"/>
          <w:szCs w:val="24"/>
        </w:rPr>
      </w:pPr>
      <w:r>
        <w:rPr>
          <w:rFonts w:eastAsia="MS Mincho" w:cs="Arial"/>
          <w:szCs w:val="24"/>
        </w:rPr>
        <w:t xml:space="preserve">A list of other services provided by pharmacies are shown in </w:t>
      </w:r>
      <w:r w:rsidR="00430783">
        <w:rPr>
          <w:rFonts w:eastAsia="MS Mincho" w:cs="Arial"/>
          <w:szCs w:val="24"/>
        </w:rPr>
        <w:t>Table</w:t>
      </w:r>
      <w:r>
        <w:rPr>
          <w:rFonts w:eastAsia="MS Mincho" w:cs="Arial"/>
          <w:szCs w:val="24"/>
        </w:rPr>
        <w:t xml:space="preserve"> </w:t>
      </w:r>
      <w:r w:rsidR="00430783">
        <w:rPr>
          <w:rFonts w:eastAsia="MS Mincho" w:cs="Arial"/>
          <w:szCs w:val="24"/>
        </w:rPr>
        <w:t>18</w:t>
      </w:r>
      <w:r>
        <w:rPr>
          <w:rFonts w:eastAsia="MS Mincho" w:cs="Arial"/>
          <w:szCs w:val="24"/>
        </w:rPr>
        <w:t>. Pharmacies were able to select more than one option for each service. The home delivery service was the most commonly provided service (97 pharmacies), along with supervised administration service (93 pharmacies) and emergency supply service. There were a number of services provided by fewer than 5 pharmacies, however for all of these, there were over 100 pharmacies who said they would provide the service if commissioned.</w:t>
      </w:r>
    </w:p>
    <w:p w14:paraId="7335E866" w14:textId="17F3C0D9" w:rsidR="004924E5" w:rsidRDefault="004924E5" w:rsidP="004924E5">
      <w:pPr>
        <w:rPr>
          <w:rFonts w:eastAsia="MS Mincho" w:cs="Arial"/>
          <w:szCs w:val="24"/>
        </w:rPr>
      </w:pPr>
    </w:p>
    <w:tbl>
      <w:tblPr>
        <w:tblStyle w:val="GridTable4-Accent1"/>
        <w:tblW w:w="0" w:type="auto"/>
        <w:tblLook w:val="04A0" w:firstRow="1" w:lastRow="0" w:firstColumn="1" w:lastColumn="0" w:noHBand="0" w:noVBand="1"/>
      </w:tblPr>
      <w:tblGrid>
        <w:gridCol w:w="2037"/>
        <w:gridCol w:w="2037"/>
        <w:gridCol w:w="2038"/>
        <w:gridCol w:w="2038"/>
        <w:gridCol w:w="2038"/>
      </w:tblGrid>
      <w:tr w:rsidR="004924E5" w14:paraId="5FDACD29" w14:textId="77777777" w:rsidTr="007E46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tcPr>
          <w:p w14:paraId="76218710" w14:textId="77777777" w:rsidR="004924E5" w:rsidRPr="00597A2A" w:rsidRDefault="004924E5" w:rsidP="007E46C2">
            <w:pPr>
              <w:spacing w:before="200" w:after="200" w:line="276" w:lineRule="auto"/>
              <w:rPr>
                <w:sz w:val="22"/>
                <w:szCs w:val="22"/>
              </w:rPr>
            </w:pPr>
            <w:r w:rsidRPr="00597A2A">
              <w:rPr>
                <w:sz w:val="22"/>
                <w:szCs w:val="22"/>
              </w:rPr>
              <w:t>Service</w:t>
            </w:r>
          </w:p>
        </w:tc>
        <w:tc>
          <w:tcPr>
            <w:tcW w:w="2037" w:type="dxa"/>
          </w:tcPr>
          <w:p w14:paraId="7F47744F"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7345F282"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c>
          <w:tcPr>
            <w:tcW w:w="2038" w:type="dxa"/>
          </w:tcPr>
          <w:p w14:paraId="5D755026"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privately</w:t>
            </w:r>
          </w:p>
        </w:tc>
        <w:tc>
          <w:tcPr>
            <w:tcW w:w="2038" w:type="dxa"/>
          </w:tcPr>
          <w:p w14:paraId="7890A36F"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Wouldn’t provide if commissioned</w:t>
            </w:r>
          </w:p>
        </w:tc>
      </w:tr>
      <w:tr w:rsidR="004924E5" w:rsidRPr="00E53642" w14:paraId="2C7FA2C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7FD9734"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Home Delivery Service (not appliances)</w:t>
            </w:r>
          </w:p>
        </w:tc>
        <w:tc>
          <w:tcPr>
            <w:tcW w:w="2037" w:type="dxa"/>
            <w:noWrap/>
            <w:hideMark/>
          </w:tcPr>
          <w:p w14:paraId="069E82A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97</w:t>
            </w:r>
          </w:p>
        </w:tc>
        <w:tc>
          <w:tcPr>
            <w:tcW w:w="2038" w:type="dxa"/>
            <w:noWrap/>
            <w:hideMark/>
          </w:tcPr>
          <w:p w14:paraId="0A071591"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50</w:t>
            </w:r>
          </w:p>
        </w:tc>
        <w:tc>
          <w:tcPr>
            <w:tcW w:w="2038" w:type="dxa"/>
            <w:noWrap/>
            <w:hideMark/>
          </w:tcPr>
          <w:p w14:paraId="4CD3076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56D10A29"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w:t>
            </w:r>
          </w:p>
        </w:tc>
      </w:tr>
      <w:tr w:rsidR="004924E5" w:rsidRPr="00E53642" w14:paraId="03BEBEC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793BA7A"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Supervised Administration Service</w:t>
            </w:r>
          </w:p>
        </w:tc>
        <w:tc>
          <w:tcPr>
            <w:tcW w:w="2037" w:type="dxa"/>
            <w:noWrap/>
            <w:hideMark/>
          </w:tcPr>
          <w:p w14:paraId="3965B788"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93</w:t>
            </w:r>
          </w:p>
        </w:tc>
        <w:tc>
          <w:tcPr>
            <w:tcW w:w="2038" w:type="dxa"/>
            <w:noWrap/>
            <w:hideMark/>
          </w:tcPr>
          <w:p w14:paraId="0E3EB4C0"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43</w:t>
            </w:r>
          </w:p>
        </w:tc>
        <w:tc>
          <w:tcPr>
            <w:tcW w:w="2038" w:type="dxa"/>
            <w:noWrap/>
            <w:hideMark/>
          </w:tcPr>
          <w:p w14:paraId="16A8E326"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w:t>
            </w:r>
          </w:p>
        </w:tc>
        <w:tc>
          <w:tcPr>
            <w:tcW w:w="2038" w:type="dxa"/>
            <w:noWrap/>
            <w:hideMark/>
          </w:tcPr>
          <w:p w14:paraId="681EE186"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15</w:t>
            </w:r>
          </w:p>
        </w:tc>
      </w:tr>
      <w:tr w:rsidR="004924E5" w:rsidRPr="00E53642" w14:paraId="1CBBBFEF"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7A99DC0"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Emergency Supply Service</w:t>
            </w:r>
          </w:p>
        </w:tc>
        <w:tc>
          <w:tcPr>
            <w:tcW w:w="2037" w:type="dxa"/>
            <w:noWrap/>
            <w:hideMark/>
          </w:tcPr>
          <w:p w14:paraId="5115B733"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88</w:t>
            </w:r>
          </w:p>
        </w:tc>
        <w:tc>
          <w:tcPr>
            <w:tcW w:w="2038" w:type="dxa"/>
            <w:noWrap/>
            <w:hideMark/>
          </w:tcPr>
          <w:p w14:paraId="4922014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63</w:t>
            </w:r>
          </w:p>
        </w:tc>
        <w:tc>
          <w:tcPr>
            <w:tcW w:w="2038" w:type="dxa"/>
            <w:noWrap/>
            <w:hideMark/>
          </w:tcPr>
          <w:p w14:paraId="38990F1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15</w:t>
            </w:r>
          </w:p>
        </w:tc>
        <w:tc>
          <w:tcPr>
            <w:tcW w:w="2038" w:type="dxa"/>
            <w:noWrap/>
            <w:hideMark/>
          </w:tcPr>
          <w:p w14:paraId="62E59616"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w:t>
            </w:r>
          </w:p>
        </w:tc>
      </w:tr>
      <w:tr w:rsidR="004924E5" w:rsidRPr="00E53642" w14:paraId="145191F9"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9BEE38D"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Emergency Contraceptive Service</w:t>
            </w:r>
          </w:p>
        </w:tc>
        <w:tc>
          <w:tcPr>
            <w:tcW w:w="2037" w:type="dxa"/>
            <w:noWrap/>
            <w:hideMark/>
          </w:tcPr>
          <w:p w14:paraId="5B2C8D1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78</w:t>
            </w:r>
          </w:p>
        </w:tc>
        <w:tc>
          <w:tcPr>
            <w:tcW w:w="2038" w:type="dxa"/>
            <w:noWrap/>
            <w:hideMark/>
          </w:tcPr>
          <w:p w14:paraId="572E52C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70</w:t>
            </w:r>
          </w:p>
        </w:tc>
        <w:tc>
          <w:tcPr>
            <w:tcW w:w="2038" w:type="dxa"/>
            <w:noWrap/>
            <w:hideMark/>
          </w:tcPr>
          <w:p w14:paraId="272B3DF8"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40F50F1D"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w:t>
            </w:r>
          </w:p>
        </w:tc>
      </w:tr>
      <w:tr w:rsidR="004924E5" w:rsidRPr="00E53642" w14:paraId="630BC69D"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1859A70C"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NRT vouchers</w:t>
            </w:r>
          </w:p>
        </w:tc>
        <w:tc>
          <w:tcPr>
            <w:tcW w:w="2037" w:type="dxa"/>
            <w:noWrap/>
            <w:hideMark/>
          </w:tcPr>
          <w:p w14:paraId="426A2391"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78</w:t>
            </w:r>
          </w:p>
        </w:tc>
        <w:tc>
          <w:tcPr>
            <w:tcW w:w="2038" w:type="dxa"/>
            <w:noWrap/>
            <w:hideMark/>
          </w:tcPr>
          <w:p w14:paraId="7CE351F5"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69</w:t>
            </w:r>
          </w:p>
        </w:tc>
        <w:tc>
          <w:tcPr>
            <w:tcW w:w="2038" w:type="dxa"/>
            <w:noWrap/>
            <w:hideMark/>
          </w:tcPr>
          <w:p w14:paraId="37CC0D81"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2A2EDE1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w:t>
            </w:r>
          </w:p>
        </w:tc>
      </w:tr>
      <w:tr w:rsidR="004924E5" w:rsidRPr="00E53642" w14:paraId="6F734503"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5CF6B32"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Extended Care Tier 1 (UTI)</w:t>
            </w:r>
          </w:p>
        </w:tc>
        <w:tc>
          <w:tcPr>
            <w:tcW w:w="2037" w:type="dxa"/>
            <w:noWrap/>
            <w:hideMark/>
          </w:tcPr>
          <w:p w14:paraId="1150482A"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74</w:t>
            </w:r>
          </w:p>
        </w:tc>
        <w:tc>
          <w:tcPr>
            <w:tcW w:w="2038" w:type="dxa"/>
            <w:noWrap/>
            <w:hideMark/>
          </w:tcPr>
          <w:p w14:paraId="4FED356B"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60</w:t>
            </w:r>
          </w:p>
        </w:tc>
        <w:tc>
          <w:tcPr>
            <w:tcW w:w="2038" w:type="dxa"/>
            <w:noWrap/>
            <w:hideMark/>
          </w:tcPr>
          <w:p w14:paraId="5A27329F"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w:t>
            </w:r>
          </w:p>
        </w:tc>
        <w:tc>
          <w:tcPr>
            <w:tcW w:w="2038" w:type="dxa"/>
            <w:noWrap/>
            <w:hideMark/>
          </w:tcPr>
          <w:p w14:paraId="2CCDD50E"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9</w:t>
            </w:r>
          </w:p>
        </w:tc>
      </w:tr>
      <w:tr w:rsidR="004924E5" w:rsidRPr="00E53642" w14:paraId="1559BB66"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42B7682"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 xml:space="preserve">Sharps Disposal </w:t>
            </w:r>
            <w:r w:rsidRPr="00E53642">
              <w:rPr>
                <w:rFonts w:eastAsia="Times New Roman" w:cs="Arial"/>
                <w:color w:val="000000"/>
                <w:sz w:val="20"/>
              </w:rPr>
              <w:lastRenderedPageBreak/>
              <w:t>Service</w:t>
            </w:r>
          </w:p>
        </w:tc>
        <w:tc>
          <w:tcPr>
            <w:tcW w:w="2037" w:type="dxa"/>
            <w:noWrap/>
            <w:hideMark/>
          </w:tcPr>
          <w:p w14:paraId="026E1ACB"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lastRenderedPageBreak/>
              <w:t>68</w:t>
            </w:r>
          </w:p>
        </w:tc>
        <w:tc>
          <w:tcPr>
            <w:tcW w:w="2038" w:type="dxa"/>
            <w:noWrap/>
            <w:hideMark/>
          </w:tcPr>
          <w:p w14:paraId="55068EC0"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70</w:t>
            </w:r>
          </w:p>
        </w:tc>
        <w:tc>
          <w:tcPr>
            <w:tcW w:w="2038" w:type="dxa"/>
            <w:noWrap/>
            <w:hideMark/>
          </w:tcPr>
          <w:p w14:paraId="779F2DA5"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30A7183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w:t>
            </w:r>
          </w:p>
        </w:tc>
      </w:tr>
      <w:tr w:rsidR="004924E5" w:rsidRPr="00E53642" w14:paraId="514BD95E"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E76E65D"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Extended Care Tier 2 (Skin)</w:t>
            </w:r>
          </w:p>
        </w:tc>
        <w:tc>
          <w:tcPr>
            <w:tcW w:w="2037" w:type="dxa"/>
            <w:noWrap/>
            <w:hideMark/>
          </w:tcPr>
          <w:p w14:paraId="22703B01"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59</w:t>
            </w:r>
          </w:p>
        </w:tc>
        <w:tc>
          <w:tcPr>
            <w:tcW w:w="2038" w:type="dxa"/>
            <w:noWrap/>
            <w:hideMark/>
          </w:tcPr>
          <w:p w14:paraId="46945833"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74</w:t>
            </w:r>
          </w:p>
        </w:tc>
        <w:tc>
          <w:tcPr>
            <w:tcW w:w="2038" w:type="dxa"/>
            <w:noWrap/>
            <w:hideMark/>
          </w:tcPr>
          <w:p w14:paraId="44087744"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w:t>
            </w:r>
          </w:p>
        </w:tc>
        <w:tc>
          <w:tcPr>
            <w:tcW w:w="2038" w:type="dxa"/>
            <w:noWrap/>
            <w:hideMark/>
          </w:tcPr>
          <w:p w14:paraId="13D44445"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14</w:t>
            </w:r>
          </w:p>
        </w:tc>
      </w:tr>
      <w:tr w:rsidR="004924E5" w:rsidRPr="00E53642" w14:paraId="08454B1F"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5DEBDDE"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Stop Smoking Service</w:t>
            </w:r>
          </w:p>
        </w:tc>
        <w:tc>
          <w:tcPr>
            <w:tcW w:w="2037" w:type="dxa"/>
            <w:noWrap/>
            <w:hideMark/>
          </w:tcPr>
          <w:p w14:paraId="2D26DBD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58</w:t>
            </w:r>
          </w:p>
        </w:tc>
        <w:tc>
          <w:tcPr>
            <w:tcW w:w="2038" w:type="dxa"/>
            <w:noWrap/>
            <w:hideMark/>
          </w:tcPr>
          <w:p w14:paraId="46CDB4E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80</w:t>
            </w:r>
          </w:p>
        </w:tc>
        <w:tc>
          <w:tcPr>
            <w:tcW w:w="2038" w:type="dxa"/>
            <w:noWrap/>
            <w:hideMark/>
          </w:tcPr>
          <w:p w14:paraId="5CA1F947"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17</w:t>
            </w:r>
          </w:p>
        </w:tc>
        <w:tc>
          <w:tcPr>
            <w:tcW w:w="2038" w:type="dxa"/>
            <w:noWrap/>
            <w:hideMark/>
          </w:tcPr>
          <w:p w14:paraId="4CE50032"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w:t>
            </w:r>
          </w:p>
        </w:tc>
      </w:tr>
      <w:tr w:rsidR="004924E5" w:rsidRPr="00E53642" w14:paraId="24AD55EE"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55F8647"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Medication Review Service</w:t>
            </w:r>
          </w:p>
        </w:tc>
        <w:tc>
          <w:tcPr>
            <w:tcW w:w="2037" w:type="dxa"/>
            <w:noWrap/>
            <w:hideMark/>
          </w:tcPr>
          <w:p w14:paraId="1CAF3D78"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38</w:t>
            </w:r>
          </w:p>
        </w:tc>
        <w:tc>
          <w:tcPr>
            <w:tcW w:w="2038" w:type="dxa"/>
            <w:noWrap/>
            <w:hideMark/>
          </w:tcPr>
          <w:p w14:paraId="09D5D8BF"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108</w:t>
            </w:r>
          </w:p>
        </w:tc>
        <w:tc>
          <w:tcPr>
            <w:tcW w:w="2038" w:type="dxa"/>
            <w:noWrap/>
            <w:hideMark/>
          </w:tcPr>
          <w:p w14:paraId="6BE8DB0B"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5F283605"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6</w:t>
            </w:r>
          </w:p>
        </w:tc>
      </w:tr>
      <w:tr w:rsidR="004924E5" w:rsidRPr="00E53642" w14:paraId="04FD360E"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8C64575"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Needle and Syringe Exchange service</w:t>
            </w:r>
          </w:p>
        </w:tc>
        <w:tc>
          <w:tcPr>
            <w:tcW w:w="2037" w:type="dxa"/>
            <w:noWrap/>
            <w:hideMark/>
          </w:tcPr>
          <w:p w14:paraId="5963639B"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34</w:t>
            </w:r>
          </w:p>
        </w:tc>
        <w:tc>
          <w:tcPr>
            <w:tcW w:w="2038" w:type="dxa"/>
            <w:noWrap/>
            <w:hideMark/>
          </w:tcPr>
          <w:p w14:paraId="54F123CC"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79</w:t>
            </w:r>
          </w:p>
        </w:tc>
        <w:tc>
          <w:tcPr>
            <w:tcW w:w="2038" w:type="dxa"/>
            <w:noWrap/>
            <w:hideMark/>
          </w:tcPr>
          <w:p w14:paraId="41F737EE"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442971B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31</w:t>
            </w:r>
          </w:p>
        </w:tc>
      </w:tr>
      <w:tr w:rsidR="004924E5" w:rsidRPr="00E53642" w14:paraId="112067EA"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010F7B20"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Extended Care Tier 3 (ENT)</w:t>
            </w:r>
          </w:p>
        </w:tc>
        <w:tc>
          <w:tcPr>
            <w:tcW w:w="2037" w:type="dxa"/>
            <w:noWrap/>
            <w:hideMark/>
          </w:tcPr>
          <w:p w14:paraId="49F32B67"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22</w:t>
            </w:r>
          </w:p>
        </w:tc>
        <w:tc>
          <w:tcPr>
            <w:tcW w:w="2038" w:type="dxa"/>
            <w:noWrap/>
            <w:hideMark/>
          </w:tcPr>
          <w:p w14:paraId="10D4F1C7"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103</w:t>
            </w:r>
          </w:p>
        </w:tc>
        <w:tc>
          <w:tcPr>
            <w:tcW w:w="2038" w:type="dxa"/>
            <w:noWrap/>
            <w:hideMark/>
          </w:tcPr>
          <w:p w14:paraId="544C18B0"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065BF706"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16</w:t>
            </w:r>
          </w:p>
        </w:tc>
      </w:tr>
      <w:tr w:rsidR="004924E5" w:rsidRPr="00E53642" w14:paraId="07E0B46D"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33F4178"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Medicines Assessment and Compliance Support Service</w:t>
            </w:r>
          </w:p>
        </w:tc>
        <w:tc>
          <w:tcPr>
            <w:tcW w:w="2037" w:type="dxa"/>
            <w:noWrap/>
            <w:hideMark/>
          </w:tcPr>
          <w:p w14:paraId="4CBF5AAE"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6406A6FE"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109</w:t>
            </w:r>
          </w:p>
        </w:tc>
        <w:tc>
          <w:tcPr>
            <w:tcW w:w="2038" w:type="dxa"/>
            <w:noWrap/>
            <w:hideMark/>
          </w:tcPr>
          <w:p w14:paraId="6E4139A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574EDF7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16</w:t>
            </w:r>
          </w:p>
        </w:tc>
      </w:tr>
      <w:tr w:rsidR="004924E5" w:rsidRPr="00E53642" w14:paraId="4C302092"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276704B"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Phlebotomy Service</w:t>
            </w:r>
          </w:p>
        </w:tc>
        <w:tc>
          <w:tcPr>
            <w:tcW w:w="2037" w:type="dxa"/>
            <w:noWrap/>
            <w:hideMark/>
          </w:tcPr>
          <w:p w14:paraId="24BEDE04"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49580117"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90</w:t>
            </w:r>
          </w:p>
        </w:tc>
        <w:tc>
          <w:tcPr>
            <w:tcW w:w="2038" w:type="dxa"/>
            <w:noWrap/>
            <w:hideMark/>
          </w:tcPr>
          <w:p w14:paraId="502EADB1"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29CA2D14"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34</w:t>
            </w:r>
          </w:p>
        </w:tc>
      </w:tr>
      <w:tr w:rsidR="004924E5" w:rsidRPr="00E53642" w14:paraId="539988F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D5E65BE"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Pharmacy First Minor Ailment scheme</w:t>
            </w:r>
          </w:p>
        </w:tc>
        <w:tc>
          <w:tcPr>
            <w:tcW w:w="2037" w:type="dxa"/>
            <w:noWrap/>
            <w:hideMark/>
          </w:tcPr>
          <w:p w14:paraId="597208A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06C2FEC2"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126</w:t>
            </w:r>
          </w:p>
        </w:tc>
        <w:tc>
          <w:tcPr>
            <w:tcW w:w="2038" w:type="dxa"/>
            <w:noWrap/>
            <w:hideMark/>
          </w:tcPr>
          <w:p w14:paraId="01B41745"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74ED6DC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w:t>
            </w:r>
          </w:p>
        </w:tc>
      </w:tr>
      <w:tr w:rsidR="004924E5" w:rsidRPr="00E53642" w14:paraId="18043389"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4277D10"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Not Dispensed Scheme</w:t>
            </w:r>
          </w:p>
        </w:tc>
        <w:tc>
          <w:tcPr>
            <w:tcW w:w="2037" w:type="dxa"/>
            <w:noWrap/>
            <w:hideMark/>
          </w:tcPr>
          <w:p w14:paraId="39F59DCA"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1EB31318"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111</w:t>
            </w:r>
          </w:p>
        </w:tc>
        <w:tc>
          <w:tcPr>
            <w:tcW w:w="2038" w:type="dxa"/>
            <w:noWrap/>
            <w:hideMark/>
          </w:tcPr>
          <w:p w14:paraId="56F048D9"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c>
          <w:tcPr>
            <w:tcW w:w="2038" w:type="dxa"/>
            <w:noWrap/>
            <w:hideMark/>
          </w:tcPr>
          <w:p w14:paraId="5B279176"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13</w:t>
            </w:r>
          </w:p>
        </w:tc>
      </w:tr>
      <w:tr w:rsidR="004924E5" w:rsidRPr="00E53642" w14:paraId="21945230"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7439D62C"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Care Home Service</w:t>
            </w:r>
          </w:p>
        </w:tc>
        <w:tc>
          <w:tcPr>
            <w:tcW w:w="2037" w:type="dxa"/>
            <w:noWrap/>
            <w:hideMark/>
          </w:tcPr>
          <w:p w14:paraId="69DA5A2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17</w:t>
            </w:r>
          </w:p>
        </w:tc>
        <w:tc>
          <w:tcPr>
            <w:tcW w:w="2038" w:type="dxa"/>
            <w:noWrap/>
            <w:hideMark/>
          </w:tcPr>
          <w:p w14:paraId="78C19A40"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89</w:t>
            </w:r>
          </w:p>
        </w:tc>
        <w:tc>
          <w:tcPr>
            <w:tcW w:w="2038" w:type="dxa"/>
            <w:noWrap/>
            <w:hideMark/>
          </w:tcPr>
          <w:p w14:paraId="364794C4"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7323056E"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37</w:t>
            </w:r>
          </w:p>
        </w:tc>
      </w:tr>
      <w:tr w:rsidR="004924E5" w:rsidRPr="00E53642" w14:paraId="3653EB66"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221AD6A"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Contraceptive Service (not EHC)</w:t>
            </w:r>
          </w:p>
        </w:tc>
        <w:tc>
          <w:tcPr>
            <w:tcW w:w="2037" w:type="dxa"/>
            <w:noWrap/>
            <w:hideMark/>
          </w:tcPr>
          <w:p w14:paraId="71069B43"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15</w:t>
            </w:r>
          </w:p>
        </w:tc>
        <w:tc>
          <w:tcPr>
            <w:tcW w:w="2038" w:type="dxa"/>
            <w:noWrap/>
            <w:hideMark/>
          </w:tcPr>
          <w:p w14:paraId="257F5ECA"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129</w:t>
            </w:r>
          </w:p>
        </w:tc>
        <w:tc>
          <w:tcPr>
            <w:tcW w:w="2038" w:type="dxa"/>
            <w:noWrap/>
            <w:hideMark/>
          </w:tcPr>
          <w:p w14:paraId="22643231"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78E64E39"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7</w:t>
            </w:r>
          </w:p>
        </w:tc>
      </w:tr>
      <w:tr w:rsidR="004924E5" w:rsidRPr="00E53642" w14:paraId="3D8DA788"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C7A8A49"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Obesity Management (Adults and Children)</w:t>
            </w:r>
          </w:p>
        </w:tc>
        <w:tc>
          <w:tcPr>
            <w:tcW w:w="2037" w:type="dxa"/>
            <w:noWrap/>
            <w:hideMark/>
          </w:tcPr>
          <w:p w14:paraId="1417F162"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15</w:t>
            </w:r>
          </w:p>
        </w:tc>
        <w:tc>
          <w:tcPr>
            <w:tcW w:w="2038" w:type="dxa"/>
            <w:noWrap/>
            <w:hideMark/>
          </w:tcPr>
          <w:p w14:paraId="7593EE6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126</w:t>
            </w:r>
          </w:p>
        </w:tc>
        <w:tc>
          <w:tcPr>
            <w:tcW w:w="2038" w:type="dxa"/>
            <w:noWrap/>
            <w:hideMark/>
          </w:tcPr>
          <w:p w14:paraId="472EC3C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6819B6FB"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w:t>
            </w:r>
          </w:p>
        </w:tc>
      </w:tr>
      <w:tr w:rsidR="004924E5" w:rsidRPr="00E53642" w14:paraId="2CE49BCD"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7E60D8E8"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Chlamydia Testing Service</w:t>
            </w:r>
          </w:p>
        </w:tc>
        <w:tc>
          <w:tcPr>
            <w:tcW w:w="2037" w:type="dxa"/>
            <w:noWrap/>
            <w:hideMark/>
          </w:tcPr>
          <w:p w14:paraId="646E2794"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w:t>
            </w:r>
          </w:p>
        </w:tc>
        <w:tc>
          <w:tcPr>
            <w:tcW w:w="2038" w:type="dxa"/>
            <w:noWrap/>
            <w:hideMark/>
          </w:tcPr>
          <w:p w14:paraId="70F136C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119</w:t>
            </w:r>
          </w:p>
        </w:tc>
        <w:tc>
          <w:tcPr>
            <w:tcW w:w="2038" w:type="dxa"/>
            <w:noWrap/>
            <w:hideMark/>
          </w:tcPr>
          <w:p w14:paraId="70D02EB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7D9DE199"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13</w:t>
            </w:r>
          </w:p>
        </w:tc>
      </w:tr>
      <w:tr w:rsidR="004924E5" w:rsidRPr="00E53642" w14:paraId="5F8829E3"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939CCA1"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Chlamydia Treatment Service</w:t>
            </w:r>
          </w:p>
        </w:tc>
        <w:tc>
          <w:tcPr>
            <w:tcW w:w="2037" w:type="dxa"/>
            <w:noWrap/>
            <w:hideMark/>
          </w:tcPr>
          <w:p w14:paraId="196C2F6E"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w:t>
            </w:r>
          </w:p>
        </w:tc>
        <w:tc>
          <w:tcPr>
            <w:tcW w:w="2038" w:type="dxa"/>
            <w:noWrap/>
            <w:hideMark/>
          </w:tcPr>
          <w:p w14:paraId="66645ADC"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122</w:t>
            </w:r>
          </w:p>
        </w:tc>
        <w:tc>
          <w:tcPr>
            <w:tcW w:w="2038" w:type="dxa"/>
            <w:noWrap/>
            <w:hideMark/>
          </w:tcPr>
          <w:p w14:paraId="32FEAA33"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6ED43F2A"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w:t>
            </w:r>
          </w:p>
        </w:tc>
      </w:tr>
      <w:tr w:rsidR="004924E5" w:rsidRPr="00E53642" w14:paraId="0E082E3D"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05BBDE95"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Anti-viral Distribution Service</w:t>
            </w:r>
          </w:p>
        </w:tc>
        <w:tc>
          <w:tcPr>
            <w:tcW w:w="2037" w:type="dxa"/>
            <w:noWrap/>
            <w:hideMark/>
          </w:tcPr>
          <w:p w14:paraId="1356A9F0"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w:t>
            </w:r>
          </w:p>
        </w:tc>
        <w:tc>
          <w:tcPr>
            <w:tcW w:w="2038" w:type="dxa"/>
            <w:noWrap/>
            <w:hideMark/>
          </w:tcPr>
          <w:p w14:paraId="7EC20B50"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117</w:t>
            </w:r>
          </w:p>
        </w:tc>
        <w:tc>
          <w:tcPr>
            <w:tcW w:w="2038" w:type="dxa"/>
            <w:noWrap/>
            <w:hideMark/>
          </w:tcPr>
          <w:p w14:paraId="753905ED"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27A55DB2"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r>
      <w:tr w:rsidR="004924E5" w:rsidRPr="00E53642" w14:paraId="708FA777"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AE292F4"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Language Access Service</w:t>
            </w:r>
          </w:p>
        </w:tc>
        <w:tc>
          <w:tcPr>
            <w:tcW w:w="2037" w:type="dxa"/>
            <w:noWrap/>
            <w:hideMark/>
          </w:tcPr>
          <w:p w14:paraId="112C8EB5"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w:t>
            </w:r>
          </w:p>
        </w:tc>
        <w:tc>
          <w:tcPr>
            <w:tcW w:w="2038" w:type="dxa"/>
            <w:noWrap/>
            <w:hideMark/>
          </w:tcPr>
          <w:p w14:paraId="756B772A"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101</w:t>
            </w:r>
          </w:p>
        </w:tc>
        <w:tc>
          <w:tcPr>
            <w:tcW w:w="2038" w:type="dxa"/>
            <w:noWrap/>
            <w:hideMark/>
          </w:tcPr>
          <w:p w14:paraId="36C7760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1D08AADD"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29</w:t>
            </w:r>
          </w:p>
        </w:tc>
      </w:tr>
      <w:tr w:rsidR="004924E5" w:rsidRPr="00E53642" w14:paraId="7328264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2186F80"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Gluten Free Food Supply Service (not via FP10)</w:t>
            </w:r>
          </w:p>
        </w:tc>
        <w:tc>
          <w:tcPr>
            <w:tcW w:w="2037" w:type="dxa"/>
            <w:noWrap/>
            <w:hideMark/>
          </w:tcPr>
          <w:p w14:paraId="0E7A514D"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9</w:t>
            </w:r>
          </w:p>
        </w:tc>
        <w:tc>
          <w:tcPr>
            <w:tcW w:w="2038" w:type="dxa"/>
            <w:noWrap/>
            <w:hideMark/>
          </w:tcPr>
          <w:p w14:paraId="058DBB9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115</w:t>
            </w:r>
          </w:p>
        </w:tc>
        <w:tc>
          <w:tcPr>
            <w:tcW w:w="2038" w:type="dxa"/>
            <w:noWrap/>
            <w:hideMark/>
          </w:tcPr>
          <w:p w14:paraId="296311D6"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58B00121"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18</w:t>
            </w:r>
          </w:p>
        </w:tc>
      </w:tr>
      <w:tr w:rsidR="004924E5" w:rsidRPr="00E53642" w14:paraId="594DBFB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6516315"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Healthy Start Vitamins</w:t>
            </w:r>
          </w:p>
        </w:tc>
        <w:tc>
          <w:tcPr>
            <w:tcW w:w="2037" w:type="dxa"/>
            <w:noWrap/>
            <w:hideMark/>
          </w:tcPr>
          <w:p w14:paraId="5B530F0B"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w:t>
            </w:r>
          </w:p>
        </w:tc>
        <w:tc>
          <w:tcPr>
            <w:tcW w:w="2038" w:type="dxa"/>
            <w:noWrap/>
            <w:hideMark/>
          </w:tcPr>
          <w:p w14:paraId="1C7500D9"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121</w:t>
            </w:r>
          </w:p>
        </w:tc>
        <w:tc>
          <w:tcPr>
            <w:tcW w:w="2038" w:type="dxa"/>
            <w:noWrap/>
            <w:hideMark/>
          </w:tcPr>
          <w:p w14:paraId="4FAE553B"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6E088E73"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17</w:t>
            </w:r>
          </w:p>
        </w:tc>
      </w:tr>
      <w:tr w:rsidR="004924E5" w:rsidRPr="00E53642" w14:paraId="330EA55D"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16BFFB7D"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Out of Hours Service</w:t>
            </w:r>
          </w:p>
        </w:tc>
        <w:tc>
          <w:tcPr>
            <w:tcW w:w="2037" w:type="dxa"/>
            <w:noWrap/>
            <w:hideMark/>
          </w:tcPr>
          <w:p w14:paraId="5E1FAC7F"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5</w:t>
            </w:r>
          </w:p>
        </w:tc>
        <w:tc>
          <w:tcPr>
            <w:tcW w:w="2038" w:type="dxa"/>
            <w:noWrap/>
            <w:hideMark/>
          </w:tcPr>
          <w:p w14:paraId="002965E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88</w:t>
            </w:r>
          </w:p>
        </w:tc>
        <w:tc>
          <w:tcPr>
            <w:tcW w:w="2038" w:type="dxa"/>
            <w:noWrap/>
            <w:hideMark/>
          </w:tcPr>
          <w:p w14:paraId="4F37C3C8"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16</w:t>
            </w:r>
          </w:p>
        </w:tc>
        <w:tc>
          <w:tcPr>
            <w:tcW w:w="2038" w:type="dxa"/>
            <w:noWrap/>
            <w:hideMark/>
          </w:tcPr>
          <w:p w14:paraId="295EC094"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48</w:t>
            </w:r>
          </w:p>
        </w:tc>
      </w:tr>
      <w:tr w:rsidR="004924E5" w:rsidRPr="00E53642" w14:paraId="1834D9B0"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3EAB215"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Anticoagulant Monitoring Service</w:t>
            </w:r>
          </w:p>
        </w:tc>
        <w:tc>
          <w:tcPr>
            <w:tcW w:w="2037" w:type="dxa"/>
            <w:noWrap/>
            <w:hideMark/>
          </w:tcPr>
          <w:p w14:paraId="6DBEAC8A"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w:t>
            </w:r>
          </w:p>
        </w:tc>
        <w:tc>
          <w:tcPr>
            <w:tcW w:w="2038" w:type="dxa"/>
            <w:noWrap/>
            <w:hideMark/>
          </w:tcPr>
          <w:p w14:paraId="46EE0CF7"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130</w:t>
            </w:r>
          </w:p>
        </w:tc>
        <w:tc>
          <w:tcPr>
            <w:tcW w:w="2038" w:type="dxa"/>
            <w:noWrap/>
            <w:hideMark/>
          </w:tcPr>
          <w:p w14:paraId="357429B0"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23</w:t>
            </w:r>
          </w:p>
        </w:tc>
        <w:tc>
          <w:tcPr>
            <w:tcW w:w="2038" w:type="dxa"/>
            <w:noWrap/>
            <w:hideMark/>
          </w:tcPr>
          <w:p w14:paraId="44700321"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14</w:t>
            </w:r>
          </w:p>
        </w:tc>
      </w:tr>
      <w:tr w:rsidR="004924E5" w:rsidRPr="00E53642" w14:paraId="218CBBFA"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E900077"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On Demand Availability of Specialist Drugs Service</w:t>
            </w:r>
          </w:p>
        </w:tc>
        <w:tc>
          <w:tcPr>
            <w:tcW w:w="2037" w:type="dxa"/>
            <w:noWrap/>
            <w:hideMark/>
          </w:tcPr>
          <w:p w14:paraId="356EB2AB"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w:t>
            </w:r>
          </w:p>
        </w:tc>
        <w:tc>
          <w:tcPr>
            <w:tcW w:w="2038" w:type="dxa"/>
            <w:noWrap/>
            <w:hideMark/>
          </w:tcPr>
          <w:p w14:paraId="72C91100"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111</w:t>
            </w:r>
          </w:p>
        </w:tc>
        <w:tc>
          <w:tcPr>
            <w:tcW w:w="2038" w:type="dxa"/>
            <w:noWrap/>
            <w:hideMark/>
          </w:tcPr>
          <w:p w14:paraId="269E26C3"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19</w:t>
            </w:r>
          </w:p>
        </w:tc>
        <w:tc>
          <w:tcPr>
            <w:tcW w:w="2038" w:type="dxa"/>
            <w:noWrap/>
            <w:hideMark/>
          </w:tcPr>
          <w:p w14:paraId="1C41C0C3"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27</w:t>
            </w:r>
          </w:p>
        </w:tc>
      </w:tr>
      <w:tr w:rsidR="004924E5" w:rsidRPr="00E53642" w14:paraId="4C978C70"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F143612"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Schools Service</w:t>
            </w:r>
          </w:p>
        </w:tc>
        <w:tc>
          <w:tcPr>
            <w:tcW w:w="2037" w:type="dxa"/>
            <w:noWrap/>
            <w:hideMark/>
          </w:tcPr>
          <w:p w14:paraId="356B189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w:t>
            </w:r>
          </w:p>
        </w:tc>
        <w:tc>
          <w:tcPr>
            <w:tcW w:w="2038" w:type="dxa"/>
            <w:noWrap/>
            <w:hideMark/>
          </w:tcPr>
          <w:p w14:paraId="689C5B8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103</w:t>
            </w:r>
          </w:p>
        </w:tc>
        <w:tc>
          <w:tcPr>
            <w:tcW w:w="2038" w:type="dxa"/>
            <w:noWrap/>
            <w:hideMark/>
          </w:tcPr>
          <w:p w14:paraId="517167F2"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20</w:t>
            </w:r>
          </w:p>
        </w:tc>
        <w:tc>
          <w:tcPr>
            <w:tcW w:w="2038" w:type="dxa"/>
            <w:noWrap/>
            <w:hideMark/>
          </w:tcPr>
          <w:p w14:paraId="06AD9771"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33</w:t>
            </w:r>
          </w:p>
        </w:tc>
      </w:tr>
      <w:tr w:rsidR="004924E5" w:rsidRPr="00E53642" w14:paraId="34E0592B"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CF37BFA"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t>Prescriber Support Service</w:t>
            </w:r>
          </w:p>
        </w:tc>
        <w:tc>
          <w:tcPr>
            <w:tcW w:w="2037" w:type="dxa"/>
            <w:noWrap/>
            <w:hideMark/>
          </w:tcPr>
          <w:p w14:paraId="53E8171C"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w:t>
            </w:r>
          </w:p>
        </w:tc>
        <w:tc>
          <w:tcPr>
            <w:tcW w:w="2038" w:type="dxa"/>
            <w:noWrap/>
            <w:hideMark/>
          </w:tcPr>
          <w:p w14:paraId="09CB7F97"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114</w:t>
            </w:r>
          </w:p>
        </w:tc>
        <w:tc>
          <w:tcPr>
            <w:tcW w:w="2038" w:type="dxa"/>
            <w:noWrap/>
            <w:hideMark/>
          </w:tcPr>
          <w:p w14:paraId="5EEA8557"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43</w:t>
            </w:r>
          </w:p>
        </w:tc>
        <w:tc>
          <w:tcPr>
            <w:tcW w:w="2038" w:type="dxa"/>
            <w:noWrap/>
            <w:hideMark/>
          </w:tcPr>
          <w:p w14:paraId="660A515D" w14:textId="77777777" w:rsidR="004924E5" w:rsidRPr="00E53642"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25</w:t>
            </w:r>
          </w:p>
        </w:tc>
      </w:tr>
      <w:tr w:rsidR="004924E5" w:rsidRPr="00E53642" w14:paraId="07986514"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1DC98E2E" w14:textId="77777777" w:rsidR="004924E5" w:rsidRPr="00E53642" w:rsidRDefault="004924E5" w:rsidP="007E46C2">
            <w:pPr>
              <w:spacing w:before="0" w:after="0" w:line="240" w:lineRule="auto"/>
              <w:rPr>
                <w:rFonts w:eastAsia="Times New Roman" w:cs="Arial"/>
                <w:color w:val="000000"/>
                <w:sz w:val="20"/>
              </w:rPr>
            </w:pPr>
            <w:r w:rsidRPr="00E53642">
              <w:rPr>
                <w:rFonts w:eastAsia="Times New Roman" w:cs="Arial"/>
                <w:color w:val="000000"/>
                <w:sz w:val="20"/>
              </w:rPr>
              <w:lastRenderedPageBreak/>
              <w:t>Vascular Risk Assessment Service</w:t>
            </w:r>
          </w:p>
        </w:tc>
        <w:tc>
          <w:tcPr>
            <w:tcW w:w="2037" w:type="dxa"/>
            <w:noWrap/>
            <w:hideMark/>
          </w:tcPr>
          <w:p w14:paraId="58604018"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w:t>
            </w:r>
          </w:p>
        </w:tc>
        <w:tc>
          <w:tcPr>
            <w:tcW w:w="2038" w:type="dxa"/>
            <w:noWrap/>
            <w:hideMark/>
          </w:tcPr>
          <w:p w14:paraId="7F87BA32"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131</w:t>
            </w:r>
          </w:p>
        </w:tc>
        <w:tc>
          <w:tcPr>
            <w:tcW w:w="2038" w:type="dxa"/>
            <w:noWrap/>
            <w:hideMark/>
          </w:tcPr>
          <w:p w14:paraId="14FF1C6F"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21</w:t>
            </w:r>
          </w:p>
        </w:tc>
        <w:tc>
          <w:tcPr>
            <w:tcW w:w="2038" w:type="dxa"/>
            <w:noWrap/>
            <w:hideMark/>
          </w:tcPr>
          <w:p w14:paraId="19F28300" w14:textId="77777777" w:rsidR="004924E5" w:rsidRPr="00E53642"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E53642">
              <w:rPr>
                <w:rFonts w:eastAsia="Times New Roman" w:cs="Arial"/>
                <w:color w:val="000000"/>
                <w:sz w:val="20"/>
              </w:rPr>
              <w:t>13</w:t>
            </w:r>
          </w:p>
        </w:tc>
      </w:tr>
    </w:tbl>
    <w:p w14:paraId="7C6A6E14" w14:textId="458808CC" w:rsidR="004924E5" w:rsidRDefault="00430783" w:rsidP="00430783">
      <w:pPr>
        <w:pStyle w:val="Caption"/>
      </w:pPr>
      <w:r>
        <w:t xml:space="preserve">Table </w:t>
      </w:r>
      <w:r>
        <w:fldChar w:fldCharType="begin"/>
      </w:r>
      <w:r>
        <w:instrText>SEQ Table \* ARABIC</w:instrText>
      </w:r>
      <w:r>
        <w:fldChar w:fldCharType="separate"/>
      </w:r>
      <w:r w:rsidR="00AC4C6D">
        <w:rPr>
          <w:noProof/>
        </w:rPr>
        <w:t>18</w:t>
      </w:r>
      <w:r>
        <w:fldChar w:fldCharType="end"/>
      </w:r>
      <w:r>
        <w:t>:</w:t>
      </w:r>
      <w:r w:rsidRPr="00430783">
        <w:t xml:space="preserve"> Number of Pharmacies providing other services</w:t>
      </w:r>
    </w:p>
    <w:p w14:paraId="23B737F8" w14:textId="27BCB882" w:rsidR="004924E5" w:rsidRDefault="004924E5" w:rsidP="004924E5">
      <w:pPr>
        <w:spacing w:before="200" w:after="200" w:line="276" w:lineRule="auto"/>
        <w:rPr>
          <w:rFonts w:eastAsia="MS Mincho" w:cs="Arial"/>
          <w:szCs w:val="24"/>
        </w:rPr>
      </w:pPr>
      <w:r>
        <w:rPr>
          <w:rFonts w:eastAsia="MS Mincho" w:cs="Arial"/>
          <w:szCs w:val="24"/>
        </w:rPr>
        <w:t xml:space="preserve">In terms of disease specific services, not many pharmacies were already providing these services, the highest being hypertension with 25 currently providing. However for each disease specific service, over 100 pharmacies would provide if commissioned (Figure </w:t>
      </w:r>
      <w:r w:rsidR="00430783">
        <w:rPr>
          <w:rFonts w:eastAsia="MS Mincho" w:cs="Arial"/>
          <w:szCs w:val="24"/>
        </w:rPr>
        <w:t>19</w:t>
      </w:r>
      <w:r>
        <w:rPr>
          <w:rFonts w:eastAsia="MS Mincho" w:cs="Arial"/>
          <w:szCs w:val="24"/>
        </w:rPr>
        <w:t>)</w:t>
      </w:r>
      <w:r w:rsidR="00430783">
        <w:rPr>
          <w:rFonts w:eastAsia="MS Mincho" w:cs="Arial"/>
          <w:szCs w:val="24"/>
        </w:rPr>
        <w:t>.</w:t>
      </w:r>
    </w:p>
    <w:tbl>
      <w:tblPr>
        <w:tblStyle w:val="GridTable4-Accent1"/>
        <w:tblW w:w="0" w:type="auto"/>
        <w:tblLook w:val="04A0" w:firstRow="1" w:lastRow="0" w:firstColumn="1" w:lastColumn="0" w:noHBand="0" w:noVBand="1"/>
      </w:tblPr>
      <w:tblGrid>
        <w:gridCol w:w="2037"/>
        <w:gridCol w:w="2037"/>
        <w:gridCol w:w="2038"/>
        <w:gridCol w:w="2038"/>
        <w:gridCol w:w="2038"/>
      </w:tblGrid>
      <w:tr w:rsidR="004924E5" w14:paraId="423DAF04" w14:textId="77777777" w:rsidTr="007E46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tcPr>
          <w:p w14:paraId="46EADA4B" w14:textId="77777777" w:rsidR="004924E5" w:rsidRPr="00597A2A" w:rsidRDefault="004924E5" w:rsidP="007E46C2">
            <w:pPr>
              <w:spacing w:before="200" w:after="200" w:line="276" w:lineRule="auto"/>
              <w:rPr>
                <w:sz w:val="22"/>
                <w:szCs w:val="22"/>
              </w:rPr>
            </w:pPr>
            <w:r>
              <w:rPr>
                <w:sz w:val="22"/>
                <w:szCs w:val="22"/>
              </w:rPr>
              <w:t xml:space="preserve">Disease Specific </w:t>
            </w:r>
            <w:r w:rsidRPr="00597A2A">
              <w:rPr>
                <w:sz w:val="22"/>
                <w:szCs w:val="22"/>
              </w:rPr>
              <w:t>Service</w:t>
            </w:r>
          </w:p>
        </w:tc>
        <w:tc>
          <w:tcPr>
            <w:tcW w:w="2037" w:type="dxa"/>
          </w:tcPr>
          <w:p w14:paraId="3AC547BD"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3D5DE4FE"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c>
          <w:tcPr>
            <w:tcW w:w="2038" w:type="dxa"/>
          </w:tcPr>
          <w:p w14:paraId="5626BB1D"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privately</w:t>
            </w:r>
          </w:p>
        </w:tc>
        <w:tc>
          <w:tcPr>
            <w:tcW w:w="2038" w:type="dxa"/>
          </w:tcPr>
          <w:p w14:paraId="26E53562"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Wouldn’t provide if commissioned</w:t>
            </w:r>
          </w:p>
        </w:tc>
      </w:tr>
      <w:tr w:rsidR="004924E5" w:rsidRPr="007250DF" w14:paraId="1961E4C1"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370120E"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Hypertension</w:t>
            </w:r>
          </w:p>
        </w:tc>
        <w:tc>
          <w:tcPr>
            <w:tcW w:w="2037" w:type="dxa"/>
            <w:noWrap/>
            <w:hideMark/>
          </w:tcPr>
          <w:p w14:paraId="0D71889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25</w:t>
            </w:r>
          </w:p>
        </w:tc>
        <w:tc>
          <w:tcPr>
            <w:tcW w:w="2038" w:type="dxa"/>
            <w:noWrap/>
            <w:hideMark/>
          </w:tcPr>
          <w:p w14:paraId="5792CD98"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109</w:t>
            </w:r>
          </w:p>
        </w:tc>
        <w:tc>
          <w:tcPr>
            <w:tcW w:w="2038" w:type="dxa"/>
            <w:noWrap/>
            <w:hideMark/>
          </w:tcPr>
          <w:p w14:paraId="35E622E6"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17</w:t>
            </w:r>
          </w:p>
        </w:tc>
        <w:tc>
          <w:tcPr>
            <w:tcW w:w="2038" w:type="dxa"/>
            <w:noWrap/>
            <w:hideMark/>
          </w:tcPr>
          <w:p w14:paraId="58D5B3DC"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r>
      <w:tr w:rsidR="004924E5" w:rsidRPr="007250DF" w14:paraId="14C6BC01"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B916DD1"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Allergies</w:t>
            </w:r>
          </w:p>
        </w:tc>
        <w:tc>
          <w:tcPr>
            <w:tcW w:w="2037" w:type="dxa"/>
            <w:noWrap/>
            <w:hideMark/>
          </w:tcPr>
          <w:p w14:paraId="752EE37C"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w:t>
            </w:r>
          </w:p>
        </w:tc>
        <w:tc>
          <w:tcPr>
            <w:tcW w:w="2038" w:type="dxa"/>
            <w:noWrap/>
            <w:hideMark/>
          </w:tcPr>
          <w:p w14:paraId="22D9EFDA"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118</w:t>
            </w:r>
          </w:p>
        </w:tc>
        <w:tc>
          <w:tcPr>
            <w:tcW w:w="2038" w:type="dxa"/>
            <w:noWrap/>
            <w:hideMark/>
          </w:tcPr>
          <w:p w14:paraId="1DD355F0"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23</w:t>
            </w:r>
          </w:p>
        </w:tc>
        <w:tc>
          <w:tcPr>
            <w:tcW w:w="2038" w:type="dxa"/>
            <w:noWrap/>
            <w:hideMark/>
          </w:tcPr>
          <w:p w14:paraId="4F94A690"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11</w:t>
            </w:r>
          </w:p>
        </w:tc>
      </w:tr>
      <w:tr w:rsidR="004924E5" w:rsidRPr="007250DF" w14:paraId="0A3497C0"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727361A"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Asthma</w:t>
            </w:r>
          </w:p>
        </w:tc>
        <w:tc>
          <w:tcPr>
            <w:tcW w:w="2037" w:type="dxa"/>
            <w:noWrap/>
            <w:hideMark/>
          </w:tcPr>
          <w:p w14:paraId="26533EB7"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w:t>
            </w:r>
          </w:p>
        </w:tc>
        <w:tc>
          <w:tcPr>
            <w:tcW w:w="2038" w:type="dxa"/>
            <w:noWrap/>
            <w:hideMark/>
          </w:tcPr>
          <w:p w14:paraId="6299BFF4"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122</w:t>
            </w:r>
          </w:p>
        </w:tc>
        <w:tc>
          <w:tcPr>
            <w:tcW w:w="2038" w:type="dxa"/>
            <w:noWrap/>
            <w:hideMark/>
          </w:tcPr>
          <w:p w14:paraId="3F65ECCD"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20</w:t>
            </w:r>
          </w:p>
        </w:tc>
        <w:tc>
          <w:tcPr>
            <w:tcW w:w="2038" w:type="dxa"/>
            <w:noWrap/>
            <w:hideMark/>
          </w:tcPr>
          <w:p w14:paraId="443A434C"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r>
      <w:tr w:rsidR="004924E5" w:rsidRPr="007250DF" w14:paraId="4EE5DE24"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1EAE4BC3"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Diabetes Type 1</w:t>
            </w:r>
          </w:p>
        </w:tc>
        <w:tc>
          <w:tcPr>
            <w:tcW w:w="2037" w:type="dxa"/>
            <w:noWrap/>
            <w:hideMark/>
          </w:tcPr>
          <w:p w14:paraId="1F9D355C"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w:t>
            </w:r>
          </w:p>
        </w:tc>
        <w:tc>
          <w:tcPr>
            <w:tcW w:w="2038" w:type="dxa"/>
            <w:noWrap/>
            <w:hideMark/>
          </w:tcPr>
          <w:p w14:paraId="6D14C2C4"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122</w:t>
            </w:r>
          </w:p>
        </w:tc>
        <w:tc>
          <w:tcPr>
            <w:tcW w:w="2038" w:type="dxa"/>
            <w:noWrap/>
            <w:hideMark/>
          </w:tcPr>
          <w:p w14:paraId="5080C9D2"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21</w:t>
            </w:r>
          </w:p>
        </w:tc>
        <w:tc>
          <w:tcPr>
            <w:tcW w:w="2038" w:type="dxa"/>
            <w:noWrap/>
            <w:hideMark/>
          </w:tcPr>
          <w:p w14:paraId="77CB576D"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w:t>
            </w:r>
          </w:p>
        </w:tc>
      </w:tr>
      <w:tr w:rsidR="004924E5" w:rsidRPr="007250DF" w14:paraId="7253258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387FA7F"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Diabetes Type 2</w:t>
            </w:r>
          </w:p>
        </w:tc>
        <w:tc>
          <w:tcPr>
            <w:tcW w:w="2037" w:type="dxa"/>
            <w:noWrap/>
            <w:hideMark/>
          </w:tcPr>
          <w:p w14:paraId="72A1B7CB"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w:t>
            </w:r>
          </w:p>
        </w:tc>
        <w:tc>
          <w:tcPr>
            <w:tcW w:w="2038" w:type="dxa"/>
            <w:noWrap/>
            <w:hideMark/>
          </w:tcPr>
          <w:p w14:paraId="4114E8E6"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123</w:t>
            </w:r>
          </w:p>
        </w:tc>
        <w:tc>
          <w:tcPr>
            <w:tcW w:w="2038" w:type="dxa"/>
            <w:noWrap/>
            <w:hideMark/>
          </w:tcPr>
          <w:p w14:paraId="5A3786A9"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20</w:t>
            </w:r>
          </w:p>
        </w:tc>
        <w:tc>
          <w:tcPr>
            <w:tcW w:w="2038" w:type="dxa"/>
            <w:noWrap/>
            <w:hideMark/>
          </w:tcPr>
          <w:p w14:paraId="1F35E9B2"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r>
      <w:tr w:rsidR="004924E5" w:rsidRPr="007250DF" w14:paraId="6967CA3E"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7AD2CFE1"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CHD</w:t>
            </w:r>
          </w:p>
        </w:tc>
        <w:tc>
          <w:tcPr>
            <w:tcW w:w="2037" w:type="dxa"/>
            <w:noWrap/>
            <w:hideMark/>
          </w:tcPr>
          <w:p w14:paraId="047DDB0F"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c>
          <w:tcPr>
            <w:tcW w:w="2038" w:type="dxa"/>
            <w:noWrap/>
            <w:hideMark/>
          </w:tcPr>
          <w:p w14:paraId="6B498CB6"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121</w:t>
            </w:r>
          </w:p>
        </w:tc>
        <w:tc>
          <w:tcPr>
            <w:tcW w:w="2038" w:type="dxa"/>
            <w:noWrap/>
            <w:hideMark/>
          </w:tcPr>
          <w:p w14:paraId="7FA82025"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20</w:t>
            </w:r>
          </w:p>
        </w:tc>
        <w:tc>
          <w:tcPr>
            <w:tcW w:w="2038" w:type="dxa"/>
            <w:noWrap/>
            <w:hideMark/>
          </w:tcPr>
          <w:p w14:paraId="6FE6195C"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w:t>
            </w:r>
          </w:p>
        </w:tc>
      </w:tr>
      <w:tr w:rsidR="004924E5" w:rsidRPr="007250DF" w14:paraId="0753DEC5"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DC6950C"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COPD</w:t>
            </w:r>
          </w:p>
        </w:tc>
        <w:tc>
          <w:tcPr>
            <w:tcW w:w="2037" w:type="dxa"/>
            <w:noWrap/>
            <w:hideMark/>
          </w:tcPr>
          <w:p w14:paraId="5650D61C"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c>
          <w:tcPr>
            <w:tcW w:w="2038" w:type="dxa"/>
            <w:noWrap/>
            <w:hideMark/>
          </w:tcPr>
          <w:p w14:paraId="7632C776"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122</w:t>
            </w:r>
          </w:p>
        </w:tc>
        <w:tc>
          <w:tcPr>
            <w:tcW w:w="2038" w:type="dxa"/>
            <w:noWrap/>
            <w:hideMark/>
          </w:tcPr>
          <w:p w14:paraId="151AEB29"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20</w:t>
            </w:r>
          </w:p>
        </w:tc>
        <w:tc>
          <w:tcPr>
            <w:tcW w:w="2038" w:type="dxa"/>
            <w:noWrap/>
            <w:hideMark/>
          </w:tcPr>
          <w:p w14:paraId="44BC4FF2"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10</w:t>
            </w:r>
          </w:p>
        </w:tc>
      </w:tr>
      <w:tr w:rsidR="004924E5" w:rsidRPr="007250DF" w14:paraId="251257B8"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795D59A"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Depression</w:t>
            </w:r>
          </w:p>
        </w:tc>
        <w:tc>
          <w:tcPr>
            <w:tcW w:w="2037" w:type="dxa"/>
            <w:noWrap/>
            <w:hideMark/>
          </w:tcPr>
          <w:p w14:paraId="0A304AF7"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9</w:t>
            </w:r>
          </w:p>
        </w:tc>
        <w:tc>
          <w:tcPr>
            <w:tcW w:w="2038" w:type="dxa"/>
            <w:noWrap/>
            <w:hideMark/>
          </w:tcPr>
          <w:p w14:paraId="79B8AD49"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118</w:t>
            </w:r>
          </w:p>
        </w:tc>
        <w:tc>
          <w:tcPr>
            <w:tcW w:w="2038" w:type="dxa"/>
            <w:noWrap/>
            <w:hideMark/>
          </w:tcPr>
          <w:p w14:paraId="3CDCB544"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19</w:t>
            </w:r>
          </w:p>
        </w:tc>
        <w:tc>
          <w:tcPr>
            <w:tcW w:w="2038" w:type="dxa"/>
            <w:noWrap/>
            <w:hideMark/>
          </w:tcPr>
          <w:p w14:paraId="7A22D355"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15</w:t>
            </w:r>
          </w:p>
        </w:tc>
      </w:tr>
      <w:tr w:rsidR="004924E5" w:rsidRPr="007250DF" w14:paraId="33458AA0"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BBC00CA"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Epilepsy</w:t>
            </w:r>
          </w:p>
        </w:tc>
        <w:tc>
          <w:tcPr>
            <w:tcW w:w="2037" w:type="dxa"/>
            <w:noWrap/>
            <w:hideMark/>
          </w:tcPr>
          <w:p w14:paraId="06772226"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8</w:t>
            </w:r>
          </w:p>
        </w:tc>
        <w:tc>
          <w:tcPr>
            <w:tcW w:w="2038" w:type="dxa"/>
            <w:noWrap/>
            <w:hideMark/>
          </w:tcPr>
          <w:p w14:paraId="2365BA56"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119</w:t>
            </w:r>
          </w:p>
        </w:tc>
        <w:tc>
          <w:tcPr>
            <w:tcW w:w="2038" w:type="dxa"/>
            <w:noWrap/>
            <w:hideMark/>
          </w:tcPr>
          <w:p w14:paraId="10AA475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19</w:t>
            </w:r>
          </w:p>
        </w:tc>
        <w:tc>
          <w:tcPr>
            <w:tcW w:w="2038" w:type="dxa"/>
            <w:noWrap/>
            <w:hideMark/>
          </w:tcPr>
          <w:p w14:paraId="6F80979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14</w:t>
            </w:r>
          </w:p>
        </w:tc>
      </w:tr>
      <w:tr w:rsidR="004924E5" w:rsidRPr="007250DF" w14:paraId="56DFB328"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0DE3EA47"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Heart Failure</w:t>
            </w:r>
          </w:p>
        </w:tc>
        <w:tc>
          <w:tcPr>
            <w:tcW w:w="2037" w:type="dxa"/>
            <w:noWrap/>
            <w:hideMark/>
          </w:tcPr>
          <w:p w14:paraId="7B9F6A93"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8</w:t>
            </w:r>
          </w:p>
        </w:tc>
        <w:tc>
          <w:tcPr>
            <w:tcW w:w="2038" w:type="dxa"/>
            <w:noWrap/>
            <w:hideMark/>
          </w:tcPr>
          <w:p w14:paraId="2DC87FDE"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120</w:t>
            </w:r>
          </w:p>
        </w:tc>
        <w:tc>
          <w:tcPr>
            <w:tcW w:w="2038" w:type="dxa"/>
            <w:noWrap/>
            <w:hideMark/>
          </w:tcPr>
          <w:p w14:paraId="7FDE21DD"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20</w:t>
            </w:r>
          </w:p>
        </w:tc>
        <w:tc>
          <w:tcPr>
            <w:tcW w:w="2038" w:type="dxa"/>
            <w:noWrap/>
            <w:hideMark/>
          </w:tcPr>
          <w:p w14:paraId="07C620A9"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11</w:t>
            </w:r>
          </w:p>
        </w:tc>
      </w:tr>
      <w:tr w:rsidR="004924E5" w:rsidRPr="007250DF" w14:paraId="1E659D8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EE8F579"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Parkinson's Disease</w:t>
            </w:r>
          </w:p>
        </w:tc>
        <w:tc>
          <w:tcPr>
            <w:tcW w:w="2037" w:type="dxa"/>
            <w:noWrap/>
            <w:hideMark/>
          </w:tcPr>
          <w:p w14:paraId="2A1E0B09"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8</w:t>
            </w:r>
          </w:p>
        </w:tc>
        <w:tc>
          <w:tcPr>
            <w:tcW w:w="2038" w:type="dxa"/>
            <w:noWrap/>
            <w:hideMark/>
          </w:tcPr>
          <w:p w14:paraId="5D9A1735"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122</w:t>
            </w:r>
          </w:p>
        </w:tc>
        <w:tc>
          <w:tcPr>
            <w:tcW w:w="2038" w:type="dxa"/>
            <w:noWrap/>
            <w:hideMark/>
          </w:tcPr>
          <w:p w14:paraId="7B793C45"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19</w:t>
            </w:r>
          </w:p>
        </w:tc>
        <w:tc>
          <w:tcPr>
            <w:tcW w:w="2038" w:type="dxa"/>
            <w:noWrap/>
            <w:hideMark/>
          </w:tcPr>
          <w:p w14:paraId="750A121B"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w:t>
            </w:r>
          </w:p>
        </w:tc>
      </w:tr>
      <w:tr w:rsidR="004924E5" w:rsidRPr="007250DF" w14:paraId="5DB170F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B5835E8" w14:textId="77777777" w:rsidR="004924E5" w:rsidRPr="007250DF" w:rsidRDefault="004924E5" w:rsidP="007E46C2">
            <w:pPr>
              <w:spacing w:before="0" w:after="0" w:line="240" w:lineRule="auto"/>
              <w:rPr>
                <w:rFonts w:eastAsia="Times New Roman" w:cs="Arial"/>
                <w:color w:val="000000"/>
                <w:sz w:val="20"/>
              </w:rPr>
            </w:pPr>
            <w:r w:rsidRPr="007250DF">
              <w:rPr>
                <w:rFonts w:eastAsia="Times New Roman" w:cs="Arial"/>
                <w:color w:val="000000"/>
                <w:sz w:val="20"/>
              </w:rPr>
              <w:t>Alzheimer's / Dementia</w:t>
            </w:r>
          </w:p>
        </w:tc>
        <w:tc>
          <w:tcPr>
            <w:tcW w:w="2037" w:type="dxa"/>
            <w:noWrap/>
            <w:hideMark/>
          </w:tcPr>
          <w:p w14:paraId="4218C92B"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7</w:t>
            </w:r>
          </w:p>
        </w:tc>
        <w:tc>
          <w:tcPr>
            <w:tcW w:w="2038" w:type="dxa"/>
            <w:noWrap/>
            <w:hideMark/>
          </w:tcPr>
          <w:p w14:paraId="4BEA3FD3"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121</w:t>
            </w:r>
          </w:p>
        </w:tc>
        <w:tc>
          <w:tcPr>
            <w:tcW w:w="2038" w:type="dxa"/>
            <w:noWrap/>
            <w:hideMark/>
          </w:tcPr>
          <w:p w14:paraId="749F6D3F"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19</w:t>
            </w:r>
          </w:p>
        </w:tc>
        <w:tc>
          <w:tcPr>
            <w:tcW w:w="2038" w:type="dxa"/>
            <w:noWrap/>
            <w:hideMark/>
          </w:tcPr>
          <w:p w14:paraId="232F03CC"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250DF">
              <w:rPr>
                <w:rFonts w:eastAsia="Times New Roman" w:cs="Arial"/>
                <w:color w:val="000000"/>
                <w:sz w:val="20"/>
              </w:rPr>
              <w:t>13</w:t>
            </w:r>
          </w:p>
        </w:tc>
      </w:tr>
    </w:tbl>
    <w:p w14:paraId="7B4794FC" w14:textId="0DC9A58B" w:rsidR="004924E5" w:rsidRDefault="00430783" w:rsidP="00430783">
      <w:pPr>
        <w:pStyle w:val="Caption"/>
        <w:rPr>
          <w:rFonts w:eastAsia="MS Mincho" w:cs="Arial"/>
          <w:szCs w:val="24"/>
        </w:rPr>
      </w:pPr>
      <w:r>
        <w:t xml:space="preserve">Table </w:t>
      </w:r>
      <w:r>
        <w:fldChar w:fldCharType="begin"/>
      </w:r>
      <w:r>
        <w:instrText>SEQ Table \* ARABIC</w:instrText>
      </w:r>
      <w:r>
        <w:fldChar w:fldCharType="separate"/>
      </w:r>
      <w:r w:rsidR="00AC4C6D">
        <w:rPr>
          <w:noProof/>
        </w:rPr>
        <w:t>19</w:t>
      </w:r>
      <w:r>
        <w:fldChar w:fldCharType="end"/>
      </w:r>
      <w:r>
        <w:rPr>
          <w:rFonts w:eastAsia="MS Mincho" w:cs="Arial"/>
          <w:szCs w:val="24"/>
        </w:rPr>
        <w:t>: Number of Pharmacies providing Disease Specific Services</w:t>
      </w:r>
    </w:p>
    <w:p w14:paraId="13B071C3" w14:textId="377F7E49" w:rsidR="004924E5" w:rsidRDefault="004924E5" w:rsidP="004924E5">
      <w:pPr>
        <w:spacing w:before="200" w:after="200" w:line="276" w:lineRule="auto"/>
        <w:rPr>
          <w:rFonts w:eastAsia="MS Mincho" w:cs="Arial"/>
          <w:szCs w:val="24"/>
        </w:rPr>
      </w:pPr>
      <w:r>
        <w:rPr>
          <w:rFonts w:eastAsia="MS Mincho" w:cs="Arial"/>
          <w:szCs w:val="24"/>
        </w:rPr>
        <w:t xml:space="preserve">Similarly with screening services, there are not many pharmacies currently providing these services, however the majority would provide if commissioned </w:t>
      </w:r>
      <w:r w:rsidR="00430783">
        <w:rPr>
          <w:rFonts w:eastAsia="MS Mincho" w:cs="Arial"/>
          <w:szCs w:val="24"/>
        </w:rPr>
        <w:t>(Table 20</w:t>
      </w:r>
      <w:r>
        <w:rPr>
          <w:rFonts w:eastAsia="MS Mincho" w:cs="Arial"/>
          <w:szCs w:val="24"/>
        </w:rPr>
        <w:t>)</w:t>
      </w:r>
    </w:p>
    <w:tbl>
      <w:tblPr>
        <w:tblStyle w:val="GridTable4-Accent1"/>
        <w:tblW w:w="0" w:type="auto"/>
        <w:tblLook w:val="04A0" w:firstRow="1" w:lastRow="0" w:firstColumn="1" w:lastColumn="0" w:noHBand="0" w:noVBand="1"/>
      </w:tblPr>
      <w:tblGrid>
        <w:gridCol w:w="2037"/>
        <w:gridCol w:w="2037"/>
        <w:gridCol w:w="2038"/>
        <w:gridCol w:w="2038"/>
        <w:gridCol w:w="2038"/>
      </w:tblGrid>
      <w:tr w:rsidR="004924E5" w14:paraId="258DEB97" w14:textId="77777777" w:rsidTr="007E46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tcPr>
          <w:p w14:paraId="7308F365" w14:textId="77777777" w:rsidR="004924E5" w:rsidRPr="00597A2A" w:rsidRDefault="004924E5" w:rsidP="007E46C2">
            <w:pPr>
              <w:spacing w:before="200" w:after="200" w:line="276" w:lineRule="auto"/>
              <w:rPr>
                <w:sz w:val="22"/>
                <w:szCs w:val="22"/>
              </w:rPr>
            </w:pPr>
            <w:r>
              <w:rPr>
                <w:sz w:val="22"/>
                <w:szCs w:val="22"/>
              </w:rPr>
              <w:t>Screening Service</w:t>
            </w:r>
          </w:p>
        </w:tc>
        <w:tc>
          <w:tcPr>
            <w:tcW w:w="2037" w:type="dxa"/>
          </w:tcPr>
          <w:p w14:paraId="396E5451"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58A56D2F"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c>
          <w:tcPr>
            <w:tcW w:w="2038" w:type="dxa"/>
          </w:tcPr>
          <w:p w14:paraId="5D5A8208"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privately</w:t>
            </w:r>
          </w:p>
        </w:tc>
        <w:tc>
          <w:tcPr>
            <w:tcW w:w="2038" w:type="dxa"/>
          </w:tcPr>
          <w:p w14:paraId="743B6490"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Wouldn’t provide if commissioned</w:t>
            </w:r>
          </w:p>
        </w:tc>
      </w:tr>
      <w:tr w:rsidR="004924E5" w:rsidRPr="007250DF" w14:paraId="5680C378"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5093BC52"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Diabetes</w:t>
            </w:r>
          </w:p>
        </w:tc>
        <w:tc>
          <w:tcPr>
            <w:tcW w:w="2037" w:type="dxa"/>
            <w:noWrap/>
            <w:vAlign w:val="bottom"/>
            <w:hideMark/>
          </w:tcPr>
          <w:p w14:paraId="4EAC8608"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13</w:t>
            </w:r>
          </w:p>
        </w:tc>
        <w:tc>
          <w:tcPr>
            <w:tcW w:w="2038" w:type="dxa"/>
            <w:noWrap/>
            <w:vAlign w:val="bottom"/>
            <w:hideMark/>
          </w:tcPr>
          <w:p w14:paraId="4B9EBE7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111</w:t>
            </w:r>
          </w:p>
        </w:tc>
        <w:tc>
          <w:tcPr>
            <w:tcW w:w="2038" w:type="dxa"/>
            <w:noWrap/>
            <w:vAlign w:val="bottom"/>
            <w:hideMark/>
          </w:tcPr>
          <w:p w14:paraId="23FEBC98"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28</w:t>
            </w:r>
          </w:p>
        </w:tc>
        <w:tc>
          <w:tcPr>
            <w:tcW w:w="2038" w:type="dxa"/>
            <w:noWrap/>
            <w:vAlign w:val="bottom"/>
            <w:hideMark/>
          </w:tcPr>
          <w:p w14:paraId="7E95DE5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11</w:t>
            </w:r>
          </w:p>
        </w:tc>
      </w:tr>
      <w:tr w:rsidR="004924E5" w:rsidRPr="007250DF" w14:paraId="09699DAC"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24D7AE3C"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Cholesterol</w:t>
            </w:r>
          </w:p>
        </w:tc>
        <w:tc>
          <w:tcPr>
            <w:tcW w:w="2037" w:type="dxa"/>
            <w:noWrap/>
            <w:vAlign w:val="bottom"/>
            <w:hideMark/>
          </w:tcPr>
          <w:p w14:paraId="0143ECE5"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5</w:t>
            </w:r>
          </w:p>
        </w:tc>
        <w:tc>
          <w:tcPr>
            <w:tcW w:w="2038" w:type="dxa"/>
            <w:noWrap/>
            <w:vAlign w:val="bottom"/>
            <w:hideMark/>
          </w:tcPr>
          <w:p w14:paraId="25E3D067"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117</w:t>
            </w:r>
          </w:p>
        </w:tc>
        <w:tc>
          <w:tcPr>
            <w:tcW w:w="2038" w:type="dxa"/>
            <w:noWrap/>
            <w:vAlign w:val="bottom"/>
            <w:hideMark/>
          </w:tcPr>
          <w:p w14:paraId="2FBED6A3"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26</w:t>
            </w:r>
          </w:p>
        </w:tc>
        <w:tc>
          <w:tcPr>
            <w:tcW w:w="2038" w:type="dxa"/>
            <w:noWrap/>
            <w:vAlign w:val="bottom"/>
            <w:hideMark/>
          </w:tcPr>
          <w:p w14:paraId="473CFAAD"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15</w:t>
            </w:r>
          </w:p>
        </w:tc>
      </w:tr>
      <w:tr w:rsidR="004924E5" w:rsidRPr="007250DF" w14:paraId="4B52D141"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33D290F9"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HIV</w:t>
            </w:r>
          </w:p>
        </w:tc>
        <w:tc>
          <w:tcPr>
            <w:tcW w:w="2037" w:type="dxa"/>
            <w:noWrap/>
            <w:vAlign w:val="bottom"/>
            <w:hideMark/>
          </w:tcPr>
          <w:p w14:paraId="301070DB"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3</w:t>
            </w:r>
          </w:p>
        </w:tc>
        <w:tc>
          <w:tcPr>
            <w:tcW w:w="2038" w:type="dxa"/>
            <w:noWrap/>
            <w:vAlign w:val="bottom"/>
            <w:hideMark/>
          </w:tcPr>
          <w:p w14:paraId="01C65795"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104</w:t>
            </w:r>
          </w:p>
        </w:tc>
        <w:tc>
          <w:tcPr>
            <w:tcW w:w="2038" w:type="dxa"/>
            <w:noWrap/>
            <w:vAlign w:val="bottom"/>
            <w:hideMark/>
          </w:tcPr>
          <w:p w14:paraId="311A9053"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23</w:t>
            </w:r>
          </w:p>
        </w:tc>
        <w:tc>
          <w:tcPr>
            <w:tcW w:w="2038" w:type="dxa"/>
            <w:noWrap/>
            <w:vAlign w:val="bottom"/>
            <w:hideMark/>
          </w:tcPr>
          <w:p w14:paraId="631F8589"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26</w:t>
            </w:r>
          </w:p>
        </w:tc>
      </w:tr>
      <w:tr w:rsidR="004924E5" w:rsidRPr="007250DF" w14:paraId="773838A6"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43328773"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Alcohol</w:t>
            </w:r>
          </w:p>
        </w:tc>
        <w:tc>
          <w:tcPr>
            <w:tcW w:w="2037" w:type="dxa"/>
            <w:noWrap/>
            <w:vAlign w:val="bottom"/>
            <w:hideMark/>
          </w:tcPr>
          <w:p w14:paraId="048322A5"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w:t>
            </w:r>
          </w:p>
        </w:tc>
        <w:tc>
          <w:tcPr>
            <w:tcW w:w="2038" w:type="dxa"/>
            <w:noWrap/>
            <w:vAlign w:val="bottom"/>
            <w:hideMark/>
          </w:tcPr>
          <w:p w14:paraId="35D4BB94"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116</w:t>
            </w:r>
          </w:p>
        </w:tc>
        <w:tc>
          <w:tcPr>
            <w:tcW w:w="2038" w:type="dxa"/>
            <w:noWrap/>
            <w:vAlign w:val="bottom"/>
            <w:hideMark/>
          </w:tcPr>
          <w:p w14:paraId="3D2CF9FA"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23</w:t>
            </w:r>
          </w:p>
        </w:tc>
        <w:tc>
          <w:tcPr>
            <w:tcW w:w="2038" w:type="dxa"/>
            <w:noWrap/>
            <w:vAlign w:val="bottom"/>
            <w:hideMark/>
          </w:tcPr>
          <w:p w14:paraId="017EC42A"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18</w:t>
            </w:r>
          </w:p>
        </w:tc>
      </w:tr>
      <w:tr w:rsidR="004924E5" w:rsidRPr="007250DF" w14:paraId="008B42C9"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42E23DC1"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HbA1C</w:t>
            </w:r>
          </w:p>
        </w:tc>
        <w:tc>
          <w:tcPr>
            <w:tcW w:w="2037" w:type="dxa"/>
            <w:noWrap/>
            <w:vAlign w:val="bottom"/>
            <w:hideMark/>
          </w:tcPr>
          <w:p w14:paraId="7C67E775"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w:t>
            </w:r>
          </w:p>
        </w:tc>
        <w:tc>
          <w:tcPr>
            <w:tcW w:w="2038" w:type="dxa"/>
            <w:noWrap/>
            <w:vAlign w:val="bottom"/>
            <w:hideMark/>
          </w:tcPr>
          <w:p w14:paraId="3927653F"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115</w:t>
            </w:r>
          </w:p>
        </w:tc>
        <w:tc>
          <w:tcPr>
            <w:tcW w:w="2038" w:type="dxa"/>
            <w:noWrap/>
            <w:vAlign w:val="bottom"/>
            <w:hideMark/>
          </w:tcPr>
          <w:p w14:paraId="3763F189"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23</w:t>
            </w:r>
          </w:p>
        </w:tc>
        <w:tc>
          <w:tcPr>
            <w:tcW w:w="2038" w:type="dxa"/>
            <w:noWrap/>
            <w:vAlign w:val="bottom"/>
            <w:hideMark/>
          </w:tcPr>
          <w:p w14:paraId="1035F1D5"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20</w:t>
            </w:r>
          </w:p>
        </w:tc>
      </w:tr>
      <w:tr w:rsidR="004924E5" w:rsidRPr="007250DF" w14:paraId="37D57F6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798DDAA7"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Gonorrhoea</w:t>
            </w:r>
          </w:p>
        </w:tc>
        <w:tc>
          <w:tcPr>
            <w:tcW w:w="2037" w:type="dxa"/>
            <w:noWrap/>
            <w:vAlign w:val="bottom"/>
            <w:hideMark/>
          </w:tcPr>
          <w:p w14:paraId="520A3D5E"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w:t>
            </w:r>
          </w:p>
        </w:tc>
        <w:tc>
          <w:tcPr>
            <w:tcW w:w="2038" w:type="dxa"/>
            <w:noWrap/>
            <w:vAlign w:val="bottom"/>
            <w:hideMark/>
          </w:tcPr>
          <w:p w14:paraId="6DE11889"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112</w:t>
            </w:r>
          </w:p>
        </w:tc>
        <w:tc>
          <w:tcPr>
            <w:tcW w:w="2038" w:type="dxa"/>
            <w:noWrap/>
            <w:vAlign w:val="bottom"/>
            <w:hideMark/>
          </w:tcPr>
          <w:p w14:paraId="6F77345B"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24</w:t>
            </w:r>
          </w:p>
        </w:tc>
        <w:tc>
          <w:tcPr>
            <w:tcW w:w="2038" w:type="dxa"/>
            <w:noWrap/>
            <w:vAlign w:val="bottom"/>
            <w:hideMark/>
          </w:tcPr>
          <w:p w14:paraId="4B20792D"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22</w:t>
            </w:r>
          </w:p>
        </w:tc>
      </w:tr>
      <w:tr w:rsidR="004924E5" w:rsidRPr="007250DF" w14:paraId="456AB583"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148553E9"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H. Pylori</w:t>
            </w:r>
          </w:p>
        </w:tc>
        <w:tc>
          <w:tcPr>
            <w:tcW w:w="2037" w:type="dxa"/>
            <w:noWrap/>
            <w:vAlign w:val="bottom"/>
            <w:hideMark/>
          </w:tcPr>
          <w:p w14:paraId="59F0BBA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w:t>
            </w:r>
          </w:p>
        </w:tc>
        <w:tc>
          <w:tcPr>
            <w:tcW w:w="2038" w:type="dxa"/>
            <w:noWrap/>
            <w:vAlign w:val="bottom"/>
            <w:hideMark/>
          </w:tcPr>
          <w:p w14:paraId="035CD83C"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115</w:t>
            </w:r>
          </w:p>
        </w:tc>
        <w:tc>
          <w:tcPr>
            <w:tcW w:w="2038" w:type="dxa"/>
            <w:noWrap/>
            <w:vAlign w:val="bottom"/>
            <w:hideMark/>
          </w:tcPr>
          <w:p w14:paraId="1BE016FE"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23</w:t>
            </w:r>
          </w:p>
        </w:tc>
        <w:tc>
          <w:tcPr>
            <w:tcW w:w="2038" w:type="dxa"/>
            <w:noWrap/>
            <w:vAlign w:val="bottom"/>
            <w:hideMark/>
          </w:tcPr>
          <w:p w14:paraId="7EDED3A7" w14:textId="77777777" w:rsidR="004924E5" w:rsidRPr="007250DF"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Pr>
                <w:rFonts w:cs="Arial"/>
                <w:color w:val="000000"/>
                <w:sz w:val="20"/>
              </w:rPr>
              <w:t>22</w:t>
            </w:r>
          </w:p>
        </w:tc>
      </w:tr>
      <w:tr w:rsidR="004924E5" w:rsidRPr="007250DF" w14:paraId="7C0905C1"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vAlign w:val="bottom"/>
            <w:hideMark/>
          </w:tcPr>
          <w:p w14:paraId="29C24892" w14:textId="77777777" w:rsidR="004924E5" w:rsidRPr="007250DF" w:rsidRDefault="004924E5" w:rsidP="007E46C2">
            <w:pPr>
              <w:spacing w:before="0" w:after="0" w:line="240" w:lineRule="auto"/>
              <w:rPr>
                <w:rFonts w:eastAsia="Times New Roman" w:cs="Arial"/>
                <w:color w:val="000000"/>
                <w:sz w:val="20"/>
              </w:rPr>
            </w:pPr>
            <w:r>
              <w:rPr>
                <w:rFonts w:cs="Arial"/>
                <w:color w:val="000000"/>
                <w:sz w:val="20"/>
              </w:rPr>
              <w:t>Hepatitis</w:t>
            </w:r>
          </w:p>
        </w:tc>
        <w:tc>
          <w:tcPr>
            <w:tcW w:w="2037" w:type="dxa"/>
            <w:noWrap/>
            <w:vAlign w:val="bottom"/>
            <w:hideMark/>
          </w:tcPr>
          <w:p w14:paraId="1D66C4AF"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w:t>
            </w:r>
          </w:p>
        </w:tc>
        <w:tc>
          <w:tcPr>
            <w:tcW w:w="2038" w:type="dxa"/>
            <w:noWrap/>
            <w:vAlign w:val="bottom"/>
            <w:hideMark/>
          </w:tcPr>
          <w:p w14:paraId="0A943788"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108</w:t>
            </w:r>
          </w:p>
        </w:tc>
        <w:tc>
          <w:tcPr>
            <w:tcW w:w="2038" w:type="dxa"/>
            <w:noWrap/>
            <w:vAlign w:val="bottom"/>
            <w:hideMark/>
          </w:tcPr>
          <w:p w14:paraId="73231A98"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24</w:t>
            </w:r>
          </w:p>
        </w:tc>
        <w:tc>
          <w:tcPr>
            <w:tcW w:w="2038" w:type="dxa"/>
            <w:noWrap/>
            <w:vAlign w:val="bottom"/>
            <w:hideMark/>
          </w:tcPr>
          <w:p w14:paraId="24C03048" w14:textId="77777777" w:rsidR="004924E5" w:rsidRPr="007250DF"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Pr>
                <w:rFonts w:cs="Arial"/>
                <w:color w:val="000000"/>
                <w:sz w:val="20"/>
              </w:rPr>
              <w:t>25</w:t>
            </w:r>
          </w:p>
        </w:tc>
      </w:tr>
    </w:tbl>
    <w:p w14:paraId="012EC7E2" w14:textId="2EE655F5" w:rsidR="004924E5" w:rsidRDefault="00430783" w:rsidP="00430783">
      <w:pPr>
        <w:pStyle w:val="Caption"/>
        <w:rPr>
          <w:rFonts w:eastAsia="MS Mincho" w:cs="Arial"/>
          <w:szCs w:val="24"/>
        </w:rPr>
      </w:pPr>
      <w:r>
        <w:t xml:space="preserve">Table </w:t>
      </w:r>
      <w:r>
        <w:fldChar w:fldCharType="begin"/>
      </w:r>
      <w:r>
        <w:instrText>SEQ Table \* ARABIC</w:instrText>
      </w:r>
      <w:r>
        <w:fldChar w:fldCharType="separate"/>
      </w:r>
      <w:r w:rsidR="00AC4C6D">
        <w:rPr>
          <w:noProof/>
        </w:rPr>
        <w:t>20</w:t>
      </w:r>
      <w:r>
        <w:fldChar w:fldCharType="end"/>
      </w:r>
      <w:r>
        <w:rPr>
          <w:rFonts w:eastAsia="MS Mincho" w:cs="Arial"/>
          <w:szCs w:val="24"/>
        </w:rPr>
        <w:t>: Pharmacies providing Screening Services</w:t>
      </w:r>
    </w:p>
    <w:p w14:paraId="7AB6EBDC" w14:textId="77777777" w:rsidR="004924E5" w:rsidRDefault="004924E5" w:rsidP="004924E5">
      <w:pPr>
        <w:spacing w:before="200" w:after="200" w:line="276" w:lineRule="auto"/>
        <w:rPr>
          <w:rFonts w:eastAsia="MS Mincho" w:cs="Arial"/>
          <w:szCs w:val="24"/>
        </w:rPr>
      </w:pPr>
    </w:p>
    <w:p w14:paraId="06C96E51" w14:textId="7C697E9C" w:rsidR="004924E5" w:rsidRDefault="004924E5" w:rsidP="004924E5">
      <w:pPr>
        <w:spacing w:before="200" w:after="200" w:line="276" w:lineRule="auto"/>
        <w:rPr>
          <w:rFonts w:eastAsia="MS Mincho" w:cs="Arial"/>
          <w:szCs w:val="24"/>
        </w:rPr>
      </w:pPr>
      <w:r>
        <w:rPr>
          <w:rFonts w:eastAsia="MS Mincho" w:cs="Arial"/>
          <w:szCs w:val="24"/>
        </w:rPr>
        <w:lastRenderedPageBreak/>
        <w:t>In terms of vaccination services, the majority of pharmacies offer the seasonal influenza vaccine service (132) however only small numbers currently provide other vaccinations (</w:t>
      </w:r>
      <w:r w:rsidR="00430783">
        <w:rPr>
          <w:rFonts w:eastAsia="MS Mincho" w:cs="Arial"/>
          <w:szCs w:val="24"/>
        </w:rPr>
        <w:t>Table 21</w:t>
      </w:r>
      <w:r>
        <w:rPr>
          <w:rFonts w:eastAsia="MS Mincho" w:cs="Arial"/>
          <w:szCs w:val="24"/>
        </w:rPr>
        <w:t>)</w:t>
      </w:r>
    </w:p>
    <w:tbl>
      <w:tblPr>
        <w:tblStyle w:val="GridTable4-Accent1"/>
        <w:tblW w:w="0" w:type="auto"/>
        <w:tblLook w:val="04A0" w:firstRow="1" w:lastRow="0" w:firstColumn="1" w:lastColumn="0" w:noHBand="0" w:noVBand="1"/>
      </w:tblPr>
      <w:tblGrid>
        <w:gridCol w:w="2037"/>
        <w:gridCol w:w="2037"/>
        <w:gridCol w:w="2038"/>
        <w:gridCol w:w="2038"/>
        <w:gridCol w:w="2038"/>
      </w:tblGrid>
      <w:tr w:rsidR="004924E5" w14:paraId="786B643F" w14:textId="77777777" w:rsidTr="007E46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tcPr>
          <w:p w14:paraId="7899BFF0" w14:textId="77777777" w:rsidR="004924E5" w:rsidRPr="00597A2A" w:rsidRDefault="004924E5" w:rsidP="007E46C2">
            <w:pPr>
              <w:spacing w:before="200" w:after="200" w:line="276" w:lineRule="auto"/>
              <w:rPr>
                <w:sz w:val="22"/>
                <w:szCs w:val="22"/>
              </w:rPr>
            </w:pPr>
            <w:r>
              <w:rPr>
                <w:sz w:val="22"/>
                <w:szCs w:val="22"/>
              </w:rPr>
              <w:t>Vaccination Service</w:t>
            </w:r>
          </w:p>
        </w:tc>
        <w:tc>
          <w:tcPr>
            <w:tcW w:w="2037" w:type="dxa"/>
          </w:tcPr>
          <w:p w14:paraId="3D6541F7"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70A06A3C"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c>
          <w:tcPr>
            <w:tcW w:w="2038" w:type="dxa"/>
          </w:tcPr>
          <w:p w14:paraId="551860E7"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privately</w:t>
            </w:r>
          </w:p>
        </w:tc>
        <w:tc>
          <w:tcPr>
            <w:tcW w:w="2038" w:type="dxa"/>
          </w:tcPr>
          <w:p w14:paraId="234A6758"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Wouldn’t provide if commissioned</w:t>
            </w:r>
          </w:p>
        </w:tc>
      </w:tr>
      <w:tr w:rsidR="004924E5" w:rsidRPr="00A21997" w14:paraId="267B95B2"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AF1B774"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Seasonal Influenza Vaccination service</w:t>
            </w:r>
          </w:p>
        </w:tc>
        <w:tc>
          <w:tcPr>
            <w:tcW w:w="2037" w:type="dxa"/>
            <w:noWrap/>
            <w:hideMark/>
          </w:tcPr>
          <w:p w14:paraId="3617ACA4"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132</w:t>
            </w:r>
          </w:p>
        </w:tc>
        <w:tc>
          <w:tcPr>
            <w:tcW w:w="2038" w:type="dxa"/>
            <w:noWrap/>
            <w:hideMark/>
          </w:tcPr>
          <w:p w14:paraId="4546DEB4"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16</w:t>
            </w:r>
          </w:p>
        </w:tc>
        <w:tc>
          <w:tcPr>
            <w:tcW w:w="2038" w:type="dxa"/>
            <w:noWrap/>
            <w:hideMark/>
          </w:tcPr>
          <w:p w14:paraId="4ADA7209"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19</w:t>
            </w:r>
          </w:p>
        </w:tc>
        <w:tc>
          <w:tcPr>
            <w:tcW w:w="2038" w:type="dxa"/>
            <w:noWrap/>
            <w:hideMark/>
          </w:tcPr>
          <w:p w14:paraId="3955AA85"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8</w:t>
            </w:r>
          </w:p>
        </w:tc>
      </w:tr>
      <w:tr w:rsidR="004924E5" w:rsidRPr="00A21997" w14:paraId="70FA580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6E2A9E49"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Pneumococcal</w:t>
            </w:r>
          </w:p>
        </w:tc>
        <w:tc>
          <w:tcPr>
            <w:tcW w:w="2037" w:type="dxa"/>
            <w:noWrap/>
            <w:hideMark/>
          </w:tcPr>
          <w:p w14:paraId="74074170"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22</w:t>
            </w:r>
          </w:p>
        </w:tc>
        <w:tc>
          <w:tcPr>
            <w:tcW w:w="2038" w:type="dxa"/>
            <w:noWrap/>
            <w:hideMark/>
          </w:tcPr>
          <w:p w14:paraId="55666DAE"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94</w:t>
            </w:r>
          </w:p>
        </w:tc>
        <w:tc>
          <w:tcPr>
            <w:tcW w:w="2038" w:type="dxa"/>
            <w:noWrap/>
            <w:hideMark/>
          </w:tcPr>
          <w:p w14:paraId="558AA020"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28</w:t>
            </w:r>
          </w:p>
        </w:tc>
        <w:tc>
          <w:tcPr>
            <w:tcW w:w="2038" w:type="dxa"/>
            <w:noWrap/>
            <w:hideMark/>
          </w:tcPr>
          <w:p w14:paraId="422DC564"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22</w:t>
            </w:r>
          </w:p>
        </w:tc>
      </w:tr>
      <w:tr w:rsidR="004924E5" w:rsidRPr="00A21997" w14:paraId="67116C3E"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F10086B"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COVID 19</w:t>
            </w:r>
          </w:p>
        </w:tc>
        <w:tc>
          <w:tcPr>
            <w:tcW w:w="2037" w:type="dxa"/>
            <w:noWrap/>
            <w:hideMark/>
          </w:tcPr>
          <w:p w14:paraId="351FBEB9"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16</w:t>
            </w:r>
          </w:p>
        </w:tc>
        <w:tc>
          <w:tcPr>
            <w:tcW w:w="2038" w:type="dxa"/>
            <w:noWrap/>
            <w:hideMark/>
          </w:tcPr>
          <w:p w14:paraId="1DE48E7C"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104</w:t>
            </w:r>
          </w:p>
        </w:tc>
        <w:tc>
          <w:tcPr>
            <w:tcW w:w="2038" w:type="dxa"/>
            <w:noWrap/>
            <w:hideMark/>
          </w:tcPr>
          <w:p w14:paraId="643AE544"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24</w:t>
            </w:r>
          </w:p>
        </w:tc>
        <w:tc>
          <w:tcPr>
            <w:tcW w:w="2038" w:type="dxa"/>
            <w:noWrap/>
            <w:hideMark/>
          </w:tcPr>
          <w:p w14:paraId="427A40B6"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24</w:t>
            </w:r>
          </w:p>
        </w:tc>
      </w:tr>
      <w:tr w:rsidR="004924E5" w:rsidRPr="00A21997" w14:paraId="4A1090A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2727678"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Travel Vaccinations</w:t>
            </w:r>
          </w:p>
        </w:tc>
        <w:tc>
          <w:tcPr>
            <w:tcW w:w="2037" w:type="dxa"/>
            <w:noWrap/>
            <w:hideMark/>
          </w:tcPr>
          <w:p w14:paraId="1C379B4F"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10</w:t>
            </w:r>
          </w:p>
        </w:tc>
        <w:tc>
          <w:tcPr>
            <w:tcW w:w="2038" w:type="dxa"/>
            <w:noWrap/>
            <w:hideMark/>
          </w:tcPr>
          <w:p w14:paraId="1C4DE4A4"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99</w:t>
            </w:r>
          </w:p>
        </w:tc>
        <w:tc>
          <w:tcPr>
            <w:tcW w:w="2038" w:type="dxa"/>
            <w:noWrap/>
            <w:hideMark/>
          </w:tcPr>
          <w:p w14:paraId="7349313B"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39</w:t>
            </w:r>
          </w:p>
        </w:tc>
        <w:tc>
          <w:tcPr>
            <w:tcW w:w="2038" w:type="dxa"/>
            <w:noWrap/>
            <w:hideMark/>
          </w:tcPr>
          <w:p w14:paraId="59F2937A"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20</w:t>
            </w:r>
          </w:p>
        </w:tc>
      </w:tr>
      <w:tr w:rsidR="004924E5" w:rsidRPr="00A21997" w14:paraId="5C961CE6"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788A2EA1"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Meningococcal</w:t>
            </w:r>
          </w:p>
        </w:tc>
        <w:tc>
          <w:tcPr>
            <w:tcW w:w="2037" w:type="dxa"/>
            <w:noWrap/>
            <w:hideMark/>
          </w:tcPr>
          <w:p w14:paraId="682BE021"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w:t>
            </w:r>
          </w:p>
        </w:tc>
        <w:tc>
          <w:tcPr>
            <w:tcW w:w="2038" w:type="dxa"/>
            <w:noWrap/>
            <w:hideMark/>
          </w:tcPr>
          <w:p w14:paraId="764245C0"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103</w:t>
            </w:r>
          </w:p>
        </w:tc>
        <w:tc>
          <w:tcPr>
            <w:tcW w:w="2038" w:type="dxa"/>
            <w:noWrap/>
            <w:hideMark/>
          </w:tcPr>
          <w:p w14:paraId="677AC8F0"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13</w:t>
            </w:r>
          </w:p>
        </w:tc>
        <w:tc>
          <w:tcPr>
            <w:tcW w:w="2038" w:type="dxa"/>
            <w:noWrap/>
            <w:hideMark/>
          </w:tcPr>
          <w:p w14:paraId="6C7B987E"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26</w:t>
            </w:r>
          </w:p>
        </w:tc>
      </w:tr>
      <w:tr w:rsidR="004924E5" w:rsidRPr="00A21997" w14:paraId="336E7D7F"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05DF789A"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Hepatitis (at risk workers or patients)</w:t>
            </w:r>
          </w:p>
        </w:tc>
        <w:tc>
          <w:tcPr>
            <w:tcW w:w="2037" w:type="dxa"/>
            <w:noWrap/>
            <w:hideMark/>
          </w:tcPr>
          <w:p w14:paraId="692265A3"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8</w:t>
            </w:r>
          </w:p>
        </w:tc>
        <w:tc>
          <w:tcPr>
            <w:tcW w:w="2038" w:type="dxa"/>
            <w:noWrap/>
            <w:hideMark/>
          </w:tcPr>
          <w:p w14:paraId="67A2192C"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99</w:t>
            </w:r>
          </w:p>
        </w:tc>
        <w:tc>
          <w:tcPr>
            <w:tcW w:w="2038" w:type="dxa"/>
            <w:noWrap/>
            <w:hideMark/>
          </w:tcPr>
          <w:p w14:paraId="50AC8998"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33</w:t>
            </w:r>
          </w:p>
        </w:tc>
        <w:tc>
          <w:tcPr>
            <w:tcW w:w="2038" w:type="dxa"/>
            <w:noWrap/>
            <w:hideMark/>
          </w:tcPr>
          <w:p w14:paraId="0627798B"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26</w:t>
            </w:r>
          </w:p>
        </w:tc>
      </w:tr>
      <w:tr w:rsidR="004924E5" w:rsidRPr="00A21997" w14:paraId="2E1B8D63" w14:textId="77777777" w:rsidTr="007E46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0D14D3A"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HPV</w:t>
            </w:r>
          </w:p>
        </w:tc>
        <w:tc>
          <w:tcPr>
            <w:tcW w:w="2037" w:type="dxa"/>
            <w:noWrap/>
            <w:hideMark/>
          </w:tcPr>
          <w:p w14:paraId="688C669C"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7</w:t>
            </w:r>
          </w:p>
        </w:tc>
        <w:tc>
          <w:tcPr>
            <w:tcW w:w="2038" w:type="dxa"/>
            <w:noWrap/>
            <w:hideMark/>
          </w:tcPr>
          <w:p w14:paraId="6D4965E1"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95</w:t>
            </w:r>
          </w:p>
        </w:tc>
        <w:tc>
          <w:tcPr>
            <w:tcW w:w="2038" w:type="dxa"/>
            <w:noWrap/>
            <w:hideMark/>
          </w:tcPr>
          <w:p w14:paraId="33D66891"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33</w:t>
            </w:r>
          </w:p>
        </w:tc>
        <w:tc>
          <w:tcPr>
            <w:tcW w:w="2038" w:type="dxa"/>
            <w:noWrap/>
            <w:hideMark/>
          </w:tcPr>
          <w:p w14:paraId="43765805" w14:textId="77777777" w:rsidR="004924E5" w:rsidRPr="00A21997"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27</w:t>
            </w:r>
          </w:p>
        </w:tc>
      </w:tr>
      <w:tr w:rsidR="004924E5" w:rsidRPr="00A21997" w14:paraId="378BB897" w14:textId="77777777" w:rsidTr="007E46C2">
        <w:trPr>
          <w:trHeight w:val="255"/>
        </w:trPr>
        <w:tc>
          <w:tcPr>
            <w:cnfStyle w:val="001000000000" w:firstRow="0" w:lastRow="0" w:firstColumn="1" w:lastColumn="0" w:oddVBand="0" w:evenVBand="0" w:oddHBand="0" w:evenHBand="0" w:firstRowFirstColumn="0" w:firstRowLastColumn="0" w:lastRowFirstColumn="0" w:lastRowLastColumn="0"/>
            <w:tcW w:w="2037" w:type="dxa"/>
            <w:noWrap/>
            <w:hideMark/>
          </w:tcPr>
          <w:p w14:paraId="720BD312" w14:textId="77777777" w:rsidR="004924E5" w:rsidRPr="00A21997" w:rsidRDefault="004924E5" w:rsidP="007E46C2">
            <w:pPr>
              <w:spacing w:before="0" w:after="0" w:line="240" w:lineRule="auto"/>
              <w:rPr>
                <w:rFonts w:eastAsia="Times New Roman" w:cs="Arial"/>
                <w:color w:val="000000"/>
                <w:sz w:val="20"/>
              </w:rPr>
            </w:pPr>
            <w:r w:rsidRPr="00A21997">
              <w:rPr>
                <w:rFonts w:eastAsia="Times New Roman" w:cs="Arial"/>
                <w:color w:val="000000"/>
                <w:sz w:val="20"/>
              </w:rPr>
              <w:t>Childhood vaccinations</w:t>
            </w:r>
          </w:p>
        </w:tc>
        <w:tc>
          <w:tcPr>
            <w:tcW w:w="2037" w:type="dxa"/>
            <w:noWrap/>
            <w:hideMark/>
          </w:tcPr>
          <w:p w14:paraId="4AAD5E03"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3</w:t>
            </w:r>
          </w:p>
        </w:tc>
        <w:tc>
          <w:tcPr>
            <w:tcW w:w="2038" w:type="dxa"/>
            <w:noWrap/>
            <w:hideMark/>
          </w:tcPr>
          <w:p w14:paraId="77FC7852"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99</w:t>
            </w:r>
          </w:p>
        </w:tc>
        <w:tc>
          <w:tcPr>
            <w:tcW w:w="2038" w:type="dxa"/>
            <w:noWrap/>
            <w:hideMark/>
          </w:tcPr>
          <w:p w14:paraId="2BA0DCD3"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28</w:t>
            </w:r>
          </w:p>
        </w:tc>
        <w:tc>
          <w:tcPr>
            <w:tcW w:w="2038" w:type="dxa"/>
            <w:noWrap/>
            <w:hideMark/>
          </w:tcPr>
          <w:p w14:paraId="55444805" w14:textId="77777777" w:rsidR="004924E5" w:rsidRPr="00A21997"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A21997">
              <w:rPr>
                <w:rFonts w:eastAsia="Times New Roman" w:cs="Arial"/>
                <w:color w:val="000000"/>
                <w:sz w:val="20"/>
              </w:rPr>
              <w:t>33</w:t>
            </w:r>
          </w:p>
        </w:tc>
      </w:tr>
    </w:tbl>
    <w:p w14:paraId="5B038907" w14:textId="0AAC8AAF" w:rsidR="00430783" w:rsidRDefault="00430783" w:rsidP="00430783">
      <w:pPr>
        <w:pStyle w:val="Caption"/>
        <w:rPr>
          <w:rFonts w:eastAsia="MS Mincho" w:cs="Arial"/>
          <w:szCs w:val="24"/>
        </w:rPr>
      </w:pPr>
      <w:r>
        <w:t xml:space="preserve">Table </w:t>
      </w:r>
      <w:r>
        <w:fldChar w:fldCharType="begin"/>
      </w:r>
      <w:r>
        <w:instrText>SEQ Table \* ARABIC</w:instrText>
      </w:r>
      <w:r>
        <w:fldChar w:fldCharType="separate"/>
      </w:r>
      <w:r w:rsidR="00AC4C6D">
        <w:rPr>
          <w:noProof/>
        </w:rPr>
        <w:t>21</w:t>
      </w:r>
      <w:r>
        <w:fldChar w:fldCharType="end"/>
      </w:r>
      <w:r>
        <w:t>:</w:t>
      </w:r>
      <w:r>
        <w:rPr>
          <w:rFonts w:eastAsia="MS Mincho" w:cs="Arial"/>
          <w:szCs w:val="24"/>
        </w:rPr>
        <w:t xml:space="preserve"> Pharmacies providing Vaccination Services</w:t>
      </w:r>
    </w:p>
    <w:p w14:paraId="45989503" w14:textId="6CCA1F58" w:rsidR="004924E5" w:rsidRDefault="004924E5" w:rsidP="004924E5">
      <w:pPr>
        <w:spacing w:before="200" w:after="200" w:line="276" w:lineRule="auto"/>
        <w:rPr>
          <w:rFonts w:eastAsia="MS Mincho" w:cs="Arial"/>
          <w:szCs w:val="24"/>
        </w:rPr>
      </w:pPr>
      <w:r>
        <w:rPr>
          <w:rFonts w:eastAsia="MS Mincho" w:cs="Arial"/>
          <w:szCs w:val="24"/>
        </w:rPr>
        <w:t>In terms of non-commissioned services, the majority of pharmacies offer collection of prescription from GP practices (137) as well as monitoring dosage systems free of charge on request (135), and many also provide delivery of dispensed medicines free of charge on request (105). For the delivery of dispensed medicines, it is worth noting that most of these pharmacies will deliver free of charge to elderly, vulnerable or housebound patients only (</w:t>
      </w:r>
      <w:r w:rsidR="00430783">
        <w:rPr>
          <w:rFonts w:eastAsia="MS Mincho" w:cs="Arial"/>
          <w:szCs w:val="24"/>
        </w:rPr>
        <w:t>Table 2</w:t>
      </w:r>
      <w:r>
        <w:rPr>
          <w:rFonts w:eastAsia="MS Mincho" w:cs="Arial"/>
          <w:szCs w:val="24"/>
        </w:rPr>
        <w:t>)</w:t>
      </w:r>
    </w:p>
    <w:tbl>
      <w:tblPr>
        <w:tblStyle w:val="GridTable4-Accent1"/>
        <w:tblW w:w="0" w:type="auto"/>
        <w:jc w:val="center"/>
        <w:tblLook w:val="04A0" w:firstRow="1" w:lastRow="0" w:firstColumn="1" w:lastColumn="0" w:noHBand="0" w:noVBand="1"/>
      </w:tblPr>
      <w:tblGrid>
        <w:gridCol w:w="2037"/>
        <w:gridCol w:w="2037"/>
        <w:gridCol w:w="2038"/>
      </w:tblGrid>
      <w:tr w:rsidR="004924E5" w14:paraId="754A9EF6" w14:textId="77777777" w:rsidTr="004307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7" w:type="dxa"/>
          </w:tcPr>
          <w:p w14:paraId="09995B5A" w14:textId="77777777" w:rsidR="004924E5" w:rsidRPr="00597A2A" w:rsidRDefault="004924E5" w:rsidP="007E46C2">
            <w:pPr>
              <w:spacing w:before="200" w:after="200" w:line="276" w:lineRule="auto"/>
              <w:rPr>
                <w:sz w:val="22"/>
                <w:szCs w:val="22"/>
              </w:rPr>
            </w:pPr>
            <w:r>
              <w:rPr>
                <w:sz w:val="22"/>
                <w:szCs w:val="22"/>
              </w:rPr>
              <w:t>Vaccination Service</w:t>
            </w:r>
          </w:p>
        </w:tc>
        <w:tc>
          <w:tcPr>
            <w:tcW w:w="2037" w:type="dxa"/>
          </w:tcPr>
          <w:p w14:paraId="5B523534"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Currently Providing</w:t>
            </w:r>
          </w:p>
        </w:tc>
        <w:tc>
          <w:tcPr>
            <w:tcW w:w="2038" w:type="dxa"/>
          </w:tcPr>
          <w:p w14:paraId="7BCFFDDA" w14:textId="77777777" w:rsidR="004924E5" w:rsidRPr="00597A2A" w:rsidRDefault="004924E5" w:rsidP="007E46C2">
            <w:pPr>
              <w:spacing w:before="200" w:after="200"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97A2A">
              <w:rPr>
                <w:sz w:val="22"/>
                <w:szCs w:val="22"/>
              </w:rPr>
              <w:t>Would provide if commissioned</w:t>
            </w:r>
          </w:p>
        </w:tc>
      </w:tr>
      <w:tr w:rsidR="004924E5" w:rsidRPr="0075451B" w14:paraId="4889890A" w14:textId="77777777" w:rsidTr="00430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37" w:type="dxa"/>
            <w:noWrap/>
            <w:hideMark/>
          </w:tcPr>
          <w:p w14:paraId="4AC12C7E" w14:textId="77777777" w:rsidR="004924E5" w:rsidRPr="0075451B" w:rsidRDefault="004924E5" w:rsidP="007E46C2">
            <w:pPr>
              <w:spacing w:before="0" w:after="0" w:line="240" w:lineRule="auto"/>
              <w:rPr>
                <w:rFonts w:eastAsia="Times New Roman" w:cs="Arial"/>
                <w:color w:val="000000"/>
                <w:sz w:val="20"/>
              </w:rPr>
            </w:pPr>
            <w:r w:rsidRPr="0075451B">
              <w:rPr>
                <w:rFonts w:eastAsia="Times New Roman" w:cs="Arial"/>
                <w:color w:val="000000"/>
                <w:sz w:val="20"/>
              </w:rPr>
              <w:t>Collection of prescription from GP practices</w:t>
            </w:r>
          </w:p>
        </w:tc>
        <w:tc>
          <w:tcPr>
            <w:tcW w:w="2037" w:type="dxa"/>
            <w:noWrap/>
            <w:hideMark/>
          </w:tcPr>
          <w:p w14:paraId="6FD4B19E"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137</w:t>
            </w:r>
          </w:p>
        </w:tc>
        <w:tc>
          <w:tcPr>
            <w:tcW w:w="2038" w:type="dxa"/>
            <w:noWrap/>
            <w:hideMark/>
          </w:tcPr>
          <w:p w14:paraId="4DAEDE0D"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21</w:t>
            </w:r>
          </w:p>
        </w:tc>
      </w:tr>
      <w:tr w:rsidR="004924E5" w:rsidRPr="0075451B" w14:paraId="041F28F7" w14:textId="77777777" w:rsidTr="00430783">
        <w:trPr>
          <w:trHeight w:val="255"/>
          <w:jc w:val="center"/>
        </w:trPr>
        <w:tc>
          <w:tcPr>
            <w:cnfStyle w:val="001000000000" w:firstRow="0" w:lastRow="0" w:firstColumn="1" w:lastColumn="0" w:oddVBand="0" w:evenVBand="0" w:oddHBand="0" w:evenHBand="0" w:firstRowFirstColumn="0" w:firstRowLastColumn="0" w:lastRowFirstColumn="0" w:lastRowLastColumn="0"/>
            <w:tcW w:w="2037" w:type="dxa"/>
            <w:noWrap/>
            <w:hideMark/>
          </w:tcPr>
          <w:p w14:paraId="5F5B292F" w14:textId="77777777" w:rsidR="004924E5" w:rsidRPr="0075451B" w:rsidRDefault="004924E5" w:rsidP="007E46C2">
            <w:pPr>
              <w:spacing w:before="0" w:after="0" w:line="240" w:lineRule="auto"/>
              <w:rPr>
                <w:rFonts w:eastAsia="Times New Roman" w:cs="Arial"/>
                <w:color w:val="000000"/>
                <w:sz w:val="20"/>
              </w:rPr>
            </w:pPr>
            <w:r w:rsidRPr="0075451B">
              <w:rPr>
                <w:rFonts w:eastAsia="Times New Roman" w:cs="Arial"/>
                <w:color w:val="000000"/>
                <w:sz w:val="20"/>
              </w:rPr>
              <w:t>Monitoring Dosage Systems - free of charge on request</w:t>
            </w:r>
          </w:p>
        </w:tc>
        <w:tc>
          <w:tcPr>
            <w:tcW w:w="2037" w:type="dxa"/>
            <w:noWrap/>
            <w:hideMark/>
          </w:tcPr>
          <w:p w14:paraId="4747E723" w14:textId="77777777" w:rsidR="004924E5" w:rsidRPr="0075451B"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131</w:t>
            </w:r>
          </w:p>
        </w:tc>
        <w:tc>
          <w:tcPr>
            <w:tcW w:w="2038" w:type="dxa"/>
            <w:noWrap/>
            <w:hideMark/>
          </w:tcPr>
          <w:p w14:paraId="2C7AF53E" w14:textId="77777777" w:rsidR="004924E5" w:rsidRPr="0075451B"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26</w:t>
            </w:r>
          </w:p>
        </w:tc>
      </w:tr>
      <w:tr w:rsidR="004924E5" w:rsidRPr="0075451B" w14:paraId="56129C56" w14:textId="77777777" w:rsidTr="00430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A732C40" w14:textId="77777777" w:rsidR="004924E5" w:rsidRPr="0075451B" w:rsidRDefault="004924E5" w:rsidP="007E46C2">
            <w:pPr>
              <w:spacing w:before="0" w:after="0" w:line="240" w:lineRule="auto"/>
              <w:rPr>
                <w:rFonts w:eastAsia="Times New Roman" w:cs="Arial"/>
                <w:color w:val="000000"/>
                <w:sz w:val="20"/>
              </w:rPr>
            </w:pPr>
            <w:r w:rsidRPr="0075451B">
              <w:rPr>
                <w:rFonts w:eastAsia="Times New Roman" w:cs="Arial"/>
                <w:color w:val="000000"/>
                <w:sz w:val="20"/>
              </w:rPr>
              <w:t>Delivery of dispensed medicines - free of charge on request</w:t>
            </w:r>
          </w:p>
        </w:tc>
        <w:tc>
          <w:tcPr>
            <w:tcW w:w="2037" w:type="dxa"/>
            <w:noWrap/>
            <w:hideMark/>
          </w:tcPr>
          <w:p w14:paraId="6F7566A5"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105</w:t>
            </w:r>
          </w:p>
        </w:tc>
        <w:tc>
          <w:tcPr>
            <w:tcW w:w="2038" w:type="dxa"/>
            <w:noWrap/>
            <w:hideMark/>
          </w:tcPr>
          <w:p w14:paraId="05EFA827"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52</w:t>
            </w:r>
          </w:p>
        </w:tc>
      </w:tr>
      <w:tr w:rsidR="004924E5" w:rsidRPr="0075451B" w14:paraId="1EE7D236" w14:textId="77777777" w:rsidTr="00430783">
        <w:trPr>
          <w:trHeight w:val="255"/>
          <w:jc w:val="center"/>
        </w:trPr>
        <w:tc>
          <w:tcPr>
            <w:cnfStyle w:val="001000000000" w:firstRow="0" w:lastRow="0" w:firstColumn="1" w:lastColumn="0" w:oddVBand="0" w:evenVBand="0" w:oddHBand="0" w:evenHBand="0" w:firstRowFirstColumn="0" w:firstRowLastColumn="0" w:lastRowFirstColumn="0" w:lastRowLastColumn="0"/>
            <w:tcW w:w="2037" w:type="dxa"/>
            <w:noWrap/>
            <w:hideMark/>
          </w:tcPr>
          <w:p w14:paraId="2304639D" w14:textId="77777777" w:rsidR="004924E5" w:rsidRPr="0075451B" w:rsidRDefault="004924E5" w:rsidP="007E46C2">
            <w:pPr>
              <w:spacing w:before="0" w:after="0" w:line="240" w:lineRule="auto"/>
              <w:rPr>
                <w:rFonts w:eastAsia="Times New Roman" w:cs="Arial"/>
                <w:color w:val="000000"/>
                <w:sz w:val="20"/>
              </w:rPr>
            </w:pPr>
            <w:r w:rsidRPr="0075451B">
              <w:rPr>
                <w:rFonts w:eastAsia="Times New Roman" w:cs="Arial"/>
                <w:color w:val="000000"/>
                <w:sz w:val="20"/>
              </w:rPr>
              <w:t>Delivery of dispensed medicines - with charge</w:t>
            </w:r>
          </w:p>
        </w:tc>
        <w:tc>
          <w:tcPr>
            <w:tcW w:w="2037" w:type="dxa"/>
            <w:noWrap/>
            <w:hideMark/>
          </w:tcPr>
          <w:p w14:paraId="7A6E45BD" w14:textId="77777777" w:rsidR="004924E5" w:rsidRPr="0075451B"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65</w:t>
            </w:r>
          </w:p>
        </w:tc>
        <w:tc>
          <w:tcPr>
            <w:tcW w:w="2038" w:type="dxa"/>
            <w:noWrap/>
            <w:hideMark/>
          </w:tcPr>
          <w:p w14:paraId="73765D57" w14:textId="77777777" w:rsidR="004924E5" w:rsidRPr="0075451B" w:rsidRDefault="004924E5" w:rsidP="007E46C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78</w:t>
            </w:r>
          </w:p>
        </w:tc>
      </w:tr>
      <w:tr w:rsidR="004924E5" w:rsidRPr="0075451B" w14:paraId="190E47F3" w14:textId="77777777" w:rsidTr="004307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37" w:type="dxa"/>
            <w:noWrap/>
            <w:hideMark/>
          </w:tcPr>
          <w:p w14:paraId="3E7821FB" w14:textId="77777777" w:rsidR="004924E5" w:rsidRPr="0075451B" w:rsidRDefault="004924E5" w:rsidP="007E46C2">
            <w:pPr>
              <w:spacing w:before="0" w:after="0" w:line="240" w:lineRule="auto"/>
              <w:rPr>
                <w:rFonts w:eastAsia="Times New Roman" w:cs="Arial"/>
                <w:color w:val="000000"/>
                <w:sz w:val="20"/>
              </w:rPr>
            </w:pPr>
            <w:r w:rsidRPr="0075451B">
              <w:rPr>
                <w:rFonts w:eastAsia="Times New Roman" w:cs="Arial"/>
                <w:color w:val="000000"/>
                <w:sz w:val="20"/>
              </w:rPr>
              <w:t>Monitoring Dosage Systems - with charge</w:t>
            </w:r>
          </w:p>
        </w:tc>
        <w:tc>
          <w:tcPr>
            <w:tcW w:w="2037" w:type="dxa"/>
            <w:noWrap/>
            <w:hideMark/>
          </w:tcPr>
          <w:p w14:paraId="21BC7526"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15</w:t>
            </w:r>
          </w:p>
        </w:tc>
        <w:tc>
          <w:tcPr>
            <w:tcW w:w="2038" w:type="dxa"/>
            <w:noWrap/>
            <w:hideMark/>
          </w:tcPr>
          <w:p w14:paraId="55E6F9E9" w14:textId="77777777" w:rsidR="004924E5" w:rsidRPr="0075451B" w:rsidRDefault="004924E5" w:rsidP="007E46C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rPr>
            </w:pPr>
            <w:r w:rsidRPr="0075451B">
              <w:rPr>
                <w:rFonts w:eastAsia="Times New Roman" w:cs="Arial"/>
                <w:color w:val="000000"/>
                <w:sz w:val="20"/>
              </w:rPr>
              <w:t>125</w:t>
            </w:r>
          </w:p>
        </w:tc>
      </w:tr>
    </w:tbl>
    <w:p w14:paraId="4F3BE482" w14:textId="25D00674" w:rsidR="00430783" w:rsidRDefault="00430783" w:rsidP="00430783">
      <w:pPr>
        <w:pStyle w:val="Caption"/>
        <w:rPr>
          <w:rFonts w:eastAsia="MS Mincho" w:cs="Arial"/>
          <w:szCs w:val="24"/>
        </w:rPr>
      </w:pPr>
      <w:r>
        <w:lastRenderedPageBreak/>
        <w:t xml:space="preserve">Table </w:t>
      </w:r>
      <w:r>
        <w:fldChar w:fldCharType="begin"/>
      </w:r>
      <w:r>
        <w:instrText>SEQ Table \* ARABIC</w:instrText>
      </w:r>
      <w:r>
        <w:fldChar w:fldCharType="separate"/>
      </w:r>
      <w:r w:rsidR="00AC4C6D">
        <w:rPr>
          <w:noProof/>
        </w:rPr>
        <w:t>22</w:t>
      </w:r>
      <w:r>
        <w:fldChar w:fldCharType="end"/>
      </w:r>
      <w:r>
        <w:rPr>
          <w:rFonts w:eastAsia="MS Mincho" w:cs="Arial"/>
          <w:szCs w:val="24"/>
        </w:rPr>
        <w:t>: Pharmacies providing Non-commissioned services</w:t>
      </w:r>
    </w:p>
    <w:p w14:paraId="53EAE2C2" w14:textId="5CB60DCA" w:rsidR="004924E5" w:rsidRDefault="004924E5" w:rsidP="004924E5">
      <w:pPr>
        <w:spacing w:before="200" w:after="200" w:line="276" w:lineRule="auto"/>
        <w:rPr>
          <w:rFonts w:eastAsia="MS Mincho" w:cs="Arial"/>
          <w:szCs w:val="24"/>
        </w:rPr>
      </w:pPr>
      <w:r>
        <w:rPr>
          <w:rFonts w:eastAsia="MS Mincho" w:cs="Arial"/>
          <w:szCs w:val="24"/>
        </w:rPr>
        <w:t>When asked if there is a particular need for a locally commissioned service in your area, the two most common responses are minor ailments service or community Pharmacy Consultation service (17) and also a Phlebotomy service (11).</w:t>
      </w:r>
    </w:p>
    <w:p w14:paraId="750A1021" w14:textId="77777777" w:rsidR="004924E5" w:rsidRDefault="004924E5" w:rsidP="004924E5">
      <w:pPr>
        <w:spacing w:before="200" w:after="200" w:line="276" w:lineRule="auto"/>
        <w:rPr>
          <w:rFonts w:eastAsia="MS Mincho" w:cs="Arial"/>
          <w:szCs w:val="24"/>
        </w:rPr>
      </w:pPr>
    </w:p>
    <w:p w14:paraId="1E19B229" w14:textId="3EFAA503" w:rsidR="004924E5" w:rsidRDefault="004924E5" w:rsidP="004924E5">
      <w:pPr>
        <w:pStyle w:val="Heading2"/>
      </w:pPr>
      <w:bookmarkStart w:id="63" w:name="_Toc113628620"/>
      <w:r>
        <w:t>Appendix 2 - Public Survey</w:t>
      </w:r>
      <w:bookmarkEnd w:id="63"/>
    </w:p>
    <w:p w14:paraId="5AD47F39" w14:textId="77777777" w:rsidR="004924E5" w:rsidRPr="00BC4121" w:rsidRDefault="004924E5" w:rsidP="004924E5">
      <w:pPr>
        <w:rPr>
          <w:color w:val="477CBF"/>
        </w:rPr>
      </w:pPr>
      <w:r w:rsidRPr="00BC4121">
        <w:rPr>
          <w:color w:val="477CBF"/>
        </w:rPr>
        <w:t>Background</w:t>
      </w:r>
    </w:p>
    <w:p w14:paraId="25218D9E" w14:textId="77777777" w:rsidR="004924E5" w:rsidRDefault="004924E5" w:rsidP="004924E5">
      <w:r>
        <w:t>A Pharmacy Services User Survey was conducted across Coventry and Warwickshire in March 2022. The survey was conducted on-line with access to the survey promoted via posters in all community pharmacists. Users were asked to scan a QR Code which took the respondent to the survey hosted on Coventry City Council’s Let’s Talk platform.</w:t>
      </w:r>
    </w:p>
    <w:p w14:paraId="1342AD0F" w14:textId="77777777" w:rsidR="004924E5" w:rsidRDefault="004924E5" w:rsidP="004924E5">
      <w:r>
        <w:t xml:space="preserve">1,601 responses were available for analysis. The response for each of the council areas is seen below: </w:t>
      </w:r>
    </w:p>
    <w:tbl>
      <w:tblPr>
        <w:tblW w:w="6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116"/>
        <w:gridCol w:w="1017"/>
        <w:gridCol w:w="1067"/>
      </w:tblGrid>
      <w:tr w:rsidR="004924E5" w:rsidRPr="00E458BB" w14:paraId="1543A1C3" w14:textId="77777777" w:rsidTr="007E46C2">
        <w:trPr>
          <w:trHeight w:val="300"/>
          <w:jc w:val="center"/>
        </w:trPr>
        <w:tc>
          <w:tcPr>
            <w:tcW w:w="6200" w:type="dxa"/>
            <w:gridSpan w:val="3"/>
            <w:shd w:val="clear" w:color="auto" w:fill="C7D3EA"/>
            <w:vAlign w:val="center"/>
            <w:hideMark/>
          </w:tcPr>
          <w:p w14:paraId="7FF5D6F0" w14:textId="77777777" w:rsidR="004924E5" w:rsidRPr="00E458BB" w:rsidRDefault="004924E5" w:rsidP="007E46C2">
            <w:pPr>
              <w:spacing w:after="0" w:line="240" w:lineRule="auto"/>
              <w:jc w:val="center"/>
              <w:rPr>
                <w:rFonts w:eastAsia="Times New Roman" w:cs="Arial"/>
                <w:color w:val="000000"/>
              </w:rPr>
            </w:pPr>
            <w:r w:rsidRPr="00E458BB">
              <w:rPr>
                <w:rFonts w:eastAsia="Times New Roman" w:cs="Arial"/>
                <w:color w:val="000000"/>
              </w:rPr>
              <w:t>Which area do you live in?</w:t>
            </w:r>
          </w:p>
        </w:tc>
      </w:tr>
      <w:tr w:rsidR="004924E5" w:rsidRPr="00E458BB" w14:paraId="33C686F1" w14:textId="77777777" w:rsidTr="007E46C2">
        <w:trPr>
          <w:trHeight w:val="489"/>
          <w:jc w:val="center"/>
        </w:trPr>
        <w:tc>
          <w:tcPr>
            <w:tcW w:w="4160" w:type="dxa"/>
            <w:shd w:val="clear" w:color="auto" w:fill="C7D3EA"/>
            <w:vAlign w:val="bottom"/>
            <w:hideMark/>
          </w:tcPr>
          <w:p w14:paraId="5EA170F5"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 </w:t>
            </w:r>
          </w:p>
        </w:tc>
        <w:tc>
          <w:tcPr>
            <w:tcW w:w="1020" w:type="dxa"/>
            <w:shd w:val="clear" w:color="auto" w:fill="C7D3EA"/>
            <w:vAlign w:val="bottom"/>
            <w:hideMark/>
          </w:tcPr>
          <w:p w14:paraId="72774CE7" w14:textId="77777777" w:rsidR="004924E5" w:rsidRPr="00E458BB" w:rsidRDefault="004924E5" w:rsidP="007E46C2">
            <w:pPr>
              <w:spacing w:after="0" w:line="240" w:lineRule="auto"/>
              <w:jc w:val="center"/>
              <w:rPr>
                <w:rFonts w:eastAsia="Times New Roman" w:cs="Arial"/>
                <w:color w:val="000000"/>
                <w:sz w:val="18"/>
                <w:szCs w:val="18"/>
              </w:rPr>
            </w:pPr>
            <w:r w:rsidRPr="00E458BB">
              <w:rPr>
                <w:rFonts w:eastAsia="Times New Roman" w:cs="Arial"/>
                <w:color w:val="000000"/>
                <w:sz w:val="18"/>
                <w:szCs w:val="18"/>
              </w:rPr>
              <w:t>Sample Percent</w:t>
            </w:r>
          </w:p>
        </w:tc>
        <w:tc>
          <w:tcPr>
            <w:tcW w:w="1020" w:type="dxa"/>
            <w:shd w:val="clear" w:color="auto" w:fill="C7D3EA"/>
            <w:vAlign w:val="bottom"/>
            <w:hideMark/>
          </w:tcPr>
          <w:p w14:paraId="65CE3B51" w14:textId="77777777" w:rsidR="004924E5" w:rsidRPr="00E458BB" w:rsidRDefault="004924E5" w:rsidP="007E46C2">
            <w:pPr>
              <w:spacing w:after="0" w:line="240" w:lineRule="auto"/>
              <w:jc w:val="center"/>
              <w:rPr>
                <w:rFonts w:eastAsia="Times New Roman" w:cs="Arial"/>
                <w:color w:val="000000"/>
                <w:sz w:val="18"/>
                <w:szCs w:val="18"/>
              </w:rPr>
            </w:pPr>
            <w:r w:rsidRPr="00E458BB">
              <w:rPr>
                <w:rFonts w:eastAsia="Times New Roman" w:cs="Arial"/>
                <w:color w:val="000000"/>
                <w:sz w:val="18"/>
                <w:szCs w:val="18"/>
              </w:rPr>
              <w:t>Population Percent</w:t>
            </w:r>
          </w:p>
        </w:tc>
      </w:tr>
      <w:tr w:rsidR="004924E5" w:rsidRPr="00E458BB" w14:paraId="7D0D8D93" w14:textId="77777777" w:rsidTr="007E46C2">
        <w:trPr>
          <w:trHeight w:val="318"/>
          <w:jc w:val="center"/>
        </w:trPr>
        <w:tc>
          <w:tcPr>
            <w:tcW w:w="4160" w:type="dxa"/>
            <w:shd w:val="clear" w:color="auto" w:fill="C7D3EA"/>
            <w:hideMark/>
          </w:tcPr>
          <w:p w14:paraId="62339055"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Coventry</w:t>
            </w:r>
          </w:p>
        </w:tc>
        <w:tc>
          <w:tcPr>
            <w:tcW w:w="1020" w:type="dxa"/>
            <w:shd w:val="clear" w:color="auto" w:fill="C7D3EA"/>
            <w:hideMark/>
          </w:tcPr>
          <w:p w14:paraId="6F350357"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27%</w:t>
            </w:r>
          </w:p>
        </w:tc>
        <w:tc>
          <w:tcPr>
            <w:tcW w:w="1020" w:type="dxa"/>
            <w:shd w:val="clear" w:color="auto" w:fill="C7D3EA"/>
            <w:vAlign w:val="bottom"/>
            <w:hideMark/>
          </w:tcPr>
          <w:p w14:paraId="5FCE011D"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39%</w:t>
            </w:r>
          </w:p>
        </w:tc>
      </w:tr>
      <w:tr w:rsidR="004924E5" w:rsidRPr="00E458BB" w14:paraId="068E9F01" w14:textId="77777777" w:rsidTr="007E46C2">
        <w:trPr>
          <w:trHeight w:val="318"/>
          <w:jc w:val="center"/>
        </w:trPr>
        <w:tc>
          <w:tcPr>
            <w:tcW w:w="4160" w:type="dxa"/>
            <w:shd w:val="clear" w:color="auto" w:fill="C7D3EA"/>
            <w:hideMark/>
          </w:tcPr>
          <w:p w14:paraId="0BFD2AA7"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Warwick District</w:t>
            </w:r>
          </w:p>
        </w:tc>
        <w:tc>
          <w:tcPr>
            <w:tcW w:w="1020" w:type="dxa"/>
            <w:shd w:val="clear" w:color="auto" w:fill="C7D3EA"/>
            <w:hideMark/>
          </w:tcPr>
          <w:p w14:paraId="0A5A1207"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22%</w:t>
            </w:r>
          </w:p>
        </w:tc>
        <w:tc>
          <w:tcPr>
            <w:tcW w:w="1020" w:type="dxa"/>
            <w:shd w:val="clear" w:color="auto" w:fill="C7D3EA"/>
            <w:vAlign w:val="bottom"/>
            <w:hideMark/>
          </w:tcPr>
          <w:p w14:paraId="3C72435A"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15%</w:t>
            </w:r>
          </w:p>
        </w:tc>
      </w:tr>
      <w:tr w:rsidR="004924E5" w:rsidRPr="00E458BB" w14:paraId="2A5EE4F6" w14:textId="77777777" w:rsidTr="007E46C2">
        <w:trPr>
          <w:trHeight w:val="318"/>
          <w:jc w:val="center"/>
        </w:trPr>
        <w:tc>
          <w:tcPr>
            <w:tcW w:w="4160" w:type="dxa"/>
            <w:shd w:val="clear" w:color="auto" w:fill="C7D3EA"/>
            <w:hideMark/>
          </w:tcPr>
          <w:p w14:paraId="28768B88"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Stratford on Avon District</w:t>
            </w:r>
          </w:p>
        </w:tc>
        <w:tc>
          <w:tcPr>
            <w:tcW w:w="1020" w:type="dxa"/>
            <w:shd w:val="clear" w:color="auto" w:fill="C7D3EA"/>
            <w:hideMark/>
          </w:tcPr>
          <w:p w14:paraId="66D3B3A6"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19%</w:t>
            </w:r>
          </w:p>
        </w:tc>
        <w:tc>
          <w:tcPr>
            <w:tcW w:w="1020" w:type="dxa"/>
            <w:shd w:val="clear" w:color="auto" w:fill="C7D3EA"/>
            <w:vAlign w:val="bottom"/>
            <w:hideMark/>
          </w:tcPr>
          <w:p w14:paraId="629FDFF0"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14%</w:t>
            </w:r>
          </w:p>
        </w:tc>
      </w:tr>
      <w:tr w:rsidR="004924E5" w:rsidRPr="00E458BB" w14:paraId="656C5ACE" w14:textId="77777777" w:rsidTr="007E46C2">
        <w:trPr>
          <w:trHeight w:val="318"/>
          <w:jc w:val="center"/>
        </w:trPr>
        <w:tc>
          <w:tcPr>
            <w:tcW w:w="4160" w:type="dxa"/>
            <w:shd w:val="clear" w:color="auto" w:fill="C7D3EA"/>
            <w:hideMark/>
          </w:tcPr>
          <w:p w14:paraId="158284FD"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Rugby Borough</w:t>
            </w:r>
          </w:p>
        </w:tc>
        <w:tc>
          <w:tcPr>
            <w:tcW w:w="1020" w:type="dxa"/>
            <w:shd w:val="clear" w:color="auto" w:fill="C7D3EA"/>
            <w:hideMark/>
          </w:tcPr>
          <w:p w14:paraId="4B34ACA9"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13%</w:t>
            </w:r>
          </w:p>
        </w:tc>
        <w:tc>
          <w:tcPr>
            <w:tcW w:w="1020" w:type="dxa"/>
            <w:shd w:val="clear" w:color="auto" w:fill="C7D3EA"/>
            <w:vAlign w:val="bottom"/>
            <w:hideMark/>
          </w:tcPr>
          <w:p w14:paraId="3ED0A590"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12%</w:t>
            </w:r>
          </w:p>
        </w:tc>
      </w:tr>
      <w:tr w:rsidR="004924E5" w:rsidRPr="00E458BB" w14:paraId="2805E323" w14:textId="77777777" w:rsidTr="007E46C2">
        <w:trPr>
          <w:trHeight w:val="318"/>
          <w:jc w:val="center"/>
        </w:trPr>
        <w:tc>
          <w:tcPr>
            <w:tcW w:w="4160" w:type="dxa"/>
            <w:shd w:val="clear" w:color="auto" w:fill="C7D3EA"/>
            <w:hideMark/>
          </w:tcPr>
          <w:p w14:paraId="08E47458"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Nuneaton and Bedworth Borough</w:t>
            </w:r>
          </w:p>
        </w:tc>
        <w:tc>
          <w:tcPr>
            <w:tcW w:w="1020" w:type="dxa"/>
            <w:shd w:val="clear" w:color="auto" w:fill="C7D3EA"/>
            <w:hideMark/>
          </w:tcPr>
          <w:p w14:paraId="3F500FD6"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11%</w:t>
            </w:r>
          </w:p>
        </w:tc>
        <w:tc>
          <w:tcPr>
            <w:tcW w:w="1020" w:type="dxa"/>
            <w:shd w:val="clear" w:color="auto" w:fill="C7D3EA"/>
            <w:vAlign w:val="bottom"/>
            <w:hideMark/>
          </w:tcPr>
          <w:p w14:paraId="7D7C6399"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14%</w:t>
            </w:r>
          </w:p>
        </w:tc>
      </w:tr>
      <w:tr w:rsidR="004924E5" w:rsidRPr="00E458BB" w14:paraId="734AC3E1" w14:textId="77777777" w:rsidTr="007E46C2">
        <w:trPr>
          <w:trHeight w:val="318"/>
          <w:jc w:val="center"/>
        </w:trPr>
        <w:tc>
          <w:tcPr>
            <w:tcW w:w="4160" w:type="dxa"/>
            <w:shd w:val="clear" w:color="auto" w:fill="C7D3EA"/>
            <w:hideMark/>
          </w:tcPr>
          <w:p w14:paraId="04E7879E"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North Warwickshire Borough</w:t>
            </w:r>
          </w:p>
        </w:tc>
        <w:tc>
          <w:tcPr>
            <w:tcW w:w="1020" w:type="dxa"/>
            <w:shd w:val="clear" w:color="auto" w:fill="C7D3EA"/>
            <w:hideMark/>
          </w:tcPr>
          <w:p w14:paraId="414A59F7"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7%</w:t>
            </w:r>
          </w:p>
        </w:tc>
        <w:tc>
          <w:tcPr>
            <w:tcW w:w="1020" w:type="dxa"/>
            <w:shd w:val="clear" w:color="auto" w:fill="C7D3EA"/>
            <w:vAlign w:val="bottom"/>
            <w:hideMark/>
          </w:tcPr>
          <w:p w14:paraId="5C6A40F4"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7%</w:t>
            </w:r>
          </w:p>
        </w:tc>
      </w:tr>
      <w:tr w:rsidR="004924E5" w:rsidRPr="00E458BB" w14:paraId="15049619" w14:textId="77777777" w:rsidTr="007E46C2">
        <w:trPr>
          <w:trHeight w:val="318"/>
          <w:jc w:val="center"/>
        </w:trPr>
        <w:tc>
          <w:tcPr>
            <w:tcW w:w="4160" w:type="dxa"/>
            <w:shd w:val="clear" w:color="auto" w:fill="C7D3EA"/>
            <w:hideMark/>
          </w:tcPr>
          <w:p w14:paraId="16497684"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Other</w:t>
            </w:r>
          </w:p>
        </w:tc>
        <w:tc>
          <w:tcPr>
            <w:tcW w:w="1020" w:type="dxa"/>
            <w:shd w:val="clear" w:color="auto" w:fill="C7D3EA"/>
            <w:hideMark/>
          </w:tcPr>
          <w:p w14:paraId="1B546F76" w14:textId="77777777" w:rsidR="004924E5" w:rsidRPr="00E458BB" w:rsidRDefault="004924E5" w:rsidP="007E46C2">
            <w:pPr>
              <w:spacing w:after="0" w:line="240" w:lineRule="auto"/>
              <w:jc w:val="right"/>
              <w:rPr>
                <w:rFonts w:eastAsia="Times New Roman" w:cs="Arial"/>
                <w:color w:val="000000"/>
                <w:sz w:val="18"/>
                <w:szCs w:val="18"/>
              </w:rPr>
            </w:pPr>
            <w:r w:rsidRPr="00E458BB">
              <w:rPr>
                <w:rFonts w:eastAsia="Times New Roman" w:cs="Arial"/>
                <w:color w:val="000000"/>
                <w:sz w:val="18"/>
                <w:szCs w:val="18"/>
              </w:rPr>
              <w:t>1%</w:t>
            </w:r>
          </w:p>
        </w:tc>
        <w:tc>
          <w:tcPr>
            <w:tcW w:w="1020" w:type="dxa"/>
            <w:shd w:val="clear" w:color="auto" w:fill="C7D3EA"/>
            <w:vAlign w:val="bottom"/>
            <w:hideMark/>
          </w:tcPr>
          <w:p w14:paraId="1144BC9D" w14:textId="77777777" w:rsidR="004924E5" w:rsidRPr="00E458BB" w:rsidRDefault="004924E5" w:rsidP="007E46C2">
            <w:pPr>
              <w:spacing w:after="0" w:line="240" w:lineRule="auto"/>
              <w:rPr>
                <w:rFonts w:eastAsia="Times New Roman" w:cs="Arial"/>
                <w:color w:val="000000"/>
                <w:sz w:val="18"/>
                <w:szCs w:val="18"/>
              </w:rPr>
            </w:pPr>
            <w:r w:rsidRPr="00E458BB">
              <w:rPr>
                <w:rFonts w:eastAsia="Times New Roman" w:cs="Arial"/>
                <w:color w:val="000000"/>
                <w:sz w:val="18"/>
                <w:szCs w:val="18"/>
              </w:rPr>
              <w:t> </w:t>
            </w:r>
          </w:p>
        </w:tc>
      </w:tr>
    </w:tbl>
    <w:p w14:paraId="6BFF065C" w14:textId="01769EED" w:rsidR="004924E5" w:rsidRDefault="003E1012" w:rsidP="003E1012">
      <w:pPr>
        <w:pStyle w:val="Caption"/>
      </w:pPr>
      <w:r>
        <w:t xml:space="preserve">Table </w:t>
      </w:r>
      <w:r>
        <w:fldChar w:fldCharType="begin"/>
      </w:r>
      <w:r>
        <w:instrText>SEQ Table \* ARABIC</w:instrText>
      </w:r>
      <w:r>
        <w:fldChar w:fldCharType="separate"/>
      </w:r>
      <w:r w:rsidR="00AC4C6D">
        <w:rPr>
          <w:noProof/>
        </w:rPr>
        <w:t>23</w:t>
      </w:r>
      <w:r>
        <w:fldChar w:fldCharType="end"/>
      </w:r>
      <w:r>
        <w:t>: Responses to the public survey by area</w:t>
      </w:r>
    </w:p>
    <w:p w14:paraId="31A3E9FD" w14:textId="77777777" w:rsidR="004924E5" w:rsidRDefault="004924E5" w:rsidP="004924E5">
      <w:r>
        <w:t xml:space="preserve">The sample under-represents Coventry and Nuneaton and Bedworth and over-represents Warwick and Stratford Districts. </w:t>
      </w:r>
    </w:p>
    <w:p w14:paraId="78545E68" w14:textId="77777777" w:rsidR="004924E5" w:rsidRDefault="004924E5" w:rsidP="004924E5">
      <w:r>
        <w:t xml:space="preserve">Compared to the population the sample was also non-representative by </w:t>
      </w:r>
    </w:p>
    <w:p w14:paraId="57B6B145" w14:textId="77777777" w:rsidR="004924E5" w:rsidRDefault="004924E5" w:rsidP="008D3B10">
      <w:pPr>
        <w:pStyle w:val="ListParagraph"/>
        <w:numPr>
          <w:ilvl w:val="0"/>
          <w:numId w:val="14"/>
        </w:numPr>
        <w:spacing w:before="0" w:after="160" w:line="259" w:lineRule="auto"/>
      </w:pPr>
      <w:r>
        <w:t>25–54-year-olds were under-represented</w:t>
      </w:r>
    </w:p>
    <w:p w14:paraId="16BB76B7" w14:textId="77777777" w:rsidR="004924E5" w:rsidRDefault="004924E5" w:rsidP="008D3B10">
      <w:pPr>
        <w:pStyle w:val="ListParagraph"/>
        <w:numPr>
          <w:ilvl w:val="0"/>
          <w:numId w:val="14"/>
        </w:numPr>
        <w:spacing w:before="0" w:after="160" w:line="259" w:lineRule="auto"/>
      </w:pPr>
      <w:r>
        <w:t>Older age groups were over-represented</w:t>
      </w:r>
    </w:p>
    <w:p w14:paraId="30C60B5F" w14:textId="77777777" w:rsidR="004924E5" w:rsidRDefault="004924E5" w:rsidP="008D3B10">
      <w:pPr>
        <w:pStyle w:val="ListParagraph"/>
        <w:numPr>
          <w:ilvl w:val="0"/>
          <w:numId w:val="14"/>
        </w:numPr>
        <w:spacing w:before="0" w:after="160" w:line="259" w:lineRule="auto"/>
      </w:pPr>
      <w:r>
        <w:t>Only 25% of the respondents were male</w:t>
      </w:r>
    </w:p>
    <w:p w14:paraId="38AEFA87" w14:textId="77777777" w:rsidR="004924E5" w:rsidRDefault="004924E5" w:rsidP="008D3B10">
      <w:pPr>
        <w:pStyle w:val="ListParagraph"/>
        <w:numPr>
          <w:ilvl w:val="0"/>
          <w:numId w:val="14"/>
        </w:numPr>
        <w:spacing w:before="0" w:after="160" w:line="259" w:lineRule="auto"/>
      </w:pPr>
      <w:r>
        <w:t>BAME groups were under-represented with 91% in the whole sample being of White British origin.</w:t>
      </w:r>
    </w:p>
    <w:p w14:paraId="2BCDDDAB" w14:textId="77777777" w:rsidR="004924E5" w:rsidRDefault="004924E5" w:rsidP="004924E5">
      <w:pPr>
        <w:rPr>
          <w:color w:val="477CBF"/>
        </w:rPr>
      </w:pPr>
    </w:p>
    <w:p w14:paraId="13BDADAF" w14:textId="77777777" w:rsidR="004924E5" w:rsidRPr="00C11D9B" w:rsidRDefault="004924E5" w:rsidP="004924E5">
      <w:pPr>
        <w:rPr>
          <w:color w:val="477CBF"/>
        </w:rPr>
      </w:pPr>
      <w:r w:rsidRPr="00C11D9B">
        <w:rPr>
          <w:color w:val="477CBF"/>
        </w:rPr>
        <w:lastRenderedPageBreak/>
        <w:t>Survey Contents</w:t>
      </w:r>
    </w:p>
    <w:p w14:paraId="6EBCCDC4" w14:textId="77777777" w:rsidR="004924E5" w:rsidRDefault="004924E5" w:rsidP="004924E5">
      <w:r>
        <w:t xml:space="preserve">The survey asked a range of questions about respondents use of pharmacy services both in-store and online. For those who mostly visited a pharmacy store – access issues were discussed and for on-line users the benefits for them of this approach was examined. </w:t>
      </w:r>
    </w:p>
    <w:p w14:paraId="5C2EC513" w14:textId="77777777" w:rsidR="004924E5" w:rsidRDefault="004924E5" w:rsidP="004924E5">
      <w:r>
        <w:t xml:space="preserve">Additionally, socio-demographic information about the respondent was recorded. This allows for an analysis of responses to questions about service use across age, employment status, ethnicity, disability status etc. </w:t>
      </w:r>
    </w:p>
    <w:p w14:paraId="094B40E6" w14:textId="77777777" w:rsidR="004924E5" w:rsidRDefault="004924E5" w:rsidP="004924E5">
      <w:r>
        <w:t xml:space="preserve">This report will examine the responses to the pharmacy use questions for the whole survey and identify variations from this by location, age, ethnicity etc where they occur. </w:t>
      </w:r>
    </w:p>
    <w:p w14:paraId="2705669D" w14:textId="77777777" w:rsidR="004924E5" w:rsidRDefault="004924E5" w:rsidP="004924E5"/>
    <w:p w14:paraId="153E4B36" w14:textId="77777777" w:rsidR="004924E5" w:rsidRPr="001F7D27" w:rsidRDefault="004924E5" w:rsidP="004924E5">
      <w:pPr>
        <w:rPr>
          <w:color w:val="477CBF"/>
        </w:rPr>
      </w:pPr>
      <w:r w:rsidRPr="001F7D27">
        <w:rPr>
          <w:color w:val="477CBF"/>
        </w:rPr>
        <w:t>Frequency of Use</w:t>
      </w:r>
    </w:p>
    <w:tbl>
      <w:tblPr>
        <w:tblW w:w="5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40"/>
        <w:gridCol w:w="1020"/>
      </w:tblGrid>
      <w:tr w:rsidR="004924E5" w:rsidRPr="00132637" w14:paraId="29E816CB" w14:textId="77777777" w:rsidTr="007E46C2">
        <w:trPr>
          <w:trHeight w:val="566"/>
          <w:jc w:val="center"/>
        </w:trPr>
        <w:tc>
          <w:tcPr>
            <w:tcW w:w="5460" w:type="dxa"/>
            <w:gridSpan w:val="2"/>
            <w:shd w:val="clear" w:color="auto" w:fill="C7D3EA"/>
            <w:vAlign w:val="center"/>
            <w:hideMark/>
          </w:tcPr>
          <w:p w14:paraId="11D8169C" w14:textId="77777777" w:rsidR="004924E5" w:rsidRPr="00132637" w:rsidRDefault="004924E5" w:rsidP="007E46C2">
            <w:pPr>
              <w:spacing w:after="0" w:line="240" w:lineRule="auto"/>
              <w:jc w:val="center"/>
              <w:rPr>
                <w:rFonts w:eastAsia="Times New Roman" w:cs="Arial"/>
                <w:color w:val="000000"/>
              </w:rPr>
            </w:pPr>
            <w:r w:rsidRPr="00132637">
              <w:rPr>
                <w:rFonts w:eastAsia="Times New Roman" w:cs="Arial"/>
                <w:color w:val="000000"/>
              </w:rPr>
              <w:t>On average how frequently do you use a pharmacy?</w:t>
            </w:r>
          </w:p>
        </w:tc>
      </w:tr>
      <w:tr w:rsidR="004924E5" w:rsidRPr="00132637" w14:paraId="7FB0B2E9" w14:textId="77777777" w:rsidTr="007E46C2">
        <w:trPr>
          <w:trHeight w:val="300"/>
          <w:jc w:val="center"/>
        </w:trPr>
        <w:tc>
          <w:tcPr>
            <w:tcW w:w="4440" w:type="dxa"/>
            <w:shd w:val="clear" w:color="auto" w:fill="C7D3EA"/>
            <w:vAlign w:val="bottom"/>
            <w:hideMark/>
          </w:tcPr>
          <w:p w14:paraId="47BF4575"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 </w:t>
            </w:r>
          </w:p>
        </w:tc>
        <w:tc>
          <w:tcPr>
            <w:tcW w:w="1020" w:type="dxa"/>
            <w:shd w:val="clear" w:color="auto" w:fill="C7D3EA"/>
            <w:vAlign w:val="bottom"/>
            <w:hideMark/>
          </w:tcPr>
          <w:p w14:paraId="0FD87FEF" w14:textId="77777777" w:rsidR="004924E5" w:rsidRPr="00132637" w:rsidRDefault="004924E5" w:rsidP="007E46C2">
            <w:pPr>
              <w:spacing w:after="0" w:line="240" w:lineRule="auto"/>
              <w:jc w:val="center"/>
              <w:rPr>
                <w:rFonts w:eastAsia="Times New Roman" w:cs="Arial"/>
                <w:color w:val="000000"/>
                <w:sz w:val="18"/>
                <w:szCs w:val="18"/>
              </w:rPr>
            </w:pPr>
            <w:r w:rsidRPr="00132637">
              <w:rPr>
                <w:rFonts w:eastAsia="Times New Roman" w:cs="Arial"/>
                <w:color w:val="000000"/>
                <w:sz w:val="18"/>
                <w:szCs w:val="18"/>
              </w:rPr>
              <w:t>Percent</w:t>
            </w:r>
          </w:p>
        </w:tc>
      </w:tr>
      <w:tr w:rsidR="004924E5" w:rsidRPr="00132637" w14:paraId="57031767" w14:textId="77777777" w:rsidTr="007E46C2">
        <w:trPr>
          <w:trHeight w:val="337"/>
          <w:jc w:val="center"/>
        </w:trPr>
        <w:tc>
          <w:tcPr>
            <w:tcW w:w="4440" w:type="dxa"/>
            <w:shd w:val="clear" w:color="auto" w:fill="C7D3EA"/>
            <w:hideMark/>
          </w:tcPr>
          <w:p w14:paraId="38CC929A"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More than once per week</w:t>
            </w:r>
          </w:p>
        </w:tc>
        <w:tc>
          <w:tcPr>
            <w:tcW w:w="1020" w:type="dxa"/>
            <w:shd w:val="clear" w:color="auto" w:fill="C7D3EA"/>
            <w:hideMark/>
          </w:tcPr>
          <w:p w14:paraId="1B20DE76"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2%</w:t>
            </w:r>
          </w:p>
        </w:tc>
      </w:tr>
      <w:tr w:rsidR="004924E5" w:rsidRPr="00132637" w14:paraId="7F341E12" w14:textId="77777777" w:rsidTr="007E46C2">
        <w:trPr>
          <w:trHeight w:val="337"/>
          <w:jc w:val="center"/>
        </w:trPr>
        <w:tc>
          <w:tcPr>
            <w:tcW w:w="4440" w:type="dxa"/>
            <w:shd w:val="clear" w:color="auto" w:fill="C7D3EA"/>
            <w:hideMark/>
          </w:tcPr>
          <w:p w14:paraId="2CA5AFA6"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Once per week</w:t>
            </w:r>
          </w:p>
        </w:tc>
        <w:tc>
          <w:tcPr>
            <w:tcW w:w="1020" w:type="dxa"/>
            <w:shd w:val="clear" w:color="auto" w:fill="C7D3EA"/>
            <w:hideMark/>
          </w:tcPr>
          <w:p w14:paraId="6B5035FD"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8%</w:t>
            </w:r>
          </w:p>
        </w:tc>
      </w:tr>
      <w:tr w:rsidR="004924E5" w:rsidRPr="00132637" w14:paraId="293281A6" w14:textId="77777777" w:rsidTr="007E46C2">
        <w:trPr>
          <w:trHeight w:val="337"/>
          <w:jc w:val="center"/>
        </w:trPr>
        <w:tc>
          <w:tcPr>
            <w:tcW w:w="4440" w:type="dxa"/>
            <w:shd w:val="clear" w:color="auto" w:fill="C7D3EA"/>
            <w:hideMark/>
          </w:tcPr>
          <w:p w14:paraId="0D729FCA"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Once or twice a month</w:t>
            </w:r>
          </w:p>
        </w:tc>
        <w:tc>
          <w:tcPr>
            <w:tcW w:w="1020" w:type="dxa"/>
            <w:shd w:val="clear" w:color="auto" w:fill="C7D3EA"/>
            <w:hideMark/>
          </w:tcPr>
          <w:p w14:paraId="0168B69E"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39%</w:t>
            </w:r>
          </w:p>
        </w:tc>
      </w:tr>
      <w:tr w:rsidR="004924E5" w:rsidRPr="00132637" w14:paraId="25A989A1" w14:textId="77777777" w:rsidTr="007E46C2">
        <w:trPr>
          <w:trHeight w:val="337"/>
          <w:jc w:val="center"/>
        </w:trPr>
        <w:tc>
          <w:tcPr>
            <w:tcW w:w="4440" w:type="dxa"/>
            <w:shd w:val="clear" w:color="auto" w:fill="C7D3EA"/>
            <w:hideMark/>
          </w:tcPr>
          <w:p w14:paraId="11A48444"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Once or twice every other month</w:t>
            </w:r>
          </w:p>
        </w:tc>
        <w:tc>
          <w:tcPr>
            <w:tcW w:w="1020" w:type="dxa"/>
            <w:shd w:val="clear" w:color="auto" w:fill="C7D3EA"/>
            <w:hideMark/>
          </w:tcPr>
          <w:p w14:paraId="6F72E434"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41%</w:t>
            </w:r>
          </w:p>
        </w:tc>
      </w:tr>
      <w:tr w:rsidR="004924E5" w:rsidRPr="00132637" w14:paraId="0C11F3F7" w14:textId="77777777" w:rsidTr="007E46C2">
        <w:trPr>
          <w:trHeight w:val="337"/>
          <w:jc w:val="center"/>
        </w:trPr>
        <w:tc>
          <w:tcPr>
            <w:tcW w:w="4440" w:type="dxa"/>
            <w:shd w:val="clear" w:color="auto" w:fill="C7D3EA"/>
            <w:hideMark/>
          </w:tcPr>
          <w:p w14:paraId="7411A28D"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Once or twice per year</w:t>
            </w:r>
          </w:p>
        </w:tc>
        <w:tc>
          <w:tcPr>
            <w:tcW w:w="1020" w:type="dxa"/>
            <w:shd w:val="clear" w:color="auto" w:fill="C7D3EA"/>
            <w:hideMark/>
          </w:tcPr>
          <w:p w14:paraId="6395FCD9"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8%</w:t>
            </w:r>
          </w:p>
        </w:tc>
      </w:tr>
      <w:tr w:rsidR="004924E5" w:rsidRPr="00132637" w14:paraId="26980A1B" w14:textId="77777777" w:rsidTr="007E46C2">
        <w:trPr>
          <w:trHeight w:val="337"/>
          <w:jc w:val="center"/>
        </w:trPr>
        <w:tc>
          <w:tcPr>
            <w:tcW w:w="4440" w:type="dxa"/>
            <w:shd w:val="clear" w:color="auto" w:fill="C7D3EA"/>
            <w:hideMark/>
          </w:tcPr>
          <w:p w14:paraId="27C90A1F" w14:textId="77777777" w:rsidR="004924E5" w:rsidRPr="00132637" w:rsidRDefault="004924E5" w:rsidP="007E46C2">
            <w:pPr>
              <w:spacing w:after="0" w:line="240" w:lineRule="auto"/>
              <w:rPr>
                <w:rFonts w:eastAsia="Times New Roman" w:cs="Arial"/>
                <w:color w:val="000000"/>
                <w:sz w:val="18"/>
                <w:szCs w:val="18"/>
              </w:rPr>
            </w:pPr>
            <w:r w:rsidRPr="00132637">
              <w:rPr>
                <w:rFonts w:eastAsia="Times New Roman" w:cs="Arial"/>
                <w:color w:val="000000"/>
                <w:sz w:val="18"/>
                <w:szCs w:val="18"/>
              </w:rPr>
              <w:t>I don't know</w:t>
            </w:r>
          </w:p>
        </w:tc>
        <w:tc>
          <w:tcPr>
            <w:tcW w:w="1020" w:type="dxa"/>
            <w:shd w:val="clear" w:color="auto" w:fill="C7D3EA"/>
            <w:hideMark/>
          </w:tcPr>
          <w:p w14:paraId="6696145C" w14:textId="77777777" w:rsidR="004924E5" w:rsidRPr="00132637" w:rsidRDefault="004924E5" w:rsidP="007E46C2">
            <w:pPr>
              <w:spacing w:after="0" w:line="240" w:lineRule="auto"/>
              <w:jc w:val="right"/>
              <w:rPr>
                <w:rFonts w:eastAsia="Times New Roman" w:cs="Arial"/>
                <w:color w:val="000000"/>
                <w:sz w:val="18"/>
                <w:szCs w:val="18"/>
              </w:rPr>
            </w:pPr>
            <w:r w:rsidRPr="00132637">
              <w:rPr>
                <w:rFonts w:eastAsia="Times New Roman" w:cs="Arial"/>
                <w:color w:val="000000"/>
                <w:sz w:val="18"/>
                <w:szCs w:val="18"/>
              </w:rPr>
              <w:t>1%</w:t>
            </w:r>
          </w:p>
        </w:tc>
      </w:tr>
    </w:tbl>
    <w:p w14:paraId="31C86AE0" w14:textId="49E3B20B" w:rsidR="004924E5" w:rsidRDefault="003E1012" w:rsidP="003E1012">
      <w:pPr>
        <w:pStyle w:val="Caption"/>
      </w:pPr>
      <w:r>
        <w:t xml:space="preserve">Table </w:t>
      </w:r>
      <w:r>
        <w:fldChar w:fldCharType="begin"/>
      </w:r>
      <w:r>
        <w:instrText>SEQ Table \* ARABIC</w:instrText>
      </w:r>
      <w:r>
        <w:fldChar w:fldCharType="separate"/>
      </w:r>
      <w:r w:rsidR="00AC4C6D">
        <w:rPr>
          <w:noProof/>
        </w:rPr>
        <w:t>24</w:t>
      </w:r>
      <w:r>
        <w:fldChar w:fldCharType="end"/>
      </w:r>
      <w:r>
        <w:t xml:space="preserve">: </w:t>
      </w:r>
      <w:r w:rsidR="0003342F">
        <w:t>Answers to the question “On average how frequently do you use a pharmacy?”</w:t>
      </w:r>
    </w:p>
    <w:p w14:paraId="70B8EEA3" w14:textId="77777777" w:rsidR="004924E5" w:rsidRDefault="004924E5" w:rsidP="008D3B10">
      <w:pPr>
        <w:pStyle w:val="ListParagraph"/>
        <w:numPr>
          <w:ilvl w:val="0"/>
          <w:numId w:val="15"/>
        </w:numPr>
        <w:spacing w:before="0" w:after="160" w:line="259" w:lineRule="auto"/>
      </w:pPr>
      <w:r w:rsidRPr="008425C6">
        <w:t>Respondents from Warwick District were more likely to attend once or twice every other month (51.6%)</w:t>
      </w:r>
    </w:p>
    <w:p w14:paraId="01A7C633" w14:textId="77777777" w:rsidR="004924E5" w:rsidRDefault="004924E5" w:rsidP="008D3B10">
      <w:pPr>
        <w:pStyle w:val="ListParagraph"/>
        <w:numPr>
          <w:ilvl w:val="0"/>
          <w:numId w:val="15"/>
        </w:numPr>
        <w:spacing w:before="0" w:after="160" w:line="259" w:lineRule="auto"/>
      </w:pPr>
      <w:r w:rsidRPr="008425C6">
        <w:t xml:space="preserve">Employed people </w:t>
      </w:r>
      <w:r>
        <w:t xml:space="preserve">were </w:t>
      </w:r>
      <w:r w:rsidRPr="008425C6">
        <w:t>more likely to visit 1 or 2 times per year</w:t>
      </w:r>
    </w:p>
    <w:p w14:paraId="1C6B440F" w14:textId="77777777" w:rsidR="004924E5" w:rsidRDefault="004924E5" w:rsidP="008D3B10">
      <w:pPr>
        <w:pStyle w:val="ListParagraph"/>
        <w:numPr>
          <w:ilvl w:val="0"/>
          <w:numId w:val="15"/>
        </w:numPr>
        <w:spacing w:before="0" w:after="160" w:line="259" w:lineRule="auto"/>
      </w:pPr>
      <w:r w:rsidRPr="008425C6">
        <w:t>Retired people</w:t>
      </w:r>
      <w:r>
        <w:t xml:space="preserve"> were</w:t>
      </w:r>
      <w:r w:rsidRPr="008425C6">
        <w:t xml:space="preserve"> less likely to visit 1 or 2 times per year</w:t>
      </w:r>
    </w:p>
    <w:p w14:paraId="5A1EA966" w14:textId="77777777" w:rsidR="004924E5" w:rsidRDefault="004924E5" w:rsidP="008D3B10">
      <w:pPr>
        <w:pStyle w:val="ListParagraph"/>
        <w:numPr>
          <w:ilvl w:val="0"/>
          <w:numId w:val="15"/>
        </w:numPr>
        <w:spacing w:before="0" w:after="160" w:line="259" w:lineRule="auto"/>
      </w:pPr>
      <w:r w:rsidRPr="008425C6">
        <w:t xml:space="preserve">25–54-year-olds </w:t>
      </w:r>
      <w:r>
        <w:t xml:space="preserve">were </w:t>
      </w:r>
      <w:r w:rsidRPr="008425C6">
        <w:t>more likely to visit 1 or 2 times per year</w:t>
      </w:r>
    </w:p>
    <w:p w14:paraId="65558B00" w14:textId="77777777" w:rsidR="004924E5" w:rsidRDefault="004924E5" w:rsidP="008D3B10">
      <w:pPr>
        <w:pStyle w:val="ListParagraph"/>
        <w:numPr>
          <w:ilvl w:val="0"/>
          <w:numId w:val="15"/>
        </w:numPr>
        <w:spacing w:before="0" w:after="160" w:line="259" w:lineRule="auto"/>
      </w:pPr>
      <w:r w:rsidRPr="008425C6">
        <w:t xml:space="preserve">75+ </w:t>
      </w:r>
      <w:r>
        <w:t xml:space="preserve">were </w:t>
      </w:r>
      <w:r w:rsidRPr="008425C6">
        <w:t>less likely to visit 1 or 2 times per year</w:t>
      </w:r>
    </w:p>
    <w:p w14:paraId="1DC27889" w14:textId="77777777" w:rsidR="004924E5" w:rsidRDefault="004924E5" w:rsidP="008D3B10">
      <w:pPr>
        <w:pStyle w:val="ListParagraph"/>
        <w:numPr>
          <w:ilvl w:val="0"/>
          <w:numId w:val="15"/>
        </w:numPr>
        <w:spacing w:before="0" w:after="160" w:line="259" w:lineRule="auto"/>
      </w:pPr>
      <w:r w:rsidRPr="008425C6">
        <w:t xml:space="preserve">People with disability </w:t>
      </w:r>
      <w:r>
        <w:t xml:space="preserve">were </w:t>
      </w:r>
      <w:r w:rsidRPr="008425C6">
        <w:t>less likely to visit 1 or 2 times per year</w:t>
      </w:r>
    </w:p>
    <w:p w14:paraId="4896EB13" w14:textId="77777777" w:rsidR="004924E5" w:rsidRDefault="004924E5" w:rsidP="004924E5"/>
    <w:p w14:paraId="60C5006E" w14:textId="77777777" w:rsidR="004924E5" w:rsidRPr="001F7D27" w:rsidRDefault="004924E5" w:rsidP="004924E5">
      <w:pPr>
        <w:rPr>
          <w:color w:val="477CBF"/>
        </w:rPr>
      </w:pPr>
      <w:r w:rsidRPr="001F7D27">
        <w:rPr>
          <w:color w:val="477CBF"/>
        </w:rPr>
        <w:t>Travel to Pharmacy</w:t>
      </w:r>
    </w:p>
    <w:tbl>
      <w:tblPr>
        <w:tblW w:w="3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83"/>
        <w:gridCol w:w="837"/>
      </w:tblGrid>
      <w:tr w:rsidR="004924E5" w:rsidRPr="008425C6" w14:paraId="3FE13450" w14:textId="77777777" w:rsidTr="007E46C2">
        <w:trPr>
          <w:trHeight w:val="566"/>
          <w:jc w:val="center"/>
        </w:trPr>
        <w:tc>
          <w:tcPr>
            <w:tcW w:w="3520" w:type="dxa"/>
            <w:gridSpan w:val="2"/>
            <w:shd w:val="clear" w:color="auto" w:fill="C7D3EA"/>
            <w:vAlign w:val="center"/>
            <w:hideMark/>
          </w:tcPr>
          <w:p w14:paraId="00AE7593" w14:textId="77777777" w:rsidR="004924E5" w:rsidRPr="008425C6" w:rsidRDefault="004924E5" w:rsidP="007E46C2">
            <w:pPr>
              <w:spacing w:after="0" w:line="240" w:lineRule="auto"/>
              <w:jc w:val="center"/>
              <w:rPr>
                <w:rFonts w:eastAsia="Times New Roman" w:cs="Arial"/>
                <w:color w:val="000000"/>
              </w:rPr>
            </w:pPr>
            <w:r w:rsidRPr="008425C6">
              <w:rPr>
                <w:rFonts w:eastAsia="Times New Roman" w:cs="Arial"/>
                <w:color w:val="000000"/>
              </w:rPr>
              <w:t>How would you normally travel to the pharmacy you usually use?</w:t>
            </w:r>
          </w:p>
        </w:tc>
      </w:tr>
      <w:tr w:rsidR="004924E5" w:rsidRPr="008425C6" w14:paraId="276A56BB" w14:textId="77777777" w:rsidTr="007E46C2">
        <w:trPr>
          <w:trHeight w:val="300"/>
          <w:jc w:val="center"/>
        </w:trPr>
        <w:tc>
          <w:tcPr>
            <w:tcW w:w="2684" w:type="dxa"/>
            <w:shd w:val="clear" w:color="auto" w:fill="C7D3EA"/>
            <w:vAlign w:val="bottom"/>
            <w:hideMark/>
          </w:tcPr>
          <w:p w14:paraId="3DA0A579"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 </w:t>
            </w:r>
          </w:p>
        </w:tc>
        <w:tc>
          <w:tcPr>
            <w:tcW w:w="836" w:type="dxa"/>
            <w:shd w:val="clear" w:color="auto" w:fill="C7D3EA"/>
            <w:vAlign w:val="bottom"/>
            <w:hideMark/>
          </w:tcPr>
          <w:p w14:paraId="56F8F20A" w14:textId="77777777" w:rsidR="004924E5" w:rsidRPr="008425C6" w:rsidRDefault="004924E5" w:rsidP="007E46C2">
            <w:pPr>
              <w:spacing w:after="0" w:line="240" w:lineRule="auto"/>
              <w:jc w:val="center"/>
              <w:rPr>
                <w:rFonts w:eastAsia="Times New Roman" w:cs="Arial"/>
                <w:color w:val="000000"/>
                <w:sz w:val="18"/>
                <w:szCs w:val="18"/>
              </w:rPr>
            </w:pPr>
            <w:r w:rsidRPr="008425C6">
              <w:rPr>
                <w:rFonts w:eastAsia="Times New Roman" w:cs="Arial"/>
                <w:color w:val="000000"/>
                <w:sz w:val="18"/>
                <w:szCs w:val="18"/>
              </w:rPr>
              <w:t>Percent</w:t>
            </w:r>
          </w:p>
        </w:tc>
      </w:tr>
      <w:tr w:rsidR="004924E5" w:rsidRPr="008425C6" w14:paraId="384E9913" w14:textId="77777777" w:rsidTr="007E46C2">
        <w:trPr>
          <w:trHeight w:val="300"/>
          <w:jc w:val="center"/>
        </w:trPr>
        <w:tc>
          <w:tcPr>
            <w:tcW w:w="2684" w:type="dxa"/>
            <w:shd w:val="clear" w:color="auto" w:fill="C7D3EA"/>
            <w:hideMark/>
          </w:tcPr>
          <w:p w14:paraId="358E0965"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Car/Motorbike/Van</w:t>
            </w:r>
          </w:p>
        </w:tc>
        <w:tc>
          <w:tcPr>
            <w:tcW w:w="836" w:type="dxa"/>
            <w:shd w:val="clear" w:color="auto" w:fill="C7D3EA"/>
            <w:hideMark/>
          </w:tcPr>
          <w:p w14:paraId="250B29C8"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46.5%</w:t>
            </w:r>
          </w:p>
        </w:tc>
      </w:tr>
      <w:tr w:rsidR="004924E5" w:rsidRPr="008425C6" w14:paraId="65B7D6C1" w14:textId="77777777" w:rsidTr="007E46C2">
        <w:trPr>
          <w:trHeight w:val="300"/>
          <w:jc w:val="center"/>
        </w:trPr>
        <w:tc>
          <w:tcPr>
            <w:tcW w:w="2684" w:type="dxa"/>
            <w:shd w:val="clear" w:color="auto" w:fill="C7D3EA"/>
            <w:hideMark/>
          </w:tcPr>
          <w:p w14:paraId="3A534951"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lastRenderedPageBreak/>
              <w:t>Walk</w:t>
            </w:r>
          </w:p>
        </w:tc>
        <w:tc>
          <w:tcPr>
            <w:tcW w:w="836" w:type="dxa"/>
            <w:shd w:val="clear" w:color="auto" w:fill="C7D3EA"/>
            <w:hideMark/>
          </w:tcPr>
          <w:p w14:paraId="283072FB"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42.0%</w:t>
            </w:r>
          </w:p>
        </w:tc>
      </w:tr>
      <w:tr w:rsidR="004924E5" w:rsidRPr="008425C6" w14:paraId="76AC64EF" w14:textId="77777777" w:rsidTr="007E46C2">
        <w:trPr>
          <w:trHeight w:val="343"/>
          <w:jc w:val="center"/>
        </w:trPr>
        <w:tc>
          <w:tcPr>
            <w:tcW w:w="2684" w:type="dxa"/>
            <w:shd w:val="clear" w:color="auto" w:fill="C7D3EA"/>
            <w:hideMark/>
          </w:tcPr>
          <w:p w14:paraId="58B6A691"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I have my medicines delivered</w:t>
            </w:r>
          </w:p>
        </w:tc>
        <w:tc>
          <w:tcPr>
            <w:tcW w:w="836" w:type="dxa"/>
            <w:shd w:val="clear" w:color="auto" w:fill="C7D3EA"/>
            <w:hideMark/>
          </w:tcPr>
          <w:p w14:paraId="7220FD90"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6.8%</w:t>
            </w:r>
          </w:p>
        </w:tc>
      </w:tr>
      <w:tr w:rsidR="004924E5" w:rsidRPr="008425C6" w14:paraId="41E9566F" w14:textId="77777777" w:rsidTr="007E46C2">
        <w:trPr>
          <w:trHeight w:val="300"/>
          <w:jc w:val="center"/>
        </w:trPr>
        <w:tc>
          <w:tcPr>
            <w:tcW w:w="2684" w:type="dxa"/>
            <w:shd w:val="clear" w:color="auto" w:fill="C7D3EA"/>
            <w:hideMark/>
          </w:tcPr>
          <w:p w14:paraId="4EA92D1E"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Other</w:t>
            </w:r>
          </w:p>
        </w:tc>
        <w:tc>
          <w:tcPr>
            <w:tcW w:w="836" w:type="dxa"/>
            <w:shd w:val="clear" w:color="auto" w:fill="C7D3EA"/>
            <w:hideMark/>
          </w:tcPr>
          <w:p w14:paraId="4B34C152"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1.8%</w:t>
            </w:r>
          </w:p>
        </w:tc>
      </w:tr>
      <w:tr w:rsidR="004924E5" w:rsidRPr="008425C6" w14:paraId="6AAB71BF" w14:textId="77777777" w:rsidTr="007E46C2">
        <w:trPr>
          <w:trHeight w:val="300"/>
          <w:jc w:val="center"/>
        </w:trPr>
        <w:tc>
          <w:tcPr>
            <w:tcW w:w="2684" w:type="dxa"/>
            <w:shd w:val="clear" w:color="auto" w:fill="C7D3EA"/>
            <w:hideMark/>
          </w:tcPr>
          <w:p w14:paraId="2FA5AC87"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Public Transport</w:t>
            </w:r>
          </w:p>
        </w:tc>
        <w:tc>
          <w:tcPr>
            <w:tcW w:w="836" w:type="dxa"/>
            <w:shd w:val="clear" w:color="auto" w:fill="C7D3EA"/>
            <w:hideMark/>
          </w:tcPr>
          <w:p w14:paraId="01D88679"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1.8%</w:t>
            </w:r>
          </w:p>
        </w:tc>
      </w:tr>
      <w:tr w:rsidR="004924E5" w:rsidRPr="008425C6" w14:paraId="6BCB0D36" w14:textId="77777777" w:rsidTr="007E46C2">
        <w:trPr>
          <w:trHeight w:val="300"/>
          <w:jc w:val="center"/>
        </w:trPr>
        <w:tc>
          <w:tcPr>
            <w:tcW w:w="2684" w:type="dxa"/>
            <w:shd w:val="clear" w:color="auto" w:fill="C7D3EA"/>
            <w:hideMark/>
          </w:tcPr>
          <w:p w14:paraId="4E37A985" w14:textId="77777777" w:rsidR="004924E5" w:rsidRPr="008425C6" w:rsidRDefault="004924E5" w:rsidP="007E46C2">
            <w:pPr>
              <w:spacing w:after="0" w:line="240" w:lineRule="auto"/>
              <w:rPr>
                <w:rFonts w:eastAsia="Times New Roman" w:cs="Arial"/>
                <w:color w:val="000000"/>
                <w:sz w:val="18"/>
                <w:szCs w:val="18"/>
              </w:rPr>
            </w:pPr>
            <w:r w:rsidRPr="008425C6">
              <w:rPr>
                <w:rFonts w:eastAsia="Times New Roman" w:cs="Arial"/>
                <w:color w:val="000000"/>
                <w:sz w:val="18"/>
                <w:szCs w:val="18"/>
              </w:rPr>
              <w:t>Cycle</w:t>
            </w:r>
          </w:p>
        </w:tc>
        <w:tc>
          <w:tcPr>
            <w:tcW w:w="836" w:type="dxa"/>
            <w:shd w:val="clear" w:color="auto" w:fill="C7D3EA"/>
            <w:hideMark/>
          </w:tcPr>
          <w:p w14:paraId="486F2AD5" w14:textId="77777777" w:rsidR="004924E5" w:rsidRPr="008425C6" w:rsidRDefault="004924E5" w:rsidP="007E46C2">
            <w:pPr>
              <w:spacing w:after="0" w:line="240" w:lineRule="auto"/>
              <w:jc w:val="right"/>
              <w:rPr>
                <w:rFonts w:eastAsia="Times New Roman" w:cs="Arial"/>
                <w:color w:val="000000"/>
                <w:sz w:val="18"/>
                <w:szCs w:val="18"/>
              </w:rPr>
            </w:pPr>
            <w:r w:rsidRPr="008425C6">
              <w:rPr>
                <w:rFonts w:eastAsia="Times New Roman" w:cs="Arial"/>
                <w:color w:val="000000"/>
                <w:sz w:val="18"/>
                <w:szCs w:val="18"/>
              </w:rPr>
              <w:t>1.1%</w:t>
            </w:r>
          </w:p>
        </w:tc>
      </w:tr>
    </w:tbl>
    <w:p w14:paraId="67C6B6AB" w14:textId="7C3EAFD6" w:rsidR="004924E5" w:rsidRDefault="0003342F" w:rsidP="0003342F">
      <w:pPr>
        <w:pStyle w:val="Caption"/>
      </w:pPr>
      <w:r>
        <w:t xml:space="preserve">Table </w:t>
      </w:r>
      <w:r>
        <w:fldChar w:fldCharType="begin"/>
      </w:r>
      <w:r>
        <w:instrText>SEQ Table \* ARABIC</w:instrText>
      </w:r>
      <w:r>
        <w:fldChar w:fldCharType="separate"/>
      </w:r>
      <w:r w:rsidR="00AC4C6D">
        <w:rPr>
          <w:noProof/>
        </w:rPr>
        <w:t>25</w:t>
      </w:r>
      <w:r>
        <w:fldChar w:fldCharType="end"/>
      </w:r>
      <w:r>
        <w:t>: Answers to the question “How would you normally travel to the pharmacy you usually use?”</w:t>
      </w:r>
    </w:p>
    <w:p w14:paraId="4D5AA73F" w14:textId="77777777" w:rsidR="004924E5" w:rsidRDefault="004924E5" w:rsidP="008D3B10">
      <w:pPr>
        <w:pStyle w:val="ListParagraph"/>
        <w:numPr>
          <w:ilvl w:val="0"/>
          <w:numId w:val="16"/>
        </w:numPr>
        <w:spacing w:before="0" w:after="160" w:line="259" w:lineRule="auto"/>
      </w:pPr>
      <w:r>
        <w:t>Fewer people walk in Stratford District</w:t>
      </w:r>
    </w:p>
    <w:p w14:paraId="29CEEFA9" w14:textId="77777777" w:rsidR="004924E5" w:rsidRDefault="004924E5" w:rsidP="008D3B10">
      <w:pPr>
        <w:pStyle w:val="ListParagraph"/>
        <w:numPr>
          <w:ilvl w:val="0"/>
          <w:numId w:val="16"/>
        </w:numPr>
        <w:spacing w:before="0" w:after="160" w:line="259" w:lineRule="auto"/>
      </w:pPr>
      <w:r>
        <w:t>Retired people were more likely to use a car</w:t>
      </w:r>
    </w:p>
    <w:p w14:paraId="02CCDCB9" w14:textId="77777777" w:rsidR="004924E5" w:rsidRDefault="004924E5" w:rsidP="008D3B10">
      <w:pPr>
        <w:pStyle w:val="ListParagraph"/>
        <w:numPr>
          <w:ilvl w:val="0"/>
          <w:numId w:val="16"/>
        </w:numPr>
        <w:spacing w:before="0" w:after="160" w:line="259" w:lineRule="auto"/>
      </w:pPr>
      <w:r>
        <w:t>People with disabilities were less likely to walk and more likely to use a mobility scooter</w:t>
      </w:r>
    </w:p>
    <w:p w14:paraId="083C4CC6" w14:textId="77777777" w:rsidR="004924E5" w:rsidRDefault="004924E5" w:rsidP="004924E5"/>
    <w:p w14:paraId="0C59F7D1" w14:textId="77777777" w:rsidR="004924E5" w:rsidRPr="001F7D27" w:rsidRDefault="004924E5" w:rsidP="004924E5">
      <w:pPr>
        <w:rPr>
          <w:color w:val="477CBF"/>
        </w:rPr>
      </w:pPr>
      <w:r w:rsidRPr="001F7D27">
        <w:rPr>
          <w:color w:val="477CBF"/>
        </w:rPr>
        <w:t>Distance travelled to Pharmacy</w:t>
      </w:r>
    </w:p>
    <w:tbl>
      <w:tblPr>
        <w:tblW w:w="4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00"/>
        <w:gridCol w:w="1020"/>
      </w:tblGrid>
      <w:tr w:rsidR="004924E5" w:rsidRPr="00C0677B" w14:paraId="67ECFB17" w14:textId="77777777" w:rsidTr="007E46C2">
        <w:trPr>
          <w:trHeight w:val="566"/>
          <w:jc w:val="center"/>
        </w:trPr>
        <w:tc>
          <w:tcPr>
            <w:tcW w:w="4420" w:type="dxa"/>
            <w:gridSpan w:val="2"/>
            <w:shd w:val="clear" w:color="auto" w:fill="C7D3EA"/>
            <w:vAlign w:val="center"/>
            <w:hideMark/>
          </w:tcPr>
          <w:p w14:paraId="7284B3A7" w14:textId="77777777" w:rsidR="004924E5" w:rsidRPr="00C0677B" w:rsidRDefault="004924E5" w:rsidP="007E46C2">
            <w:pPr>
              <w:spacing w:after="0" w:line="240" w:lineRule="auto"/>
              <w:jc w:val="center"/>
              <w:rPr>
                <w:rFonts w:eastAsia="Times New Roman" w:cs="Arial"/>
                <w:color w:val="000000"/>
              </w:rPr>
            </w:pPr>
            <w:r w:rsidRPr="00C0677B">
              <w:rPr>
                <w:rFonts w:eastAsia="Times New Roman" w:cs="Arial"/>
                <w:color w:val="000000"/>
              </w:rPr>
              <w:t xml:space="preserve">How long does it usually take you to travel to your pharmacy? </w:t>
            </w:r>
          </w:p>
        </w:tc>
      </w:tr>
      <w:tr w:rsidR="004924E5" w:rsidRPr="00C0677B" w14:paraId="24EAEB44" w14:textId="77777777" w:rsidTr="007E46C2">
        <w:trPr>
          <w:trHeight w:val="300"/>
          <w:jc w:val="center"/>
        </w:trPr>
        <w:tc>
          <w:tcPr>
            <w:tcW w:w="3400" w:type="dxa"/>
            <w:shd w:val="clear" w:color="auto" w:fill="C7D3EA"/>
            <w:vAlign w:val="bottom"/>
            <w:hideMark/>
          </w:tcPr>
          <w:p w14:paraId="09698A2F" w14:textId="77777777" w:rsidR="004924E5" w:rsidRPr="00C0677B" w:rsidRDefault="004924E5" w:rsidP="007E46C2">
            <w:pPr>
              <w:spacing w:after="0" w:line="240" w:lineRule="auto"/>
              <w:rPr>
                <w:rFonts w:eastAsia="Times New Roman" w:cs="Arial"/>
                <w:color w:val="000000"/>
                <w:sz w:val="18"/>
                <w:szCs w:val="18"/>
              </w:rPr>
            </w:pPr>
            <w:r w:rsidRPr="00C0677B">
              <w:rPr>
                <w:rFonts w:eastAsia="Times New Roman" w:cs="Arial"/>
                <w:color w:val="000000"/>
                <w:sz w:val="18"/>
                <w:szCs w:val="18"/>
              </w:rPr>
              <w:t> </w:t>
            </w:r>
          </w:p>
        </w:tc>
        <w:tc>
          <w:tcPr>
            <w:tcW w:w="1020" w:type="dxa"/>
            <w:shd w:val="clear" w:color="auto" w:fill="C7D3EA"/>
            <w:vAlign w:val="bottom"/>
            <w:hideMark/>
          </w:tcPr>
          <w:p w14:paraId="30E6E4F9" w14:textId="77777777" w:rsidR="004924E5" w:rsidRPr="00C0677B" w:rsidRDefault="004924E5" w:rsidP="007E46C2">
            <w:pPr>
              <w:spacing w:after="0" w:line="240" w:lineRule="auto"/>
              <w:jc w:val="center"/>
              <w:rPr>
                <w:rFonts w:eastAsia="Times New Roman" w:cs="Arial"/>
                <w:color w:val="000000"/>
                <w:sz w:val="18"/>
                <w:szCs w:val="18"/>
              </w:rPr>
            </w:pPr>
            <w:r w:rsidRPr="00C0677B">
              <w:rPr>
                <w:rFonts w:eastAsia="Times New Roman" w:cs="Arial"/>
                <w:color w:val="000000"/>
                <w:sz w:val="18"/>
                <w:szCs w:val="18"/>
              </w:rPr>
              <w:t>Percent</w:t>
            </w:r>
          </w:p>
        </w:tc>
      </w:tr>
      <w:tr w:rsidR="004924E5" w:rsidRPr="00C0677B" w14:paraId="085BFF96" w14:textId="77777777" w:rsidTr="007E46C2">
        <w:trPr>
          <w:trHeight w:val="300"/>
          <w:jc w:val="center"/>
        </w:trPr>
        <w:tc>
          <w:tcPr>
            <w:tcW w:w="3400" w:type="dxa"/>
            <w:shd w:val="clear" w:color="auto" w:fill="C7D3EA"/>
            <w:hideMark/>
          </w:tcPr>
          <w:p w14:paraId="63505C21" w14:textId="77777777" w:rsidR="004924E5" w:rsidRPr="00C0677B" w:rsidRDefault="004924E5" w:rsidP="007E46C2">
            <w:pPr>
              <w:spacing w:after="0" w:line="240" w:lineRule="auto"/>
              <w:rPr>
                <w:rFonts w:eastAsia="Times New Roman" w:cs="Arial"/>
                <w:color w:val="000000"/>
                <w:sz w:val="18"/>
                <w:szCs w:val="18"/>
              </w:rPr>
            </w:pPr>
            <w:r w:rsidRPr="00C0677B">
              <w:rPr>
                <w:rFonts w:eastAsia="Times New Roman" w:cs="Arial"/>
                <w:color w:val="000000"/>
                <w:sz w:val="18"/>
                <w:szCs w:val="18"/>
              </w:rPr>
              <w:t>Between 15 and 30 minutes</w:t>
            </w:r>
          </w:p>
        </w:tc>
        <w:tc>
          <w:tcPr>
            <w:tcW w:w="1020" w:type="dxa"/>
            <w:shd w:val="clear" w:color="auto" w:fill="C7D3EA"/>
            <w:hideMark/>
          </w:tcPr>
          <w:p w14:paraId="1CEB4252" w14:textId="77777777" w:rsidR="004924E5" w:rsidRPr="00C0677B" w:rsidRDefault="004924E5" w:rsidP="007E46C2">
            <w:pPr>
              <w:spacing w:after="0" w:line="240" w:lineRule="auto"/>
              <w:jc w:val="right"/>
              <w:rPr>
                <w:rFonts w:eastAsia="Times New Roman" w:cs="Arial"/>
                <w:color w:val="000000"/>
                <w:sz w:val="18"/>
                <w:szCs w:val="18"/>
              </w:rPr>
            </w:pPr>
            <w:r w:rsidRPr="00C0677B">
              <w:rPr>
                <w:rFonts w:eastAsia="Times New Roman" w:cs="Arial"/>
                <w:color w:val="000000"/>
                <w:sz w:val="18"/>
                <w:szCs w:val="18"/>
              </w:rPr>
              <w:t>19%</w:t>
            </w:r>
          </w:p>
        </w:tc>
      </w:tr>
      <w:tr w:rsidR="004924E5" w:rsidRPr="00C0677B" w14:paraId="4448F66F" w14:textId="77777777" w:rsidTr="007E46C2">
        <w:trPr>
          <w:trHeight w:val="300"/>
          <w:jc w:val="center"/>
        </w:trPr>
        <w:tc>
          <w:tcPr>
            <w:tcW w:w="3400" w:type="dxa"/>
            <w:shd w:val="clear" w:color="auto" w:fill="C7D3EA"/>
            <w:hideMark/>
          </w:tcPr>
          <w:p w14:paraId="4C68CF05" w14:textId="77777777" w:rsidR="004924E5" w:rsidRPr="00C0677B" w:rsidRDefault="004924E5" w:rsidP="007E46C2">
            <w:pPr>
              <w:spacing w:after="0" w:line="240" w:lineRule="auto"/>
              <w:rPr>
                <w:rFonts w:eastAsia="Times New Roman" w:cs="Arial"/>
                <w:color w:val="000000"/>
                <w:sz w:val="18"/>
                <w:szCs w:val="18"/>
              </w:rPr>
            </w:pPr>
            <w:r w:rsidRPr="00C0677B">
              <w:rPr>
                <w:rFonts w:eastAsia="Times New Roman" w:cs="Arial"/>
                <w:color w:val="000000"/>
                <w:sz w:val="18"/>
                <w:szCs w:val="18"/>
              </w:rPr>
              <w:t>I have my medicines delivered</w:t>
            </w:r>
          </w:p>
        </w:tc>
        <w:tc>
          <w:tcPr>
            <w:tcW w:w="1020" w:type="dxa"/>
            <w:shd w:val="clear" w:color="auto" w:fill="C7D3EA"/>
            <w:hideMark/>
          </w:tcPr>
          <w:p w14:paraId="6BDACF20" w14:textId="77777777" w:rsidR="004924E5" w:rsidRPr="00C0677B" w:rsidRDefault="004924E5" w:rsidP="007E46C2">
            <w:pPr>
              <w:spacing w:after="0" w:line="240" w:lineRule="auto"/>
              <w:jc w:val="right"/>
              <w:rPr>
                <w:rFonts w:eastAsia="Times New Roman" w:cs="Arial"/>
                <w:color w:val="000000"/>
                <w:sz w:val="18"/>
                <w:szCs w:val="18"/>
              </w:rPr>
            </w:pPr>
            <w:r w:rsidRPr="00C0677B">
              <w:rPr>
                <w:rFonts w:eastAsia="Times New Roman" w:cs="Arial"/>
                <w:color w:val="000000"/>
                <w:sz w:val="18"/>
                <w:szCs w:val="18"/>
              </w:rPr>
              <w:t>5%</w:t>
            </w:r>
          </w:p>
        </w:tc>
      </w:tr>
      <w:tr w:rsidR="004924E5" w:rsidRPr="00C0677B" w14:paraId="284F28EC" w14:textId="77777777" w:rsidTr="007E46C2">
        <w:trPr>
          <w:trHeight w:val="300"/>
          <w:jc w:val="center"/>
        </w:trPr>
        <w:tc>
          <w:tcPr>
            <w:tcW w:w="3400" w:type="dxa"/>
            <w:shd w:val="clear" w:color="auto" w:fill="C7D3EA"/>
            <w:hideMark/>
          </w:tcPr>
          <w:p w14:paraId="3E22EB3F" w14:textId="77777777" w:rsidR="004924E5" w:rsidRPr="00C0677B" w:rsidRDefault="004924E5" w:rsidP="007E46C2">
            <w:pPr>
              <w:spacing w:after="0" w:line="240" w:lineRule="auto"/>
              <w:rPr>
                <w:rFonts w:eastAsia="Times New Roman" w:cs="Arial"/>
                <w:color w:val="000000"/>
                <w:sz w:val="18"/>
                <w:szCs w:val="18"/>
              </w:rPr>
            </w:pPr>
            <w:r w:rsidRPr="00C0677B">
              <w:rPr>
                <w:rFonts w:eastAsia="Times New Roman" w:cs="Arial"/>
                <w:color w:val="000000"/>
                <w:sz w:val="18"/>
                <w:szCs w:val="18"/>
              </w:rPr>
              <w:t>Less than 15 minutes</w:t>
            </w:r>
          </w:p>
        </w:tc>
        <w:tc>
          <w:tcPr>
            <w:tcW w:w="1020" w:type="dxa"/>
            <w:shd w:val="clear" w:color="auto" w:fill="C7D3EA"/>
            <w:hideMark/>
          </w:tcPr>
          <w:p w14:paraId="5CA7B171" w14:textId="77777777" w:rsidR="004924E5" w:rsidRPr="00C0677B" w:rsidRDefault="004924E5" w:rsidP="007E46C2">
            <w:pPr>
              <w:spacing w:after="0" w:line="240" w:lineRule="auto"/>
              <w:jc w:val="right"/>
              <w:rPr>
                <w:rFonts w:eastAsia="Times New Roman" w:cs="Arial"/>
                <w:color w:val="000000"/>
                <w:sz w:val="18"/>
                <w:szCs w:val="18"/>
              </w:rPr>
            </w:pPr>
            <w:r w:rsidRPr="00C0677B">
              <w:rPr>
                <w:rFonts w:eastAsia="Times New Roman" w:cs="Arial"/>
                <w:color w:val="000000"/>
                <w:sz w:val="18"/>
                <w:szCs w:val="18"/>
              </w:rPr>
              <w:t>74%</w:t>
            </w:r>
          </w:p>
        </w:tc>
      </w:tr>
      <w:tr w:rsidR="004924E5" w:rsidRPr="00C0677B" w14:paraId="69765CA1" w14:textId="77777777" w:rsidTr="007E46C2">
        <w:trPr>
          <w:trHeight w:val="300"/>
          <w:jc w:val="center"/>
        </w:trPr>
        <w:tc>
          <w:tcPr>
            <w:tcW w:w="3400" w:type="dxa"/>
            <w:shd w:val="clear" w:color="auto" w:fill="C7D3EA"/>
            <w:hideMark/>
          </w:tcPr>
          <w:p w14:paraId="7FE1BCA6" w14:textId="77777777" w:rsidR="004924E5" w:rsidRPr="00C0677B" w:rsidRDefault="004924E5" w:rsidP="007E46C2">
            <w:pPr>
              <w:spacing w:after="0" w:line="240" w:lineRule="auto"/>
              <w:rPr>
                <w:rFonts w:eastAsia="Times New Roman" w:cs="Arial"/>
                <w:color w:val="000000"/>
                <w:sz w:val="18"/>
                <w:szCs w:val="18"/>
              </w:rPr>
            </w:pPr>
            <w:r w:rsidRPr="00C0677B">
              <w:rPr>
                <w:rFonts w:eastAsia="Times New Roman" w:cs="Arial"/>
                <w:color w:val="000000"/>
                <w:sz w:val="18"/>
                <w:szCs w:val="18"/>
              </w:rPr>
              <w:t>More than 30 minutes</w:t>
            </w:r>
          </w:p>
        </w:tc>
        <w:tc>
          <w:tcPr>
            <w:tcW w:w="1020" w:type="dxa"/>
            <w:shd w:val="clear" w:color="auto" w:fill="C7D3EA"/>
            <w:hideMark/>
          </w:tcPr>
          <w:p w14:paraId="120F211F" w14:textId="77777777" w:rsidR="004924E5" w:rsidRPr="00C0677B" w:rsidRDefault="004924E5" w:rsidP="007E46C2">
            <w:pPr>
              <w:spacing w:after="0" w:line="240" w:lineRule="auto"/>
              <w:jc w:val="right"/>
              <w:rPr>
                <w:rFonts w:eastAsia="Times New Roman" w:cs="Arial"/>
                <w:color w:val="000000"/>
                <w:sz w:val="18"/>
                <w:szCs w:val="18"/>
              </w:rPr>
            </w:pPr>
            <w:r w:rsidRPr="00C0677B">
              <w:rPr>
                <w:rFonts w:eastAsia="Times New Roman" w:cs="Arial"/>
                <w:color w:val="000000"/>
                <w:sz w:val="18"/>
                <w:szCs w:val="18"/>
              </w:rPr>
              <w:t>1%</w:t>
            </w:r>
          </w:p>
        </w:tc>
      </w:tr>
    </w:tbl>
    <w:p w14:paraId="7CCC796E" w14:textId="32FE8EA0" w:rsidR="004924E5" w:rsidRDefault="0003342F" w:rsidP="0003342F">
      <w:pPr>
        <w:pStyle w:val="Caption"/>
      </w:pPr>
      <w:r>
        <w:t xml:space="preserve">Table </w:t>
      </w:r>
      <w:r>
        <w:fldChar w:fldCharType="begin"/>
      </w:r>
      <w:r>
        <w:instrText>SEQ Table \* ARABIC</w:instrText>
      </w:r>
      <w:r>
        <w:fldChar w:fldCharType="separate"/>
      </w:r>
      <w:r w:rsidR="00AC4C6D">
        <w:rPr>
          <w:noProof/>
        </w:rPr>
        <w:t>26</w:t>
      </w:r>
      <w:r>
        <w:fldChar w:fldCharType="end"/>
      </w:r>
      <w:r>
        <w:t>: Answers to the question “How long does it usually take you to travel to your pharmacy?”</w:t>
      </w:r>
    </w:p>
    <w:p w14:paraId="4B5B7536" w14:textId="77777777" w:rsidR="004924E5" w:rsidRDefault="004924E5" w:rsidP="008D3B10">
      <w:pPr>
        <w:pStyle w:val="ListParagraph"/>
        <w:numPr>
          <w:ilvl w:val="0"/>
          <w:numId w:val="17"/>
        </w:numPr>
        <w:spacing w:before="0" w:after="160" w:line="259" w:lineRule="auto"/>
      </w:pPr>
      <w:r w:rsidRPr="00C0677B">
        <w:t>Respondents from Coventry were less likely to travel 15-30 minutes (10.5%)</w:t>
      </w:r>
    </w:p>
    <w:p w14:paraId="0EAC6306" w14:textId="77777777" w:rsidR="004924E5" w:rsidRDefault="004924E5" w:rsidP="008D3B10">
      <w:pPr>
        <w:pStyle w:val="ListParagraph"/>
        <w:numPr>
          <w:ilvl w:val="0"/>
          <w:numId w:val="17"/>
        </w:numPr>
        <w:spacing w:before="0" w:after="160" w:line="259" w:lineRule="auto"/>
      </w:pPr>
      <w:r>
        <w:t xml:space="preserve">25–54-year-olds were </w:t>
      </w:r>
      <w:r w:rsidRPr="00C0677B">
        <w:t>less likely to travel 15-30 minutes</w:t>
      </w:r>
    </w:p>
    <w:p w14:paraId="065F9ED2" w14:textId="77777777" w:rsidR="004924E5" w:rsidRDefault="004924E5" w:rsidP="004924E5"/>
    <w:p w14:paraId="1D5C9643" w14:textId="77777777" w:rsidR="004924E5" w:rsidRPr="001F7D27" w:rsidRDefault="004924E5" w:rsidP="004924E5">
      <w:pPr>
        <w:rPr>
          <w:color w:val="477CBF"/>
        </w:rPr>
      </w:pPr>
      <w:r w:rsidRPr="001F7D27">
        <w:rPr>
          <w:color w:val="477CBF"/>
        </w:rPr>
        <w:t>Pattern of Use</w:t>
      </w:r>
    </w:p>
    <w:tbl>
      <w:tblPr>
        <w:tblW w:w="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00"/>
        <w:gridCol w:w="1020"/>
      </w:tblGrid>
      <w:tr w:rsidR="004924E5" w:rsidRPr="0019314A" w14:paraId="28DD8535" w14:textId="77777777" w:rsidTr="007E46C2">
        <w:trPr>
          <w:trHeight w:val="566"/>
          <w:jc w:val="center"/>
        </w:trPr>
        <w:tc>
          <w:tcPr>
            <w:tcW w:w="5320" w:type="dxa"/>
            <w:gridSpan w:val="2"/>
            <w:shd w:val="clear" w:color="auto" w:fill="C7D3EA"/>
            <w:vAlign w:val="center"/>
            <w:hideMark/>
          </w:tcPr>
          <w:p w14:paraId="03FD561F" w14:textId="77777777" w:rsidR="004924E5" w:rsidRPr="0019314A" w:rsidRDefault="004924E5" w:rsidP="007E46C2">
            <w:pPr>
              <w:spacing w:after="0" w:line="240" w:lineRule="auto"/>
              <w:jc w:val="center"/>
              <w:rPr>
                <w:rFonts w:eastAsia="Times New Roman" w:cs="Arial"/>
                <w:color w:val="000000"/>
              </w:rPr>
            </w:pPr>
            <w:r w:rsidRPr="0019314A">
              <w:rPr>
                <w:rFonts w:eastAsia="Times New Roman" w:cs="Arial"/>
                <w:color w:val="000000"/>
              </w:rPr>
              <w:t>What best describes your use of a pharmacy? </w:t>
            </w:r>
          </w:p>
        </w:tc>
      </w:tr>
      <w:tr w:rsidR="004924E5" w:rsidRPr="0019314A" w14:paraId="564A85D8" w14:textId="77777777" w:rsidTr="007E46C2">
        <w:trPr>
          <w:trHeight w:val="300"/>
          <w:jc w:val="center"/>
        </w:trPr>
        <w:tc>
          <w:tcPr>
            <w:tcW w:w="4300" w:type="dxa"/>
            <w:shd w:val="clear" w:color="auto" w:fill="C7D3EA"/>
            <w:vAlign w:val="bottom"/>
            <w:hideMark/>
          </w:tcPr>
          <w:p w14:paraId="554C0098"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 </w:t>
            </w:r>
          </w:p>
        </w:tc>
        <w:tc>
          <w:tcPr>
            <w:tcW w:w="1020" w:type="dxa"/>
            <w:shd w:val="clear" w:color="auto" w:fill="C7D3EA"/>
            <w:vAlign w:val="bottom"/>
            <w:hideMark/>
          </w:tcPr>
          <w:p w14:paraId="5FBFA5DA" w14:textId="77777777" w:rsidR="004924E5" w:rsidRPr="0019314A" w:rsidRDefault="004924E5" w:rsidP="007E46C2">
            <w:pPr>
              <w:spacing w:after="0" w:line="240" w:lineRule="auto"/>
              <w:jc w:val="center"/>
              <w:rPr>
                <w:rFonts w:eastAsia="Times New Roman" w:cs="Arial"/>
                <w:color w:val="000000"/>
                <w:sz w:val="18"/>
                <w:szCs w:val="18"/>
              </w:rPr>
            </w:pPr>
            <w:r w:rsidRPr="0019314A">
              <w:rPr>
                <w:rFonts w:eastAsia="Times New Roman" w:cs="Arial"/>
                <w:color w:val="000000"/>
                <w:sz w:val="18"/>
                <w:szCs w:val="18"/>
              </w:rPr>
              <w:t>Percent</w:t>
            </w:r>
          </w:p>
        </w:tc>
      </w:tr>
      <w:tr w:rsidR="004924E5" w:rsidRPr="0019314A" w14:paraId="1F29AC90" w14:textId="77777777" w:rsidTr="007E46C2">
        <w:trPr>
          <w:trHeight w:val="532"/>
          <w:jc w:val="center"/>
        </w:trPr>
        <w:tc>
          <w:tcPr>
            <w:tcW w:w="4300" w:type="dxa"/>
            <w:shd w:val="clear" w:color="auto" w:fill="C7D3EA"/>
            <w:hideMark/>
          </w:tcPr>
          <w:p w14:paraId="03FD8DA8"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I use the same community pharmacy all of the time</w:t>
            </w:r>
          </w:p>
        </w:tc>
        <w:tc>
          <w:tcPr>
            <w:tcW w:w="1020" w:type="dxa"/>
            <w:shd w:val="clear" w:color="auto" w:fill="C7D3EA"/>
            <w:hideMark/>
          </w:tcPr>
          <w:p w14:paraId="313025DF"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60%</w:t>
            </w:r>
          </w:p>
        </w:tc>
      </w:tr>
      <w:tr w:rsidR="004924E5" w:rsidRPr="0019314A" w14:paraId="09C73FB8" w14:textId="77777777" w:rsidTr="007E46C2">
        <w:trPr>
          <w:trHeight w:val="532"/>
          <w:jc w:val="center"/>
        </w:trPr>
        <w:tc>
          <w:tcPr>
            <w:tcW w:w="4300" w:type="dxa"/>
            <w:shd w:val="clear" w:color="auto" w:fill="C7D3EA"/>
            <w:hideMark/>
          </w:tcPr>
          <w:p w14:paraId="1CCDCDE8"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I use the same community pharmacy most of the time</w:t>
            </w:r>
          </w:p>
        </w:tc>
        <w:tc>
          <w:tcPr>
            <w:tcW w:w="1020" w:type="dxa"/>
            <w:shd w:val="clear" w:color="auto" w:fill="C7D3EA"/>
            <w:hideMark/>
          </w:tcPr>
          <w:p w14:paraId="1E60FC99"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29%</w:t>
            </w:r>
          </w:p>
        </w:tc>
      </w:tr>
      <w:tr w:rsidR="004924E5" w:rsidRPr="0019314A" w14:paraId="2EDBD762" w14:textId="77777777" w:rsidTr="007E46C2">
        <w:trPr>
          <w:trHeight w:val="532"/>
          <w:jc w:val="center"/>
        </w:trPr>
        <w:tc>
          <w:tcPr>
            <w:tcW w:w="4300" w:type="dxa"/>
            <w:shd w:val="clear" w:color="auto" w:fill="C7D3EA"/>
            <w:hideMark/>
          </w:tcPr>
          <w:p w14:paraId="3BE429EB"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 xml:space="preserve"> I use several different community pharmacies</w:t>
            </w:r>
          </w:p>
        </w:tc>
        <w:tc>
          <w:tcPr>
            <w:tcW w:w="1020" w:type="dxa"/>
            <w:shd w:val="clear" w:color="auto" w:fill="C7D3EA"/>
            <w:hideMark/>
          </w:tcPr>
          <w:p w14:paraId="3B28FF6D"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8%</w:t>
            </w:r>
          </w:p>
        </w:tc>
      </w:tr>
      <w:tr w:rsidR="004924E5" w:rsidRPr="0019314A" w14:paraId="08DC852D" w14:textId="77777777" w:rsidTr="007E46C2">
        <w:trPr>
          <w:trHeight w:val="532"/>
          <w:jc w:val="center"/>
        </w:trPr>
        <w:tc>
          <w:tcPr>
            <w:tcW w:w="4300" w:type="dxa"/>
            <w:shd w:val="clear" w:color="auto" w:fill="C7D3EA"/>
            <w:hideMark/>
          </w:tcPr>
          <w:p w14:paraId="42E29BD3"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I use a combination of community pharmacies and online/internet pharmacies</w:t>
            </w:r>
          </w:p>
        </w:tc>
        <w:tc>
          <w:tcPr>
            <w:tcW w:w="1020" w:type="dxa"/>
            <w:shd w:val="clear" w:color="auto" w:fill="C7D3EA"/>
            <w:hideMark/>
          </w:tcPr>
          <w:p w14:paraId="0A80C399"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3%</w:t>
            </w:r>
          </w:p>
        </w:tc>
      </w:tr>
      <w:tr w:rsidR="004924E5" w:rsidRPr="0019314A" w14:paraId="29CF1F61" w14:textId="77777777" w:rsidTr="007E46C2">
        <w:trPr>
          <w:trHeight w:val="532"/>
          <w:jc w:val="center"/>
        </w:trPr>
        <w:tc>
          <w:tcPr>
            <w:tcW w:w="4300" w:type="dxa"/>
            <w:shd w:val="clear" w:color="auto" w:fill="C7D3EA"/>
            <w:hideMark/>
          </w:tcPr>
          <w:p w14:paraId="0EEDB27E"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I use online/internet pharmacies all of the time</w:t>
            </w:r>
          </w:p>
        </w:tc>
        <w:tc>
          <w:tcPr>
            <w:tcW w:w="1020" w:type="dxa"/>
            <w:shd w:val="clear" w:color="auto" w:fill="C7D3EA"/>
            <w:hideMark/>
          </w:tcPr>
          <w:p w14:paraId="4FE54684"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1%</w:t>
            </w:r>
          </w:p>
        </w:tc>
      </w:tr>
    </w:tbl>
    <w:p w14:paraId="09F39586" w14:textId="27747D43" w:rsidR="004924E5" w:rsidRDefault="00B0546E" w:rsidP="00B0546E">
      <w:pPr>
        <w:pStyle w:val="Caption"/>
      </w:pPr>
      <w:r>
        <w:t xml:space="preserve">Table </w:t>
      </w:r>
      <w:r>
        <w:fldChar w:fldCharType="begin"/>
      </w:r>
      <w:r>
        <w:instrText>SEQ Table \* ARABIC</w:instrText>
      </w:r>
      <w:r>
        <w:fldChar w:fldCharType="separate"/>
      </w:r>
      <w:r w:rsidR="00AC4C6D">
        <w:rPr>
          <w:noProof/>
        </w:rPr>
        <w:t>27</w:t>
      </w:r>
      <w:r>
        <w:fldChar w:fldCharType="end"/>
      </w:r>
      <w:r>
        <w:t>: Answers to the question “What best describes your use of a pharmacy?”</w:t>
      </w:r>
    </w:p>
    <w:p w14:paraId="60BBDB84" w14:textId="77777777" w:rsidR="004924E5" w:rsidRDefault="004924E5" w:rsidP="008D3B10">
      <w:pPr>
        <w:pStyle w:val="ListParagraph"/>
        <w:numPr>
          <w:ilvl w:val="0"/>
          <w:numId w:val="18"/>
        </w:numPr>
        <w:spacing w:before="0" w:after="160" w:line="259" w:lineRule="auto"/>
      </w:pPr>
      <w:r>
        <w:lastRenderedPageBreak/>
        <w:t xml:space="preserve">Employed respondents are more likely to </w:t>
      </w:r>
      <w:r w:rsidRPr="0019314A">
        <w:t>use a range of pharmacies</w:t>
      </w:r>
    </w:p>
    <w:p w14:paraId="21E14CBE" w14:textId="77777777" w:rsidR="004924E5" w:rsidRDefault="004924E5" w:rsidP="008D3B10">
      <w:pPr>
        <w:pStyle w:val="ListParagraph"/>
        <w:numPr>
          <w:ilvl w:val="0"/>
          <w:numId w:val="18"/>
        </w:numPr>
        <w:spacing w:before="0" w:after="160" w:line="259" w:lineRule="auto"/>
      </w:pPr>
      <w:r>
        <w:t>25–54-year-olds are less likely to use the same pharmacy all of the time</w:t>
      </w:r>
    </w:p>
    <w:p w14:paraId="5B49DD2E" w14:textId="77777777" w:rsidR="004924E5" w:rsidRDefault="004924E5" w:rsidP="008D3B10">
      <w:pPr>
        <w:pStyle w:val="ListParagraph"/>
        <w:numPr>
          <w:ilvl w:val="0"/>
          <w:numId w:val="18"/>
        </w:numPr>
        <w:spacing w:before="0" w:after="160" w:line="259" w:lineRule="auto"/>
      </w:pPr>
      <w:r>
        <w:t>75+ are more likely to use the same pharmacy</w:t>
      </w:r>
    </w:p>
    <w:p w14:paraId="3BB7047A" w14:textId="77777777" w:rsidR="004924E5" w:rsidRDefault="004924E5" w:rsidP="004924E5"/>
    <w:p w14:paraId="7733A332" w14:textId="77777777" w:rsidR="004924E5" w:rsidRPr="001F7D27" w:rsidRDefault="004924E5" w:rsidP="004924E5">
      <w:pPr>
        <w:rPr>
          <w:color w:val="477CBF"/>
        </w:rPr>
      </w:pPr>
      <w:r w:rsidRPr="001F7D27">
        <w:rPr>
          <w:color w:val="477CBF"/>
        </w:rPr>
        <w:t>What do people use the Pharmacy for?</w:t>
      </w:r>
    </w:p>
    <w:p w14:paraId="13089E11" w14:textId="77777777" w:rsidR="004924E5" w:rsidRDefault="004924E5" w:rsidP="004924E5">
      <w:r>
        <w:t xml:space="preserve">We gave respondents a range of pharmacy uses to choose from, and they could select as many as appropriate, hence the percentages add up to more than 100%. </w:t>
      </w:r>
    </w:p>
    <w:tbl>
      <w:tblPr>
        <w:tblW w:w="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180"/>
        <w:gridCol w:w="1020"/>
      </w:tblGrid>
      <w:tr w:rsidR="004924E5" w:rsidRPr="0019314A" w14:paraId="65CEC760" w14:textId="77777777" w:rsidTr="007E46C2">
        <w:trPr>
          <w:trHeight w:val="558"/>
          <w:jc w:val="center"/>
        </w:trPr>
        <w:tc>
          <w:tcPr>
            <w:tcW w:w="4180" w:type="dxa"/>
            <w:shd w:val="clear" w:color="auto" w:fill="C7D3EA"/>
            <w:hideMark/>
          </w:tcPr>
          <w:p w14:paraId="4CA4B10A" w14:textId="77777777" w:rsidR="004924E5" w:rsidRPr="0019314A" w:rsidRDefault="004924E5" w:rsidP="007E46C2">
            <w:pPr>
              <w:spacing w:after="0" w:line="240" w:lineRule="auto"/>
              <w:rPr>
                <w:rFonts w:eastAsia="Times New Roman" w:cs="Arial"/>
                <w:b/>
                <w:bCs/>
                <w:color w:val="000000"/>
                <w:sz w:val="18"/>
                <w:szCs w:val="18"/>
              </w:rPr>
            </w:pPr>
            <w:r w:rsidRPr="0019314A">
              <w:rPr>
                <w:rFonts w:eastAsia="Times New Roman" w:cs="Arial"/>
                <w:b/>
                <w:bCs/>
                <w:color w:val="000000"/>
                <w:sz w:val="18"/>
                <w:szCs w:val="18"/>
              </w:rPr>
              <w:t>For what reasons do you usually access a pharmacy?</w:t>
            </w:r>
          </w:p>
        </w:tc>
        <w:tc>
          <w:tcPr>
            <w:tcW w:w="1020" w:type="dxa"/>
            <w:shd w:val="clear" w:color="auto" w:fill="C7D3EA"/>
            <w:hideMark/>
          </w:tcPr>
          <w:p w14:paraId="6528B5AE"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w:t>
            </w:r>
          </w:p>
        </w:tc>
      </w:tr>
      <w:tr w:rsidR="004924E5" w:rsidRPr="0019314A" w14:paraId="36A9AE64" w14:textId="77777777" w:rsidTr="007E46C2">
        <w:trPr>
          <w:trHeight w:val="558"/>
          <w:jc w:val="center"/>
        </w:trPr>
        <w:tc>
          <w:tcPr>
            <w:tcW w:w="4180" w:type="dxa"/>
            <w:shd w:val="clear" w:color="auto" w:fill="C7D3EA"/>
            <w:hideMark/>
          </w:tcPr>
          <w:p w14:paraId="48C38EAF"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collect a prescription(s)</w:t>
            </w:r>
          </w:p>
        </w:tc>
        <w:tc>
          <w:tcPr>
            <w:tcW w:w="1020" w:type="dxa"/>
            <w:shd w:val="clear" w:color="auto" w:fill="C7D3EA"/>
            <w:hideMark/>
          </w:tcPr>
          <w:p w14:paraId="11459D21"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93%</w:t>
            </w:r>
          </w:p>
        </w:tc>
      </w:tr>
      <w:tr w:rsidR="004924E5" w:rsidRPr="0019314A" w14:paraId="54934BB8" w14:textId="77777777" w:rsidTr="007E46C2">
        <w:trPr>
          <w:trHeight w:val="558"/>
          <w:jc w:val="center"/>
        </w:trPr>
        <w:tc>
          <w:tcPr>
            <w:tcW w:w="4180" w:type="dxa"/>
            <w:shd w:val="clear" w:color="auto" w:fill="C7D3EA"/>
            <w:hideMark/>
          </w:tcPr>
          <w:p w14:paraId="2693FD09"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buy over the counter medicines (that do not need a prescription)</w:t>
            </w:r>
          </w:p>
        </w:tc>
        <w:tc>
          <w:tcPr>
            <w:tcW w:w="1020" w:type="dxa"/>
            <w:shd w:val="clear" w:color="auto" w:fill="C7D3EA"/>
            <w:hideMark/>
          </w:tcPr>
          <w:p w14:paraId="165EF96B"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57%</w:t>
            </w:r>
          </w:p>
        </w:tc>
      </w:tr>
      <w:tr w:rsidR="004924E5" w:rsidRPr="0019314A" w14:paraId="5CE401B6" w14:textId="77777777" w:rsidTr="007E46C2">
        <w:trPr>
          <w:trHeight w:val="558"/>
          <w:jc w:val="center"/>
        </w:trPr>
        <w:tc>
          <w:tcPr>
            <w:tcW w:w="4180" w:type="dxa"/>
            <w:shd w:val="clear" w:color="auto" w:fill="C7D3EA"/>
            <w:hideMark/>
          </w:tcPr>
          <w:p w14:paraId="31CCC77B"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have a vaccination including flu booster/Covid vaccines</w:t>
            </w:r>
          </w:p>
        </w:tc>
        <w:tc>
          <w:tcPr>
            <w:tcW w:w="1020" w:type="dxa"/>
            <w:shd w:val="clear" w:color="auto" w:fill="C7D3EA"/>
            <w:hideMark/>
          </w:tcPr>
          <w:p w14:paraId="180D9A45"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25%</w:t>
            </w:r>
          </w:p>
        </w:tc>
      </w:tr>
      <w:tr w:rsidR="004924E5" w:rsidRPr="0019314A" w14:paraId="5210604E" w14:textId="77777777" w:rsidTr="007E46C2">
        <w:trPr>
          <w:trHeight w:val="558"/>
          <w:jc w:val="center"/>
        </w:trPr>
        <w:tc>
          <w:tcPr>
            <w:tcW w:w="4180" w:type="dxa"/>
            <w:shd w:val="clear" w:color="auto" w:fill="C7D3EA"/>
            <w:hideMark/>
          </w:tcPr>
          <w:p w14:paraId="3222893F"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buy over-the-counter medical devices and other health-related products e.g plasters, bandages etc.</w:t>
            </w:r>
          </w:p>
        </w:tc>
        <w:tc>
          <w:tcPr>
            <w:tcW w:w="1020" w:type="dxa"/>
            <w:shd w:val="clear" w:color="auto" w:fill="C7D3EA"/>
            <w:hideMark/>
          </w:tcPr>
          <w:p w14:paraId="71F7FF77"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28%</w:t>
            </w:r>
          </w:p>
        </w:tc>
      </w:tr>
      <w:tr w:rsidR="004924E5" w:rsidRPr="0019314A" w14:paraId="0E5CD65F" w14:textId="77777777" w:rsidTr="007E46C2">
        <w:trPr>
          <w:trHeight w:val="558"/>
          <w:jc w:val="center"/>
        </w:trPr>
        <w:tc>
          <w:tcPr>
            <w:tcW w:w="4180" w:type="dxa"/>
            <w:shd w:val="clear" w:color="auto" w:fill="C7D3EA"/>
            <w:hideMark/>
          </w:tcPr>
          <w:p w14:paraId="594B75B6"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get advice and information on medication</w:t>
            </w:r>
          </w:p>
        </w:tc>
        <w:tc>
          <w:tcPr>
            <w:tcW w:w="1020" w:type="dxa"/>
            <w:shd w:val="clear" w:color="auto" w:fill="C7D3EA"/>
            <w:hideMark/>
          </w:tcPr>
          <w:p w14:paraId="3EEFBE1B"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31%</w:t>
            </w:r>
          </w:p>
        </w:tc>
      </w:tr>
      <w:tr w:rsidR="004924E5" w:rsidRPr="0019314A" w14:paraId="0F408C43" w14:textId="77777777" w:rsidTr="007E46C2">
        <w:trPr>
          <w:trHeight w:val="558"/>
          <w:jc w:val="center"/>
        </w:trPr>
        <w:tc>
          <w:tcPr>
            <w:tcW w:w="4180" w:type="dxa"/>
            <w:shd w:val="clear" w:color="auto" w:fill="C7D3EA"/>
            <w:hideMark/>
          </w:tcPr>
          <w:p w14:paraId="1A98B5B5"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get advice and information on healthy lifestyles and disease prevention</w:t>
            </w:r>
          </w:p>
        </w:tc>
        <w:tc>
          <w:tcPr>
            <w:tcW w:w="1020" w:type="dxa"/>
            <w:shd w:val="clear" w:color="auto" w:fill="C7D3EA"/>
            <w:hideMark/>
          </w:tcPr>
          <w:p w14:paraId="6F7FA742"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3%</w:t>
            </w:r>
          </w:p>
        </w:tc>
      </w:tr>
      <w:tr w:rsidR="004924E5" w:rsidRPr="0019314A" w14:paraId="3C95BF97" w14:textId="77777777" w:rsidTr="007E46C2">
        <w:trPr>
          <w:trHeight w:val="558"/>
          <w:jc w:val="center"/>
        </w:trPr>
        <w:tc>
          <w:tcPr>
            <w:tcW w:w="4180" w:type="dxa"/>
            <w:shd w:val="clear" w:color="auto" w:fill="C7D3EA"/>
            <w:hideMark/>
          </w:tcPr>
          <w:p w14:paraId="3A518E6D"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get Covid related advice/information</w:t>
            </w:r>
          </w:p>
        </w:tc>
        <w:tc>
          <w:tcPr>
            <w:tcW w:w="1020" w:type="dxa"/>
            <w:shd w:val="clear" w:color="auto" w:fill="C7D3EA"/>
            <w:hideMark/>
          </w:tcPr>
          <w:p w14:paraId="65D1CC41"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3%</w:t>
            </w:r>
          </w:p>
        </w:tc>
      </w:tr>
      <w:tr w:rsidR="004924E5" w:rsidRPr="0019314A" w14:paraId="68331DB6" w14:textId="77777777" w:rsidTr="007E46C2">
        <w:trPr>
          <w:trHeight w:val="558"/>
          <w:jc w:val="center"/>
        </w:trPr>
        <w:tc>
          <w:tcPr>
            <w:tcW w:w="4180" w:type="dxa"/>
            <w:shd w:val="clear" w:color="auto" w:fill="C7D3EA"/>
            <w:hideMark/>
          </w:tcPr>
          <w:p w14:paraId="57E3E5DC"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To access a NHS or public health service</w:t>
            </w:r>
          </w:p>
        </w:tc>
        <w:tc>
          <w:tcPr>
            <w:tcW w:w="1020" w:type="dxa"/>
            <w:shd w:val="clear" w:color="auto" w:fill="C7D3EA"/>
            <w:hideMark/>
          </w:tcPr>
          <w:p w14:paraId="5CF6193D"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6%</w:t>
            </w:r>
          </w:p>
        </w:tc>
      </w:tr>
      <w:tr w:rsidR="004924E5" w:rsidRPr="0019314A" w14:paraId="46A56798" w14:textId="77777777" w:rsidTr="007E46C2">
        <w:trPr>
          <w:trHeight w:val="558"/>
          <w:jc w:val="center"/>
        </w:trPr>
        <w:tc>
          <w:tcPr>
            <w:tcW w:w="4180" w:type="dxa"/>
            <w:shd w:val="clear" w:color="auto" w:fill="C7D3EA"/>
            <w:hideMark/>
          </w:tcPr>
          <w:p w14:paraId="0C07C62F" w14:textId="77777777" w:rsidR="004924E5" w:rsidRPr="0019314A" w:rsidRDefault="004924E5" w:rsidP="007E46C2">
            <w:pPr>
              <w:spacing w:after="0" w:line="240" w:lineRule="auto"/>
              <w:rPr>
                <w:rFonts w:eastAsia="Times New Roman" w:cs="Arial"/>
                <w:color w:val="000000"/>
                <w:sz w:val="18"/>
                <w:szCs w:val="18"/>
              </w:rPr>
            </w:pPr>
            <w:r w:rsidRPr="0019314A">
              <w:rPr>
                <w:rFonts w:eastAsia="Times New Roman" w:cs="Arial"/>
                <w:color w:val="000000"/>
                <w:sz w:val="18"/>
                <w:szCs w:val="18"/>
              </w:rPr>
              <w:t>Other</w:t>
            </w:r>
          </w:p>
        </w:tc>
        <w:tc>
          <w:tcPr>
            <w:tcW w:w="1020" w:type="dxa"/>
            <w:shd w:val="clear" w:color="auto" w:fill="C7D3EA"/>
            <w:hideMark/>
          </w:tcPr>
          <w:p w14:paraId="214A9E3E" w14:textId="77777777" w:rsidR="004924E5" w:rsidRPr="0019314A" w:rsidRDefault="004924E5" w:rsidP="007E46C2">
            <w:pPr>
              <w:spacing w:after="0" w:line="240" w:lineRule="auto"/>
              <w:jc w:val="right"/>
              <w:rPr>
                <w:rFonts w:eastAsia="Times New Roman" w:cs="Arial"/>
                <w:color w:val="000000"/>
                <w:sz w:val="18"/>
                <w:szCs w:val="18"/>
              </w:rPr>
            </w:pPr>
            <w:r w:rsidRPr="0019314A">
              <w:rPr>
                <w:rFonts w:eastAsia="Times New Roman" w:cs="Arial"/>
                <w:color w:val="000000"/>
                <w:sz w:val="18"/>
                <w:szCs w:val="18"/>
              </w:rPr>
              <w:t>6%</w:t>
            </w:r>
          </w:p>
        </w:tc>
      </w:tr>
    </w:tbl>
    <w:p w14:paraId="52841F77" w14:textId="7BCFFBF7" w:rsidR="004924E5" w:rsidRDefault="00B0546E" w:rsidP="00B0546E">
      <w:pPr>
        <w:pStyle w:val="Caption"/>
      </w:pPr>
      <w:r>
        <w:t xml:space="preserve">Table </w:t>
      </w:r>
      <w:r>
        <w:fldChar w:fldCharType="begin"/>
      </w:r>
      <w:r>
        <w:instrText>SEQ Table \* ARABIC</w:instrText>
      </w:r>
      <w:r>
        <w:fldChar w:fldCharType="separate"/>
      </w:r>
      <w:r w:rsidR="00AC4C6D">
        <w:rPr>
          <w:noProof/>
        </w:rPr>
        <w:t>28</w:t>
      </w:r>
      <w:r>
        <w:fldChar w:fldCharType="end"/>
      </w:r>
      <w:r>
        <w:t>: Answers to the question “For what reasons do you usually access a pharmacy?”</w:t>
      </w:r>
    </w:p>
    <w:p w14:paraId="31B7EBA0" w14:textId="77777777" w:rsidR="004924E5" w:rsidRDefault="004924E5" w:rsidP="008D3B10">
      <w:pPr>
        <w:pStyle w:val="ListParagraph"/>
        <w:numPr>
          <w:ilvl w:val="0"/>
          <w:numId w:val="19"/>
        </w:numPr>
        <w:spacing w:before="0" w:after="160" w:line="259" w:lineRule="auto"/>
      </w:pPr>
      <w:r>
        <w:t xml:space="preserve">Rugby respondents were more likely to </w:t>
      </w:r>
      <w:r w:rsidRPr="0019314A">
        <w:t>buy over-the-counter medical devices and other health-related products e.g., plasters, bandages etc.</w:t>
      </w:r>
    </w:p>
    <w:p w14:paraId="77D73954" w14:textId="77777777" w:rsidR="004924E5" w:rsidRDefault="004924E5" w:rsidP="008D3B10">
      <w:pPr>
        <w:pStyle w:val="ListParagraph"/>
        <w:numPr>
          <w:ilvl w:val="0"/>
          <w:numId w:val="19"/>
        </w:numPr>
        <w:spacing w:before="0" w:after="160" w:line="259" w:lineRule="auto"/>
      </w:pPr>
      <w:r>
        <w:t>Coventry respondents were more likely to</w:t>
      </w:r>
      <w:r w:rsidRPr="0019314A">
        <w:t xml:space="preserve"> access a</w:t>
      </w:r>
      <w:r>
        <w:t>n</w:t>
      </w:r>
      <w:r w:rsidRPr="0019314A">
        <w:t xml:space="preserve"> NHS or public health service</w:t>
      </w:r>
    </w:p>
    <w:p w14:paraId="16BF546A" w14:textId="77777777" w:rsidR="004924E5" w:rsidRDefault="004924E5" w:rsidP="008D3B10">
      <w:pPr>
        <w:pStyle w:val="ListParagraph"/>
        <w:numPr>
          <w:ilvl w:val="0"/>
          <w:numId w:val="19"/>
        </w:numPr>
        <w:spacing w:before="0" w:after="160" w:line="259" w:lineRule="auto"/>
      </w:pPr>
      <w:r>
        <w:t>Others noted were mostly Blood Tests which wasn’t offered as an option in the survey</w:t>
      </w:r>
    </w:p>
    <w:p w14:paraId="45161497" w14:textId="77777777" w:rsidR="004924E5" w:rsidRDefault="004924E5" w:rsidP="004924E5"/>
    <w:p w14:paraId="7B20B387" w14:textId="77777777" w:rsidR="004924E5" w:rsidRPr="001F7D27" w:rsidRDefault="004924E5" w:rsidP="004924E5">
      <w:pPr>
        <w:rPr>
          <w:color w:val="477CBF"/>
        </w:rPr>
      </w:pPr>
      <w:r w:rsidRPr="001F7D27">
        <w:rPr>
          <w:color w:val="477CBF"/>
        </w:rPr>
        <w:t>Most important services</w:t>
      </w:r>
    </w:p>
    <w:p w14:paraId="3094379B" w14:textId="77777777" w:rsidR="004924E5" w:rsidRDefault="004924E5" w:rsidP="004924E5">
      <w:r>
        <w:t xml:space="preserve">Respondents were asked to choose their top 3 services most important to them. </w:t>
      </w:r>
    </w:p>
    <w:tbl>
      <w:tblPr>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020"/>
      </w:tblGrid>
      <w:tr w:rsidR="004924E5" w:rsidRPr="00B52F69" w14:paraId="6C1A36BC" w14:textId="77777777" w:rsidTr="007E46C2">
        <w:trPr>
          <w:trHeight w:val="583"/>
          <w:jc w:val="center"/>
        </w:trPr>
        <w:tc>
          <w:tcPr>
            <w:tcW w:w="5580" w:type="dxa"/>
            <w:gridSpan w:val="2"/>
            <w:shd w:val="clear" w:color="auto" w:fill="C7D3EA"/>
            <w:hideMark/>
          </w:tcPr>
          <w:p w14:paraId="41260EFF" w14:textId="77777777" w:rsidR="004924E5" w:rsidRPr="00B52F69" w:rsidRDefault="004924E5" w:rsidP="007E46C2">
            <w:pPr>
              <w:spacing w:after="0" w:line="240" w:lineRule="auto"/>
              <w:jc w:val="center"/>
              <w:rPr>
                <w:rFonts w:eastAsia="Times New Roman" w:cs="Arial"/>
                <w:color w:val="000000"/>
                <w:sz w:val="18"/>
                <w:szCs w:val="18"/>
              </w:rPr>
            </w:pPr>
            <w:r w:rsidRPr="00B52F69">
              <w:rPr>
                <w:rFonts w:eastAsia="Times New Roman" w:cs="Arial"/>
                <w:color w:val="000000"/>
                <w:sz w:val="18"/>
                <w:szCs w:val="18"/>
              </w:rPr>
              <w:t> When thinking about your pharmacy, what is most important to you?</w:t>
            </w:r>
          </w:p>
        </w:tc>
      </w:tr>
      <w:tr w:rsidR="004924E5" w:rsidRPr="00B52F69" w14:paraId="1B0027DB" w14:textId="77777777" w:rsidTr="007E46C2">
        <w:trPr>
          <w:trHeight w:val="318"/>
          <w:jc w:val="center"/>
        </w:trPr>
        <w:tc>
          <w:tcPr>
            <w:tcW w:w="4560" w:type="dxa"/>
            <w:shd w:val="clear" w:color="auto" w:fill="C7D3EA"/>
            <w:vAlign w:val="bottom"/>
            <w:hideMark/>
          </w:tcPr>
          <w:p w14:paraId="44B2ABEE" w14:textId="77777777" w:rsidR="004924E5" w:rsidRPr="00B52F69" w:rsidRDefault="004924E5" w:rsidP="007E46C2">
            <w:pPr>
              <w:spacing w:after="0" w:line="240" w:lineRule="auto"/>
              <w:jc w:val="center"/>
              <w:rPr>
                <w:rFonts w:eastAsia="Times New Roman" w:cs="Arial"/>
                <w:sz w:val="36"/>
                <w:szCs w:val="36"/>
              </w:rPr>
            </w:pPr>
            <w:r w:rsidRPr="00B52F69">
              <w:rPr>
                <w:rFonts w:eastAsia="Times New Roman" w:cs="Arial"/>
                <w:sz w:val="36"/>
                <w:szCs w:val="36"/>
              </w:rPr>
              <w:lastRenderedPageBreak/>
              <w:t> </w:t>
            </w:r>
          </w:p>
        </w:tc>
        <w:tc>
          <w:tcPr>
            <w:tcW w:w="1020" w:type="dxa"/>
            <w:shd w:val="clear" w:color="auto" w:fill="C7D3EA"/>
            <w:hideMark/>
          </w:tcPr>
          <w:p w14:paraId="157A9704"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w:t>
            </w:r>
          </w:p>
        </w:tc>
      </w:tr>
      <w:tr w:rsidR="004924E5" w:rsidRPr="00B52F69" w14:paraId="0A3DA30D" w14:textId="77777777" w:rsidTr="007E46C2">
        <w:trPr>
          <w:trHeight w:val="318"/>
          <w:jc w:val="center"/>
        </w:trPr>
        <w:tc>
          <w:tcPr>
            <w:tcW w:w="4560" w:type="dxa"/>
            <w:shd w:val="clear" w:color="auto" w:fill="C7D3EA"/>
            <w:vAlign w:val="bottom"/>
            <w:hideMark/>
          </w:tcPr>
          <w:p w14:paraId="7005C742"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Efficient and quick service</w:t>
            </w:r>
          </w:p>
        </w:tc>
        <w:tc>
          <w:tcPr>
            <w:tcW w:w="1020" w:type="dxa"/>
            <w:shd w:val="clear" w:color="auto" w:fill="C7D3EA"/>
            <w:vAlign w:val="bottom"/>
            <w:hideMark/>
          </w:tcPr>
          <w:p w14:paraId="28BA32DA"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74%</w:t>
            </w:r>
          </w:p>
        </w:tc>
      </w:tr>
      <w:tr w:rsidR="004924E5" w:rsidRPr="00B52F69" w14:paraId="5AD98E68" w14:textId="77777777" w:rsidTr="007E46C2">
        <w:trPr>
          <w:trHeight w:val="318"/>
          <w:jc w:val="center"/>
        </w:trPr>
        <w:tc>
          <w:tcPr>
            <w:tcW w:w="4560" w:type="dxa"/>
            <w:shd w:val="clear" w:color="auto" w:fill="C7D3EA"/>
            <w:vAlign w:val="bottom"/>
            <w:hideMark/>
          </w:tcPr>
          <w:p w14:paraId="79A4D2A1"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Location of pharmacy</w:t>
            </w:r>
          </w:p>
        </w:tc>
        <w:tc>
          <w:tcPr>
            <w:tcW w:w="1020" w:type="dxa"/>
            <w:shd w:val="clear" w:color="auto" w:fill="C7D3EA"/>
            <w:vAlign w:val="bottom"/>
            <w:hideMark/>
          </w:tcPr>
          <w:p w14:paraId="4331716F"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45%</w:t>
            </w:r>
          </w:p>
        </w:tc>
      </w:tr>
      <w:tr w:rsidR="004924E5" w:rsidRPr="00B52F69" w14:paraId="7C11A79C" w14:textId="77777777" w:rsidTr="007E46C2">
        <w:trPr>
          <w:trHeight w:val="318"/>
          <w:jc w:val="center"/>
        </w:trPr>
        <w:tc>
          <w:tcPr>
            <w:tcW w:w="4560" w:type="dxa"/>
            <w:shd w:val="clear" w:color="auto" w:fill="C7D3EA"/>
            <w:vAlign w:val="bottom"/>
            <w:hideMark/>
          </w:tcPr>
          <w:p w14:paraId="673918E0"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Friendly staff</w:t>
            </w:r>
          </w:p>
        </w:tc>
        <w:tc>
          <w:tcPr>
            <w:tcW w:w="1020" w:type="dxa"/>
            <w:shd w:val="clear" w:color="auto" w:fill="C7D3EA"/>
            <w:vAlign w:val="bottom"/>
            <w:hideMark/>
          </w:tcPr>
          <w:p w14:paraId="147C3533"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43%</w:t>
            </w:r>
          </w:p>
        </w:tc>
      </w:tr>
      <w:tr w:rsidR="004924E5" w:rsidRPr="00B52F69" w14:paraId="2D04F808" w14:textId="77777777" w:rsidTr="007E46C2">
        <w:trPr>
          <w:trHeight w:val="318"/>
          <w:jc w:val="center"/>
        </w:trPr>
        <w:tc>
          <w:tcPr>
            <w:tcW w:w="4560" w:type="dxa"/>
            <w:shd w:val="clear" w:color="auto" w:fill="C7D3EA"/>
            <w:vAlign w:val="bottom"/>
            <w:hideMark/>
          </w:tcPr>
          <w:p w14:paraId="4C5813D1"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Know and trust the Pharmacist/Team</w:t>
            </w:r>
          </w:p>
        </w:tc>
        <w:tc>
          <w:tcPr>
            <w:tcW w:w="1020" w:type="dxa"/>
            <w:shd w:val="clear" w:color="auto" w:fill="C7D3EA"/>
            <w:vAlign w:val="bottom"/>
            <w:hideMark/>
          </w:tcPr>
          <w:p w14:paraId="69FD1469"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32%</w:t>
            </w:r>
          </w:p>
        </w:tc>
      </w:tr>
      <w:tr w:rsidR="004924E5" w:rsidRPr="00B52F69" w14:paraId="26CFFED5" w14:textId="77777777" w:rsidTr="007E46C2">
        <w:trPr>
          <w:trHeight w:val="318"/>
          <w:jc w:val="center"/>
        </w:trPr>
        <w:tc>
          <w:tcPr>
            <w:tcW w:w="4560" w:type="dxa"/>
            <w:shd w:val="clear" w:color="auto" w:fill="C7D3EA"/>
            <w:vAlign w:val="bottom"/>
            <w:hideMark/>
          </w:tcPr>
          <w:p w14:paraId="32AC165C"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Late opening hours</w:t>
            </w:r>
          </w:p>
        </w:tc>
        <w:tc>
          <w:tcPr>
            <w:tcW w:w="1020" w:type="dxa"/>
            <w:shd w:val="clear" w:color="auto" w:fill="C7D3EA"/>
            <w:vAlign w:val="bottom"/>
            <w:hideMark/>
          </w:tcPr>
          <w:p w14:paraId="0EE29DE4"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24%</w:t>
            </w:r>
          </w:p>
        </w:tc>
      </w:tr>
      <w:tr w:rsidR="004924E5" w:rsidRPr="00B52F69" w14:paraId="5DD60FCA" w14:textId="77777777" w:rsidTr="007E46C2">
        <w:trPr>
          <w:trHeight w:val="318"/>
          <w:jc w:val="center"/>
        </w:trPr>
        <w:tc>
          <w:tcPr>
            <w:tcW w:w="4560" w:type="dxa"/>
            <w:shd w:val="clear" w:color="auto" w:fill="C7D3EA"/>
            <w:vAlign w:val="bottom"/>
            <w:hideMark/>
          </w:tcPr>
          <w:p w14:paraId="14700467"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Pharmacist takes time to listen and talk to me</w:t>
            </w:r>
          </w:p>
        </w:tc>
        <w:tc>
          <w:tcPr>
            <w:tcW w:w="1020" w:type="dxa"/>
            <w:shd w:val="clear" w:color="auto" w:fill="C7D3EA"/>
            <w:vAlign w:val="bottom"/>
            <w:hideMark/>
          </w:tcPr>
          <w:p w14:paraId="2865A0C9"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19%</w:t>
            </w:r>
          </w:p>
        </w:tc>
      </w:tr>
      <w:tr w:rsidR="004924E5" w:rsidRPr="00B52F69" w14:paraId="2D09AF5D" w14:textId="77777777" w:rsidTr="007E46C2">
        <w:trPr>
          <w:trHeight w:val="318"/>
          <w:jc w:val="center"/>
        </w:trPr>
        <w:tc>
          <w:tcPr>
            <w:tcW w:w="4560" w:type="dxa"/>
            <w:shd w:val="clear" w:color="auto" w:fill="C7D3EA"/>
            <w:vAlign w:val="bottom"/>
            <w:hideMark/>
          </w:tcPr>
          <w:p w14:paraId="7828B13D"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Services available</w:t>
            </w:r>
          </w:p>
        </w:tc>
        <w:tc>
          <w:tcPr>
            <w:tcW w:w="1020" w:type="dxa"/>
            <w:shd w:val="clear" w:color="auto" w:fill="C7D3EA"/>
            <w:vAlign w:val="bottom"/>
            <w:hideMark/>
          </w:tcPr>
          <w:p w14:paraId="4C2470D6"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13%</w:t>
            </w:r>
          </w:p>
        </w:tc>
      </w:tr>
      <w:tr w:rsidR="004924E5" w:rsidRPr="00B52F69" w14:paraId="576B630A" w14:textId="77777777" w:rsidTr="007E46C2">
        <w:trPr>
          <w:trHeight w:val="318"/>
          <w:jc w:val="center"/>
        </w:trPr>
        <w:tc>
          <w:tcPr>
            <w:tcW w:w="4560" w:type="dxa"/>
            <w:shd w:val="clear" w:color="auto" w:fill="C7D3EA"/>
            <w:vAlign w:val="bottom"/>
            <w:hideMark/>
          </w:tcPr>
          <w:p w14:paraId="679952A8"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Availability of urgent advice</w:t>
            </w:r>
          </w:p>
        </w:tc>
        <w:tc>
          <w:tcPr>
            <w:tcW w:w="1020" w:type="dxa"/>
            <w:shd w:val="clear" w:color="auto" w:fill="C7D3EA"/>
            <w:vAlign w:val="bottom"/>
            <w:hideMark/>
          </w:tcPr>
          <w:p w14:paraId="0004E900"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10%</w:t>
            </w:r>
          </w:p>
        </w:tc>
      </w:tr>
      <w:tr w:rsidR="004924E5" w:rsidRPr="00B52F69" w14:paraId="600F3AA5" w14:textId="77777777" w:rsidTr="007E46C2">
        <w:trPr>
          <w:trHeight w:val="318"/>
          <w:jc w:val="center"/>
        </w:trPr>
        <w:tc>
          <w:tcPr>
            <w:tcW w:w="4560" w:type="dxa"/>
            <w:shd w:val="clear" w:color="auto" w:fill="C7D3EA"/>
            <w:vAlign w:val="bottom"/>
            <w:hideMark/>
          </w:tcPr>
          <w:p w14:paraId="4DC35FC2"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Home delivery of medication</w:t>
            </w:r>
          </w:p>
        </w:tc>
        <w:tc>
          <w:tcPr>
            <w:tcW w:w="1020" w:type="dxa"/>
            <w:shd w:val="clear" w:color="auto" w:fill="C7D3EA"/>
            <w:vAlign w:val="bottom"/>
            <w:hideMark/>
          </w:tcPr>
          <w:p w14:paraId="5B3D771B"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9%</w:t>
            </w:r>
          </w:p>
        </w:tc>
      </w:tr>
      <w:tr w:rsidR="004924E5" w:rsidRPr="00B52F69" w14:paraId="313D4534" w14:textId="77777777" w:rsidTr="007E46C2">
        <w:trPr>
          <w:trHeight w:val="318"/>
          <w:jc w:val="center"/>
        </w:trPr>
        <w:tc>
          <w:tcPr>
            <w:tcW w:w="4560" w:type="dxa"/>
            <w:shd w:val="clear" w:color="auto" w:fill="C7D3EA"/>
            <w:vAlign w:val="bottom"/>
            <w:hideMark/>
          </w:tcPr>
          <w:p w14:paraId="4349C51A"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Other (please specify)</w:t>
            </w:r>
          </w:p>
        </w:tc>
        <w:tc>
          <w:tcPr>
            <w:tcW w:w="1020" w:type="dxa"/>
            <w:shd w:val="clear" w:color="auto" w:fill="C7D3EA"/>
            <w:vAlign w:val="bottom"/>
            <w:hideMark/>
          </w:tcPr>
          <w:p w14:paraId="001B4546"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3%</w:t>
            </w:r>
          </w:p>
        </w:tc>
      </w:tr>
      <w:tr w:rsidR="004924E5" w:rsidRPr="00B52F69" w14:paraId="6D5A7538" w14:textId="77777777" w:rsidTr="007E46C2">
        <w:trPr>
          <w:trHeight w:val="318"/>
          <w:jc w:val="center"/>
        </w:trPr>
        <w:tc>
          <w:tcPr>
            <w:tcW w:w="4560" w:type="dxa"/>
            <w:shd w:val="clear" w:color="auto" w:fill="C7D3EA"/>
            <w:vAlign w:val="bottom"/>
            <w:hideMark/>
          </w:tcPr>
          <w:p w14:paraId="1694AD44" w14:textId="77777777" w:rsidR="004924E5" w:rsidRPr="00B52F69" w:rsidRDefault="004924E5" w:rsidP="007E46C2">
            <w:pPr>
              <w:spacing w:after="0" w:line="240" w:lineRule="auto"/>
              <w:rPr>
                <w:rFonts w:eastAsia="Times New Roman" w:cs="Arial"/>
                <w:color w:val="000000"/>
                <w:sz w:val="18"/>
                <w:szCs w:val="18"/>
              </w:rPr>
            </w:pPr>
            <w:r w:rsidRPr="00B52F69">
              <w:rPr>
                <w:rFonts w:eastAsia="Times New Roman" w:cs="Arial"/>
                <w:color w:val="000000"/>
                <w:sz w:val="18"/>
                <w:szCs w:val="18"/>
              </w:rPr>
              <w:t>Multiple languages spoken</w:t>
            </w:r>
          </w:p>
        </w:tc>
        <w:tc>
          <w:tcPr>
            <w:tcW w:w="1020" w:type="dxa"/>
            <w:shd w:val="clear" w:color="auto" w:fill="C7D3EA"/>
            <w:vAlign w:val="bottom"/>
            <w:hideMark/>
          </w:tcPr>
          <w:p w14:paraId="60C7D59B" w14:textId="77777777" w:rsidR="004924E5" w:rsidRPr="00B52F69" w:rsidRDefault="004924E5" w:rsidP="007E46C2">
            <w:pPr>
              <w:spacing w:after="0" w:line="240" w:lineRule="auto"/>
              <w:jc w:val="right"/>
              <w:rPr>
                <w:rFonts w:eastAsia="Times New Roman" w:cs="Arial"/>
                <w:color w:val="000000"/>
                <w:sz w:val="18"/>
                <w:szCs w:val="18"/>
              </w:rPr>
            </w:pPr>
            <w:r w:rsidRPr="00B52F69">
              <w:rPr>
                <w:rFonts w:eastAsia="Times New Roman" w:cs="Arial"/>
                <w:color w:val="000000"/>
                <w:sz w:val="18"/>
                <w:szCs w:val="18"/>
              </w:rPr>
              <w:t>0%</w:t>
            </w:r>
          </w:p>
        </w:tc>
      </w:tr>
    </w:tbl>
    <w:p w14:paraId="424FE459" w14:textId="7B117FE4" w:rsidR="004924E5" w:rsidRDefault="00B0546E" w:rsidP="00B0546E">
      <w:pPr>
        <w:pStyle w:val="Caption"/>
      </w:pPr>
      <w:r>
        <w:t xml:space="preserve">Table </w:t>
      </w:r>
      <w:r>
        <w:fldChar w:fldCharType="begin"/>
      </w:r>
      <w:r>
        <w:instrText>SEQ Table \* ARABIC</w:instrText>
      </w:r>
      <w:r>
        <w:fldChar w:fldCharType="separate"/>
      </w:r>
      <w:r w:rsidR="00AC4C6D">
        <w:rPr>
          <w:noProof/>
        </w:rPr>
        <w:t>29</w:t>
      </w:r>
      <w:r>
        <w:fldChar w:fldCharType="end"/>
      </w:r>
      <w:r>
        <w:t>: Answers to the question “When thinking about your pharmacy, what is most important to you?”</w:t>
      </w:r>
    </w:p>
    <w:p w14:paraId="0DF7FFAE" w14:textId="77777777" w:rsidR="004924E5" w:rsidRDefault="004924E5" w:rsidP="008D3B10">
      <w:pPr>
        <w:pStyle w:val="ListParagraph"/>
        <w:numPr>
          <w:ilvl w:val="0"/>
          <w:numId w:val="20"/>
        </w:numPr>
        <w:spacing w:before="0" w:after="160" w:line="259" w:lineRule="auto"/>
      </w:pPr>
      <w:r>
        <w:t>Respondents from Coventry were more likely to value late opening</w:t>
      </w:r>
    </w:p>
    <w:p w14:paraId="7E18656A" w14:textId="77777777" w:rsidR="004924E5" w:rsidRDefault="004924E5" w:rsidP="008D3B10">
      <w:pPr>
        <w:pStyle w:val="ListParagraph"/>
        <w:numPr>
          <w:ilvl w:val="0"/>
          <w:numId w:val="20"/>
        </w:numPr>
        <w:spacing w:before="0" w:after="160" w:line="259" w:lineRule="auto"/>
      </w:pPr>
      <w:r>
        <w:t>Respondents from Stratford District were less likely to value late opening</w:t>
      </w:r>
    </w:p>
    <w:p w14:paraId="08F77DFC" w14:textId="77777777" w:rsidR="004924E5" w:rsidRDefault="004924E5" w:rsidP="008D3B10">
      <w:pPr>
        <w:pStyle w:val="ListParagraph"/>
        <w:numPr>
          <w:ilvl w:val="0"/>
          <w:numId w:val="20"/>
        </w:numPr>
        <w:spacing w:before="0" w:after="160" w:line="259" w:lineRule="auto"/>
      </w:pPr>
      <w:r>
        <w:t>Employed people value late opening</w:t>
      </w:r>
    </w:p>
    <w:p w14:paraId="19A8E45F" w14:textId="77777777" w:rsidR="004924E5" w:rsidRDefault="004924E5" w:rsidP="008D3B10">
      <w:pPr>
        <w:pStyle w:val="ListParagraph"/>
        <w:numPr>
          <w:ilvl w:val="0"/>
          <w:numId w:val="20"/>
        </w:numPr>
        <w:spacing w:before="0" w:after="160" w:line="259" w:lineRule="auto"/>
      </w:pPr>
      <w:r>
        <w:t>Retired people were less likely to value late opening</w:t>
      </w:r>
    </w:p>
    <w:p w14:paraId="7F4DD059" w14:textId="77777777" w:rsidR="004924E5" w:rsidRDefault="004924E5" w:rsidP="008D3B10">
      <w:pPr>
        <w:pStyle w:val="ListParagraph"/>
        <w:numPr>
          <w:ilvl w:val="0"/>
          <w:numId w:val="20"/>
        </w:numPr>
        <w:spacing w:before="0" w:after="160" w:line="259" w:lineRule="auto"/>
      </w:pPr>
      <w:r>
        <w:t>75+ were less likely to value late opening</w:t>
      </w:r>
    </w:p>
    <w:p w14:paraId="673EDD3E" w14:textId="77777777" w:rsidR="004924E5" w:rsidRDefault="004924E5" w:rsidP="008D3B10">
      <w:pPr>
        <w:pStyle w:val="ListParagraph"/>
        <w:numPr>
          <w:ilvl w:val="0"/>
          <w:numId w:val="20"/>
        </w:numPr>
        <w:spacing w:before="0" w:after="160" w:line="259" w:lineRule="auto"/>
      </w:pPr>
      <w:r>
        <w:t>75+ were more likely to value home delivery</w:t>
      </w:r>
    </w:p>
    <w:p w14:paraId="71BA778D" w14:textId="77777777" w:rsidR="004924E5" w:rsidRDefault="004924E5" w:rsidP="008D3B10">
      <w:pPr>
        <w:pStyle w:val="ListParagraph"/>
        <w:numPr>
          <w:ilvl w:val="0"/>
          <w:numId w:val="20"/>
        </w:numPr>
        <w:spacing w:before="0" w:after="160" w:line="259" w:lineRule="auto"/>
      </w:pPr>
      <w:r>
        <w:t>Disabled respondents were more likely to value home delivery</w:t>
      </w:r>
    </w:p>
    <w:p w14:paraId="198948DF" w14:textId="77777777" w:rsidR="004924E5" w:rsidRDefault="004924E5" w:rsidP="004924E5"/>
    <w:p w14:paraId="42BD552C" w14:textId="77777777" w:rsidR="004924E5" w:rsidRPr="001F7D27" w:rsidRDefault="004924E5" w:rsidP="004924E5">
      <w:pPr>
        <w:rPr>
          <w:color w:val="477CBF"/>
        </w:rPr>
      </w:pPr>
      <w:r w:rsidRPr="001F7D27">
        <w:rPr>
          <w:color w:val="477CBF"/>
        </w:rPr>
        <w:t>Use of Services</w:t>
      </w:r>
    </w:p>
    <w:p w14:paraId="747961BB" w14:textId="77777777" w:rsidR="004924E5" w:rsidRDefault="004924E5" w:rsidP="004924E5">
      <w:r>
        <w:t xml:space="preserve">Respondents were asked to identify from a list of services those they are </w:t>
      </w:r>
      <w:r w:rsidRPr="004874BB">
        <w:t xml:space="preserve">aware of, </w:t>
      </w:r>
      <w:r>
        <w:t xml:space="preserve">those </w:t>
      </w:r>
      <w:r w:rsidRPr="004874BB">
        <w:t xml:space="preserve">which </w:t>
      </w:r>
      <w:r>
        <w:t>they</w:t>
      </w:r>
      <w:r w:rsidRPr="004874BB">
        <w:t xml:space="preserve"> have used and which </w:t>
      </w:r>
      <w:r>
        <w:t>they</w:t>
      </w:r>
      <w:r w:rsidRPr="004874BB">
        <w:t xml:space="preserve"> may be interested in using in the future?</w:t>
      </w:r>
    </w:p>
    <w:tbl>
      <w:tblPr>
        <w:tblW w:w="6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25"/>
        <w:gridCol w:w="787"/>
        <w:gridCol w:w="1009"/>
        <w:gridCol w:w="1019"/>
      </w:tblGrid>
      <w:tr w:rsidR="004924E5" w:rsidRPr="004874BB" w14:paraId="61FE32B0" w14:textId="77777777" w:rsidTr="007E46C2">
        <w:trPr>
          <w:trHeight w:val="1209"/>
          <w:jc w:val="center"/>
        </w:trPr>
        <w:tc>
          <w:tcPr>
            <w:tcW w:w="3534" w:type="dxa"/>
            <w:shd w:val="clear" w:color="auto" w:fill="C7D3EA"/>
            <w:vAlign w:val="bottom"/>
            <w:hideMark/>
          </w:tcPr>
          <w:p w14:paraId="6FA74096"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 </w:t>
            </w:r>
          </w:p>
        </w:tc>
        <w:tc>
          <w:tcPr>
            <w:tcW w:w="666" w:type="dxa"/>
            <w:shd w:val="clear" w:color="auto" w:fill="C7D3EA"/>
            <w:vAlign w:val="center"/>
            <w:hideMark/>
          </w:tcPr>
          <w:p w14:paraId="7E65ABDB" w14:textId="77777777" w:rsidR="004924E5" w:rsidRPr="004874BB" w:rsidRDefault="004924E5" w:rsidP="007E46C2">
            <w:pPr>
              <w:spacing w:after="0" w:line="240" w:lineRule="auto"/>
              <w:jc w:val="center"/>
              <w:rPr>
                <w:rFonts w:eastAsia="Times New Roman" w:cs="Arial"/>
                <w:color w:val="000000"/>
                <w:sz w:val="18"/>
                <w:szCs w:val="18"/>
              </w:rPr>
            </w:pPr>
            <w:r w:rsidRPr="004874BB">
              <w:rPr>
                <w:rFonts w:eastAsia="Times New Roman" w:cs="Arial"/>
                <w:color w:val="000000"/>
                <w:sz w:val="18"/>
                <w:szCs w:val="18"/>
              </w:rPr>
              <w:t xml:space="preserve">I am aware of this service but have not used it </w:t>
            </w:r>
          </w:p>
        </w:tc>
        <w:tc>
          <w:tcPr>
            <w:tcW w:w="1020" w:type="dxa"/>
            <w:shd w:val="clear" w:color="auto" w:fill="C7D3EA"/>
            <w:vAlign w:val="center"/>
            <w:hideMark/>
          </w:tcPr>
          <w:p w14:paraId="1D7EEA05" w14:textId="77777777" w:rsidR="004924E5" w:rsidRPr="004874BB" w:rsidRDefault="004924E5" w:rsidP="007E46C2">
            <w:pPr>
              <w:spacing w:after="0" w:line="240" w:lineRule="auto"/>
              <w:jc w:val="center"/>
              <w:rPr>
                <w:rFonts w:eastAsia="Times New Roman" w:cs="Arial"/>
                <w:color w:val="000000"/>
                <w:sz w:val="18"/>
                <w:szCs w:val="18"/>
              </w:rPr>
            </w:pPr>
            <w:r w:rsidRPr="004874BB">
              <w:rPr>
                <w:rFonts w:eastAsia="Times New Roman" w:cs="Arial"/>
                <w:color w:val="000000"/>
                <w:sz w:val="18"/>
                <w:szCs w:val="18"/>
              </w:rPr>
              <w:t>I have used this service</w:t>
            </w:r>
          </w:p>
        </w:tc>
        <w:tc>
          <w:tcPr>
            <w:tcW w:w="1020" w:type="dxa"/>
            <w:shd w:val="clear" w:color="auto" w:fill="C7D3EA"/>
            <w:vAlign w:val="center"/>
            <w:hideMark/>
          </w:tcPr>
          <w:p w14:paraId="28E4863A" w14:textId="77777777" w:rsidR="004924E5" w:rsidRPr="004874BB" w:rsidRDefault="004924E5" w:rsidP="007E46C2">
            <w:pPr>
              <w:spacing w:after="0" w:line="240" w:lineRule="auto"/>
              <w:jc w:val="center"/>
              <w:rPr>
                <w:rFonts w:eastAsia="Times New Roman" w:cs="Arial"/>
                <w:color w:val="000000"/>
                <w:sz w:val="18"/>
                <w:szCs w:val="18"/>
              </w:rPr>
            </w:pPr>
            <w:r w:rsidRPr="004874BB">
              <w:rPr>
                <w:rFonts w:eastAsia="Times New Roman" w:cs="Arial"/>
                <w:color w:val="000000"/>
                <w:sz w:val="18"/>
                <w:szCs w:val="18"/>
              </w:rPr>
              <w:t>I am not aware of this service but I would be interested in using this service in the future</w:t>
            </w:r>
          </w:p>
        </w:tc>
      </w:tr>
      <w:tr w:rsidR="004924E5" w:rsidRPr="004874BB" w14:paraId="0244E343" w14:textId="77777777" w:rsidTr="007E46C2">
        <w:trPr>
          <w:trHeight w:val="300"/>
          <w:jc w:val="center"/>
        </w:trPr>
        <w:tc>
          <w:tcPr>
            <w:tcW w:w="3534" w:type="dxa"/>
            <w:shd w:val="clear" w:color="auto" w:fill="C7D3EA"/>
            <w:vAlign w:val="center"/>
            <w:hideMark/>
          </w:tcPr>
          <w:p w14:paraId="6FEB7F0C"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Disposal of old medicines</w:t>
            </w:r>
          </w:p>
        </w:tc>
        <w:tc>
          <w:tcPr>
            <w:tcW w:w="666" w:type="dxa"/>
            <w:shd w:val="clear" w:color="auto" w:fill="C7D3EA"/>
            <w:vAlign w:val="center"/>
            <w:hideMark/>
          </w:tcPr>
          <w:p w14:paraId="3875EBE4"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40%</w:t>
            </w:r>
          </w:p>
        </w:tc>
        <w:tc>
          <w:tcPr>
            <w:tcW w:w="1020" w:type="dxa"/>
            <w:shd w:val="clear" w:color="auto" w:fill="C7D3EA"/>
            <w:vAlign w:val="center"/>
            <w:hideMark/>
          </w:tcPr>
          <w:p w14:paraId="1EE75F79"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47%</w:t>
            </w:r>
          </w:p>
        </w:tc>
        <w:tc>
          <w:tcPr>
            <w:tcW w:w="1020" w:type="dxa"/>
            <w:shd w:val="clear" w:color="auto" w:fill="C7D3EA"/>
            <w:vAlign w:val="center"/>
            <w:hideMark/>
          </w:tcPr>
          <w:p w14:paraId="2D467009"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11%</w:t>
            </w:r>
          </w:p>
        </w:tc>
      </w:tr>
      <w:tr w:rsidR="004924E5" w:rsidRPr="004874BB" w14:paraId="5630482C" w14:textId="77777777" w:rsidTr="007E46C2">
        <w:trPr>
          <w:trHeight w:val="300"/>
          <w:jc w:val="center"/>
        </w:trPr>
        <w:tc>
          <w:tcPr>
            <w:tcW w:w="3534" w:type="dxa"/>
            <w:shd w:val="clear" w:color="auto" w:fill="C7D3EA"/>
            <w:vAlign w:val="center"/>
            <w:hideMark/>
          </w:tcPr>
          <w:p w14:paraId="27CF3A96"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Discuss your prescription medicines</w:t>
            </w:r>
          </w:p>
        </w:tc>
        <w:tc>
          <w:tcPr>
            <w:tcW w:w="666" w:type="dxa"/>
            <w:shd w:val="clear" w:color="auto" w:fill="C7D3EA"/>
            <w:vAlign w:val="center"/>
            <w:hideMark/>
          </w:tcPr>
          <w:p w14:paraId="54075DA4"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38%</w:t>
            </w:r>
          </w:p>
        </w:tc>
        <w:tc>
          <w:tcPr>
            <w:tcW w:w="1020" w:type="dxa"/>
            <w:shd w:val="clear" w:color="auto" w:fill="C7D3EA"/>
            <w:vAlign w:val="center"/>
            <w:hideMark/>
          </w:tcPr>
          <w:p w14:paraId="39A0428E"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48%</w:t>
            </w:r>
          </w:p>
        </w:tc>
        <w:tc>
          <w:tcPr>
            <w:tcW w:w="1020" w:type="dxa"/>
            <w:shd w:val="clear" w:color="auto" w:fill="C7D3EA"/>
            <w:vAlign w:val="center"/>
            <w:hideMark/>
          </w:tcPr>
          <w:p w14:paraId="54262397"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10%</w:t>
            </w:r>
          </w:p>
        </w:tc>
      </w:tr>
      <w:tr w:rsidR="004924E5" w:rsidRPr="004874BB" w14:paraId="5D4B16B9" w14:textId="77777777" w:rsidTr="007E46C2">
        <w:trPr>
          <w:trHeight w:val="300"/>
          <w:jc w:val="center"/>
        </w:trPr>
        <w:tc>
          <w:tcPr>
            <w:tcW w:w="3534" w:type="dxa"/>
            <w:shd w:val="clear" w:color="auto" w:fill="C7D3EA"/>
            <w:vAlign w:val="center"/>
            <w:hideMark/>
          </w:tcPr>
          <w:p w14:paraId="154DA48B"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New prescription medicines</w:t>
            </w:r>
          </w:p>
        </w:tc>
        <w:tc>
          <w:tcPr>
            <w:tcW w:w="666" w:type="dxa"/>
            <w:shd w:val="clear" w:color="auto" w:fill="C7D3EA"/>
            <w:vAlign w:val="center"/>
            <w:hideMark/>
          </w:tcPr>
          <w:p w14:paraId="5EAE12D4"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31%</w:t>
            </w:r>
          </w:p>
        </w:tc>
        <w:tc>
          <w:tcPr>
            <w:tcW w:w="1020" w:type="dxa"/>
            <w:shd w:val="clear" w:color="auto" w:fill="C7D3EA"/>
            <w:vAlign w:val="center"/>
            <w:hideMark/>
          </w:tcPr>
          <w:p w14:paraId="571540E8"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39%</w:t>
            </w:r>
          </w:p>
        </w:tc>
        <w:tc>
          <w:tcPr>
            <w:tcW w:w="1020" w:type="dxa"/>
            <w:shd w:val="clear" w:color="auto" w:fill="C7D3EA"/>
            <w:vAlign w:val="center"/>
            <w:hideMark/>
          </w:tcPr>
          <w:p w14:paraId="6567E1B7"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22%</w:t>
            </w:r>
          </w:p>
        </w:tc>
      </w:tr>
      <w:tr w:rsidR="004924E5" w:rsidRPr="004874BB" w14:paraId="256FF0B0" w14:textId="77777777" w:rsidTr="007E46C2">
        <w:trPr>
          <w:trHeight w:val="300"/>
          <w:jc w:val="center"/>
        </w:trPr>
        <w:tc>
          <w:tcPr>
            <w:tcW w:w="3534" w:type="dxa"/>
            <w:shd w:val="clear" w:color="auto" w:fill="C7D3EA"/>
            <w:vAlign w:val="center"/>
            <w:hideMark/>
          </w:tcPr>
          <w:p w14:paraId="24B3B0F8"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Use of medical devices e.g. blood pressure monitor</w:t>
            </w:r>
          </w:p>
        </w:tc>
        <w:tc>
          <w:tcPr>
            <w:tcW w:w="666" w:type="dxa"/>
            <w:shd w:val="clear" w:color="auto" w:fill="C7D3EA"/>
            <w:vAlign w:val="center"/>
            <w:hideMark/>
          </w:tcPr>
          <w:p w14:paraId="1C98D3F1"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51%</w:t>
            </w:r>
          </w:p>
        </w:tc>
        <w:tc>
          <w:tcPr>
            <w:tcW w:w="1020" w:type="dxa"/>
            <w:shd w:val="clear" w:color="auto" w:fill="C7D3EA"/>
            <w:vAlign w:val="center"/>
            <w:hideMark/>
          </w:tcPr>
          <w:p w14:paraId="2E0780B8"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11%</w:t>
            </w:r>
          </w:p>
        </w:tc>
        <w:tc>
          <w:tcPr>
            <w:tcW w:w="1020" w:type="dxa"/>
            <w:shd w:val="clear" w:color="auto" w:fill="C7D3EA"/>
            <w:vAlign w:val="center"/>
            <w:hideMark/>
          </w:tcPr>
          <w:p w14:paraId="70E1E736"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30%</w:t>
            </w:r>
          </w:p>
        </w:tc>
      </w:tr>
      <w:tr w:rsidR="004924E5" w:rsidRPr="004874BB" w14:paraId="1AD2616E" w14:textId="77777777" w:rsidTr="007E46C2">
        <w:trPr>
          <w:trHeight w:val="300"/>
          <w:jc w:val="center"/>
        </w:trPr>
        <w:tc>
          <w:tcPr>
            <w:tcW w:w="3534" w:type="dxa"/>
            <w:shd w:val="clear" w:color="auto" w:fill="C7D3EA"/>
            <w:vAlign w:val="center"/>
            <w:hideMark/>
          </w:tcPr>
          <w:p w14:paraId="52716355"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Emergency supply of medication</w:t>
            </w:r>
          </w:p>
        </w:tc>
        <w:tc>
          <w:tcPr>
            <w:tcW w:w="666" w:type="dxa"/>
            <w:shd w:val="clear" w:color="auto" w:fill="C7D3EA"/>
            <w:vAlign w:val="center"/>
            <w:hideMark/>
          </w:tcPr>
          <w:p w14:paraId="62FC9416"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38%</w:t>
            </w:r>
          </w:p>
        </w:tc>
        <w:tc>
          <w:tcPr>
            <w:tcW w:w="1020" w:type="dxa"/>
            <w:shd w:val="clear" w:color="auto" w:fill="C7D3EA"/>
            <w:vAlign w:val="center"/>
            <w:hideMark/>
          </w:tcPr>
          <w:p w14:paraId="0EC9F287"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21%</w:t>
            </w:r>
          </w:p>
        </w:tc>
        <w:tc>
          <w:tcPr>
            <w:tcW w:w="1020" w:type="dxa"/>
            <w:shd w:val="clear" w:color="auto" w:fill="C7D3EA"/>
            <w:vAlign w:val="center"/>
            <w:hideMark/>
          </w:tcPr>
          <w:p w14:paraId="7469D30C"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34%</w:t>
            </w:r>
          </w:p>
        </w:tc>
      </w:tr>
      <w:tr w:rsidR="004924E5" w:rsidRPr="004874BB" w14:paraId="70E44953" w14:textId="77777777" w:rsidTr="007E46C2">
        <w:trPr>
          <w:trHeight w:val="300"/>
          <w:jc w:val="center"/>
        </w:trPr>
        <w:tc>
          <w:tcPr>
            <w:tcW w:w="3534" w:type="dxa"/>
            <w:shd w:val="clear" w:color="auto" w:fill="C7D3EA"/>
            <w:vAlign w:val="center"/>
            <w:hideMark/>
          </w:tcPr>
          <w:p w14:paraId="13F08C5C"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lastRenderedPageBreak/>
              <w:t>Advice on healthy living</w:t>
            </w:r>
          </w:p>
        </w:tc>
        <w:tc>
          <w:tcPr>
            <w:tcW w:w="666" w:type="dxa"/>
            <w:shd w:val="clear" w:color="auto" w:fill="C7D3EA"/>
            <w:vAlign w:val="center"/>
            <w:hideMark/>
          </w:tcPr>
          <w:p w14:paraId="0E455F45"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60%</w:t>
            </w:r>
          </w:p>
        </w:tc>
        <w:tc>
          <w:tcPr>
            <w:tcW w:w="1020" w:type="dxa"/>
            <w:shd w:val="clear" w:color="auto" w:fill="C7D3EA"/>
            <w:vAlign w:val="center"/>
            <w:hideMark/>
          </w:tcPr>
          <w:p w14:paraId="1664963D"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5%</w:t>
            </w:r>
          </w:p>
        </w:tc>
        <w:tc>
          <w:tcPr>
            <w:tcW w:w="1020" w:type="dxa"/>
            <w:shd w:val="clear" w:color="auto" w:fill="C7D3EA"/>
            <w:vAlign w:val="center"/>
            <w:hideMark/>
          </w:tcPr>
          <w:p w14:paraId="2BE4502B"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24%</w:t>
            </w:r>
          </w:p>
        </w:tc>
      </w:tr>
      <w:tr w:rsidR="004924E5" w:rsidRPr="004874BB" w14:paraId="452FD61A" w14:textId="77777777" w:rsidTr="007E46C2">
        <w:trPr>
          <w:trHeight w:val="300"/>
          <w:jc w:val="center"/>
        </w:trPr>
        <w:tc>
          <w:tcPr>
            <w:tcW w:w="3534" w:type="dxa"/>
            <w:shd w:val="clear" w:color="auto" w:fill="C7D3EA"/>
            <w:vAlign w:val="center"/>
            <w:hideMark/>
          </w:tcPr>
          <w:p w14:paraId="00DDEED7"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Stopping smoking advice</w:t>
            </w:r>
          </w:p>
        </w:tc>
        <w:tc>
          <w:tcPr>
            <w:tcW w:w="666" w:type="dxa"/>
            <w:shd w:val="clear" w:color="auto" w:fill="C7D3EA"/>
            <w:vAlign w:val="center"/>
            <w:hideMark/>
          </w:tcPr>
          <w:p w14:paraId="5D2060FB"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75%</w:t>
            </w:r>
          </w:p>
        </w:tc>
        <w:tc>
          <w:tcPr>
            <w:tcW w:w="1020" w:type="dxa"/>
            <w:shd w:val="clear" w:color="auto" w:fill="C7D3EA"/>
            <w:vAlign w:val="center"/>
            <w:hideMark/>
          </w:tcPr>
          <w:p w14:paraId="3E3563D6"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w:t>
            </w:r>
          </w:p>
        </w:tc>
        <w:tc>
          <w:tcPr>
            <w:tcW w:w="1020" w:type="dxa"/>
            <w:shd w:val="clear" w:color="auto" w:fill="C7D3EA"/>
            <w:vAlign w:val="center"/>
            <w:hideMark/>
          </w:tcPr>
          <w:p w14:paraId="2143E834"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8%</w:t>
            </w:r>
          </w:p>
        </w:tc>
      </w:tr>
      <w:tr w:rsidR="004924E5" w:rsidRPr="004874BB" w14:paraId="160A8462" w14:textId="77777777" w:rsidTr="007E46C2">
        <w:trPr>
          <w:trHeight w:val="300"/>
          <w:jc w:val="center"/>
        </w:trPr>
        <w:tc>
          <w:tcPr>
            <w:tcW w:w="3534" w:type="dxa"/>
            <w:shd w:val="clear" w:color="auto" w:fill="C7D3EA"/>
            <w:vAlign w:val="center"/>
            <w:hideMark/>
          </w:tcPr>
          <w:p w14:paraId="57357AA9"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Sexual health services</w:t>
            </w:r>
          </w:p>
        </w:tc>
        <w:tc>
          <w:tcPr>
            <w:tcW w:w="666" w:type="dxa"/>
            <w:shd w:val="clear" w:color="auto" w:fill="C7D3EA"/>
            <w:vAlign w:val="center"/>
            <w:hideMark/>
          </w:tcPr>
          <w:p w14:paraId="39AF8FB8"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68%</w:t>
            </w:r>
          </w:p>
        </w:tc>
        <w:tc>
          <w:tcPr>
            <w:tcW w:w="1020" w:type="dxa"/>
            <w:shd w:val="clear" w:color="auto" w:fill="C7D3EA"/>
            <w:vAlign w:val="center"/>
            <w:hideMark/>
          </w:tcPr>
          <w:p w14:paraId="1F295605"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2%</w:t>
            </w:r>
          </w:p>
        </w:tc>
        <w:tc>
          <w:tcPr>
            <w:tcW w:w="1020" w:type="dxa"/>
            <w:shd w:val="clear" w:color="auto" w:fill="C7D3EA"/>
            <w:vAlign w:val="center"/>
            <w:hideMark/>
          </w:tcPr>
          <w:p w14:paraId="0FD5BEEF"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14%</w:t>
            </w:r>
          </w:p>
        </w:tc>
      </w:tr>
      <w:tr w:rsidR="004924E5" w:rsidRPr="004874BB" w14:paraId="3875E4AF" w14:textId="77777777" w:rsidTr="007E46C2">
        <w:trPr>
          <w:trHeight w:val="300"/>
          <w:jc w:val="center"/>
        </w:trPr>
        <w:tc>
          <w:tcPr>
            <w:tcW w:w="3534" w:type="dxa"/>
            <w:shd w:val="clear" w:color="auto" w:fill="C7D3EA"/>
            <w:vAlign w:val="center"/>
            <w:hideMark/>
          </w:tcPr>
          <w:p w14:paraId="2C8567DD"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Blood tests</w:t>
            </w:r>
          </w:p>
        </w:tc>
        <w:tc>
          <w:tcPr>
            <w:tcW w:w="666" w:type="dxa"/>
            <w:shd w:val="clear" w:color="auto" w:fill="C7D3EA"/>
            <w:vAlign w:val="center"/>
            <w:hideMark/>
          </w:tcPr>
          <w:p w14:paraId="14EE4EF9"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31%</w:t>
            </w:r>
          </w:p>
        </w:tc>
        <w:tc>
          <w:tcPr>
            <w:tcW w:w="1020" w:type="dxa"/>
            <w:shd w:val="clear" w:color="auto" w:fill="C7D3EA"/>
            <w:vAlign w:val="center"/>
            <w:hideMark/>
          </w:tcPr>
          <w:p w14:paraId="15585717"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18%</w:t>
            </w:r>
          </w:p>
        </w:tc>
        <w:tc>
          <w:tcPr>
            <w:tcW w:w="1020" w:type="dxa"/>
            <w:shd w:val="clear" w:color="auto" w:fill="C7D3EA"/>
            <w:vAlign w:val="center"/>
            <w:hideMark/>
          </w:tcPr>
          <w:p w14:paraId="7911BC68"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42%</w:t>
            </w:r>
          </w:p>
        </w:tc>
      </w:tr>
      <w:tr w:rsidR="004924E5" w:rsidRPr="004874BB" w14:paraId="7EBD7B4D" w14:textId="77777777" w:rsidTr="007E46C2">
        <w:trPr>
          <w:trHeight w:val="300"/>
          <w:jc w:val="center"/>
        </w:trPr>
        <w:tc>
          <w:tcPr>
            <w:tcW w:w="3534" w:type="dxa"/>
            <w:shd w:val="clear" w:color="auto" w:fill="C7D3EA"/>
            <w:vAlign w:val="center"/>
            <w:hideMark/>
          </w:tcPr>
          <w:p w14:paraId="1DD2CDA4"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Vaccinations including flu/Covid</w:t>
            </w:r>
          </w:p>
        </w:tc>
        <w:tc>
          <w:tcPr>
            <w:tcW w:w="666" w:type="dxa"/>
            <w:shd w:val="clear" w:color="auto" w:fill="C7D3EA"/>
            <w:vAlign w:val="center"/>
            <w:hideMark/>
          </w:tcPr>
          <w:p w14:paraId="3B27CBAB"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46%</w:t>
            </w:r>
          </w:p>
        </w:tc>
        <w:tc>
          <w:tcPr>
            <w:tcW w:w="1020" w:type="dxa"/>
            <w:shd w:val="clear" w:color="auto" w:fill="C7D3EA"/>
            <w:vAlign w:val="center"/>
            <w:hideMark/>
          </w:tcPr>
          <w:p w14:paraId="00BD36B7"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38%</w:t>
            </w:r>
          </w:p>
        </w:tc>
        <w:tc>
          <w:tcPr>
            <w:tcW w:w="1020" w:type="dxa"/>
            <w:shd w:val="clear" w:color="auto" w:fill="C7D3EA"/>
            <w:vAlign w:val="center"/>
            <w:hideMark/>
          </w:tcPr>
          <w:p w14:paraId="75E8CAEA"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10%</w:t>
            </w:r>
          </w:p>
        </w:tc>
      </w:tr>
      <w:tr w:rsidR="004924E5" w:rsidRPr="004874BB" w14:paraId="69E2365D" w14:textId="77777777" w:rsidTr="007E46C2">
        <w:trPr>
          <w:trHeight w:val="300"/>
          <w:jc w:val="center"/>
        </w:trPr>
        <w:tc>
          <w:tcPr>
            <w:tcW w:w="3534" w:type="dxa"/>
            <w:shd w:val="clear" w:color="auto" w:fill="C7D3EA"/>
            <w:vAlign w:val="center"/>
            <w:hideMark/>
          </w:tcPr>
          <w:p w14:paraId="46302DF0"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Travel vaccines</w:t>
            </w:r>
          </w:p>
        </w:tc>
        <w:tc>
          <w:tcPr>
            <w:tcW w:w="666" w:type="dxa"/>
            <w:shd w:val="clear" w:color="auto" w:fill="C7D3EA"/>
            <w:vAlign w:val="center"/>
            <w:hideMark/>
          </w:tcPr>
          <w:p w14:paraId="415F187E"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52%</w:t>
            </w:r>
          </w:p>
        </w:tc>
        <w:tc>
          <w:tcPr>
            <w:tcW w:w="1020" w:type="dxa"/>
            <w:shd w:val="clear" w:color="auto" w:fill="C7D3EA"/>
            <w:vAlign w:val="center"/>
            <w:hideMark/>
          </w:tcPr>
          <w:p w14:paraId="783B7E79"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6%</w:t>
            </w:r>
          </w:p>
        </w:tc>
        <w:tc>
          <w:tcPr>
            <w:tcW w:w="1020" w:type="dxa"/>
            <w:shd w:val="clear" w:color="auto" w:fill="C7D3EA"/>
            <w:vAlign w:val="center"/>
            <w:hideMark/>
          </w:tcPr>
          <w:p w14:paraId="1D6FECF5"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30%</w:t>
            </w:r>
          </w:p>
        </w:tc>
      </w:tr>
      <w:tr w:rsidR="004924E5" w:rsidRPr="004874BB" w14:paraId="4F45510A" w14:textId="77777777" w:rsidTr="007E46C2">
        <w:trPr>
          <w:trHeight w:val="292"/>
          <w:jc w:val="center"/>
        </w:trPr>
        <w:tc>
          <w:tcPr>
            <w:tcW w:w="3534" w:type="dxa"/>
            <w:shd w:val="clear" w:color="auto" w:fill="C7D3EA"/>
            <w:vAlign w:val="center"/>
            <w:hideMark/>
          </w:tcPr>
          <w:p w14:paraId="264C72F1" w14:textId="77777777" w:rsidR="004924E5" w:rsidRPr="004874BB" w:rsidRDefault="004924E5" w:rsidP="007E46C2">
            <w:pPr>
              <w:spacing w:after="0" w:line="240" w:lineRule="auto"/>
              <w:rPr>
                <w:rFonts w:eastAsia="Times New Roman" w:cs="Arial"/>
                <w:color w:val="000000"/>
                <w:sz w:val="18"/>
                <w:szCs w:val="18"/>
              </w:rPr>
            </w:pPr>
            <w:r w:rsidRPr="004874BB">
              <w:rPr>
                <w:rFonts w:eastAsia="Times New Roman" w:cs="Arial"/>
                <w:color w:val="000000"/>
                <w:sz w:val="18"/>
                <w:szCs w:val="18"/>
              </w:rPr>
              <w:t>Health tests e.g. cholesterol, blood pressure check</w:t>
            </w:r>
          </w:p>
        </w:tc>
        <w:tc>
          <w:tcPr>
            <w:tcW w:w="666" w:type="dxa"/>
            <w:shd w:val="clear" w:color="auto" w:fill="C7D3EA"/>
            <w:vAlign w:val="center"/>
            <w:hideMark/>
          </w:tcPr>
          <w:p w14:paraId="5DE24344"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46%</w:t>
            </w:r>
          </w:p>
        </w:tc>
        <w:tc>
          <w:tcPr>
            <w:tcW w:w="1020" w:type="dxa"/>
            <w:shd w:val="clear" w:color="auto" w:fill="C7D3EA"/>
            <w:vAlign w:val="center"/>
            <w:hideMark/>
          </w:tcPr>
          <w:p w14:paraId="4C3B7EFD"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7%</w:t>
            </w:r>
          </w:p>
        </w:tc>
        <w:tc>
          <w:tcPr>
            <w:tcW w:w="1020" w:type="dxa"/>
            <w:shd w:val="clear" w:color="auto" w:fill="C7D3EA"/>
            <w:vAlign w:val="center"/>
            <w:hideMark/>
          </w:tcPr>
          <w:p w14:paraId="21839058" w14:textId="77777777" w:rsidR="004924E5" w:rsidRPr="004874BB" w:rsidRDefault="004924E5" w:rsidP="007E46C2">
            <w:pPr>
              <w:spacing w:after="0" w:line="240" w:lineRule="auto"/>
              <w:jc w:val="right"/>
              <w:rPr>
                <w:rFonts w:eastAsia="Times New Roman" w:cs="Arial"/>
                <w:color w:val="000000"/>
                <w:sz w:val="18"/>
                <w:szCs w:val="18"/>
              </w:rPr>
            </w:pPr>
            <w:r w:rsidRPr="004874BB">
              <w:rPr>
                <w:rFonts w:eastAsia="Times New Roman" w:cs="Arial"/>
                <w:color w:val="000000"/>
                <w:sz w:val="18"/>
                <w:szCs w:val="18"/>
              </w:rPr>
              <w:t>37%</w:t>
            </w:r>
          </w:p>
        </w:tc>
      </w:tr>
    </w:tbl>
    <w:p w14:paraId="3142DB01" w14:textId="0B66E9C3" w:rsidR="004924E5" w:rsidRDefault="00B0546E" w:rsidP="00B0546E">
      <w:pPr>
        <w:pStyle w:val="Caption"/>
      </w:pPr>
      <w:r>
        <w:t xml:space="preserve">Table </w:t>
      </w:r>
      <w:r>
        <w:fldChar w:fldCharType="begin"/>
      </w:r>
      <w:r>
        <w:instrText>SEQ Table \* ARABIC</w:instrText>
      </w:r>
      <w:r>
        <w:fldChar w:fldCharType="separate"/>
      </w:r>
      <w:r w:rsidR="00AC4C6D">
        <w:rPr>
          <w:noProof/>
        </w:rPr>
        <w:t>30</w:t>
      </w:r>
      <w:r>
        <w:fldChar w:fldCharType="end"/>
      </w:r>
      <w:r>
        <w:t>: Percentages of people aware of certain services</w:t>
      </w:r>
    </w:p>
    <w:p w14:paraId="6CD87E31" w14:textId="77777777" w:rsidR="004924E5" w:rsidRDefault="004924E5" w:rsidP="008D3B10">
      <w:pPr>
        <w:pStyle w:val="ListParagraph"/>
        <w:numPr>
          <w:ilvl w:val="0"/>
          <w:numId w:val="21"/>
        </w:numPr>
        <w:spacing w:before="0" w:after="0" w:line="240" w:lineRule="auto"/>
      </w:pPr>
      <w:r>
        <w:t>Stratford-based respondents were</w:t>
      </w:r>
      <w:r w:rsidRPr="006C4664">
        <w:t xml:space="preserve"> more likely (18%)</w:t>
      </w:r>
      <w:r>
        <w:t xml:space="preserve"> to have not been aware of the service to discuss prescription medications but would be interested in doing this in future</w:t>
      </w:r>
    </w:p>
    <w:p w14:paraId="486E0CEB" w14:textId="77777777" w:rsidR="004924E5" w:rsidRDefault="004924E5" w:rsidP="008D3B10">
      <w:pPr>
        <w:pStyle w:val="ListParagraph"/>
        <w:numPr>
          <w:ilvl w:val="0"/>
          <w:numId w:val="21"/>
        </w:numPr>
        <w:spacing w:before="0" w:after="0" w:line="240" w:lineRule="auto"/>
      </w:pPr>
      <w:r>
        <w:t>Warwick-based respondents were</w:t>
      </w:r>
      <w:r w:rsidRPr="006C4664">
        <w:t xml:space="preserve"> more likely</w:t>
      </w:r>
      <w:r>
        <w:t xml:space="preserve"> (41%) to be aware but not used blood test services</w:t>
      </w:r>
    </w:p>
    <w:p w14:paraId="40F27B99" w14:textId="77777777" w:rsidR="004924E5" w:rsidRDefault="004924E5" w:rsidP="008D3B10">
      <w:pPr>
        <w:pStyle w:val="ListParagraph"/>
        <w:numPr>
          <w:ilvl w:val="0"/>
          <w:numId w:val="21"/>
        </w:numPr>
        <w:spacing w:before="0" w:after="0" w:line="240" w:lineRule="auto"/>
      </w:pPr>
      <w:r>
        <w:t xml:space="preserve">25–54-year-olds were </w:t>
      </w:r>
      <w:r w:rsidRPr="006C4664">
        <w:t>less likely to have used medicines disposal but more likely to think they might use the service</w:t>
      </w:r>
    </w:p>
    <w:p w14:paraId="317C6976" w14:textId="77777777" w:rsidR="004924E5" w:rsidRDefault="004924E5" w:rsidP="008D3B10">
      <w:pPr>
        <w:pStyle w:val="ListParagraph"/>
        <w:numPr>
          <w:ilvl w:val="0"/>
          <w:numId w:val="21"/>
        </w:numPr>
        <w:spacing w:before="0" w:after="0" w:line="240" w:lineRule="auto"/>
      </w:pPr>
      <w:r>
        <w:t xml:space="preserve">25–54-year-olds were </w:t>
      </w:r>
      <w:r w:rsidRPr="006C4664">
        <w:t>less likely to</w:t>
      </w:r>
      <w:r>
        <w:t xml:space="preserve"> be </w:t>
      </w:r>
      <w:r w:rsidRPr="00FD1BC8">
        <w:t>interested in smoking cessation advice</w:t>
      </w:r>
    </w:p>
    <w:p w14:paraId="0CE69548" w14:textId="77777777" w:rsidR="004924E5" w:rsidRDefault="004924E5" w:rsidP="008D3B10">
      <w:pPr>
        <w:pStyle w:val="ListParagraph"/>
        <w:numPr>
          <w:ilvl w:val="0"/>
          <w:numId w:val="21"/>
        </w:numPr>
        <w:spacing w:before="0" w:after="0" w:line="240" w:lineRule="auto"/>
      </w:pPr>
      <w:r w:rsidRPr="00224E0C">
        <w:t xml:space="preserve">Asian/Asian British </w:t>
      </w:r>
      <w:r>
        <w:t xml:space="preserve">were </w:t>
      </w:r>
      <w:r w:rsidRPr="00224E0C">
        <w:t>more likely to not be aware of medicines disposal services but would be interested in using this service in the future</w:t>
      </w:r>
    </w:p>
    <w:p w14:paraId="04F9B497" w14:textId="77777777" w:rsidR="004924E5" w:rsidRDefault="004924E5" w:rsidP="008D3B10">
      <w:pPr>
        <w:pStyle w:val="ListParagraph"/>
        <w:numPr>
          <w:ilvl w:val="0"/>
          <w:numId w:val="21"/>
        </w:numPr>
        <w:spacing w:before="0" w:after="0" w:line="240" w:lineRule="auto"/>
      </w:pPr>
      <w:r>
        <w:t>Male respondents were less likely to have used the sexual health services but more likely to have used health tests</w:t>
      </w:r>
    </w:p>
    <w:p w14:paraId="7A91B8A1" w14:textId="77777777" w:rsidR="004924E5" w:rsidRDefault="004924E5" w:rsidP="004924E5">
      <w:pPr>
        <w:spacing w:after="0" w:line="240" w:lineRule="auto"/>
      </w:pPr>
    </w:p>
    <w:p w14:paraId="4364E609" w14:textId="77777777" w:rsidR="004924E5" w:rsidRPr="001F7D27" w:rsidRDefault="004924E5" w:rsidP="004924E5">
      <w:pPr>
        <w:spacing w:after="0" w:line="240" w:lineRule="auto"/>
        <w:rPr>
          <w:color w:val="477CBF"/>
        </w:rPr>
      </w:pPr>
      <w:r w:rsidRPr="001F7D27">
        <w:rPr>
          <w:color w:val="477CBF"/>
        </w:rPr>
        <w:t>Opening Hours</w:t>
      </w:r>
    </w:p>
    <w:p w14:paraId="10D9B054" w14:textId="77777777" w:rsidR="004924E5" w:rsidRDefault="004924E5" w:rsidP="004924E5">
      <w:pPr>
        <w:spacing w:after="0" w:line="240" w:lineRule="auto"/>
      </w:pPr>
    </w:p>
    <w:tbl>
      <w:tblPr>
        <w:tblW w:w="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55"/>
        <w:gridCol w:w="1002"/>
        <w:gridCol w:w="1150"/>
        <w:gridCol w:w="1150"/>
        <w:gridCol w:w="963"/>
      </w:tblGrid>
      <w:tr w:rsidR="004924E5" w:rsidRPr="00922483" w14:paraId="76A63059" w14:textId="77777777" w:rsidTr="007E46C2">
        <w:trPr>
          <w:trHeight w:val="652"/>
          <w:jc w:val="center"/>
        </w:trPr>
        <w:tc>
          <w:tcPr>
            <w:tcW w:w="6220" w:type="dxa"/>
            <w:gridSpan w:val="5"/>
            <w:shd w:val="clear" w:color="auto" w:fill="C7D3EA"/>
            <w:vAlign w:val="center"/>
            <w:hideMark/>
          </w:tcPr>
          <w:p w14:paraId="0A4E3DD1"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When would be the most convenient time for you to visit a pharmacy?</w:t>
            </w:r>
          </w:p>
        </w:tc>
      </w:tr>
      <w:tr w:rsidR="004924E5" w:rsidRPr="00922483" w14:paraId="775FC451" w14:textId="77777777" w:rsidTr="007E46C2">
        <w:trPr>
          <w:trHeight w:val="858"/>
          <w:jc w:val="center"/>
        </w:trPr>
        <w:tc>
          <w:tcPr>
            <w:tcW w:w="2140" w:type="dxa"/>
            <w:shd w:val="clear" w:color="auto" w:fill="C7D3EA"/>
            <w:vAlign w:val="center"/>
            <w:hideMark/>
          </w:tcPr>
          <w:p w14:paraId="6099B3BA" w14:textId="77777777" w:rsidR="004924E5" w:rsidRPr="00922483" w:rsidRDefault="004924E5" w:rsidP="007E46C2">
            <w:pPr>
              <w:spacing w:after="0" w:line="240" w:lineRule="auto"/>
              <w:rPr>
                <w:rFonts w:eastAsia="Times New Roman" w:cs="Arial"/>
                <w:color w:val="000000"/>
                <w:sz w:val="14"/>
                <w:szCs w:val="14"/>
              </w:rPr>
            </w:pPr>
            <w:r w:rsidRPr="00922483">
              <w:rPr>
                <w:rFonts w:eastAsia="Times New Roman" w:cs="Arial"/>
                <w:color w:val="000000"/>
                <w:sz w:val="14"/>
                <w:szCs w:val="14"/>
              </w:rPr>
              <w:t> </w:t>
            </w:r>
          </w:p>
        </w:tc>
        <w:tc>
          <w:tcPr>
            <w:tcW w:w="1020" w:type="dxa"/>
            <w:shd w:val="clear" w:color="auto" w:fill="C7D3EA"/>
            <w:vAlign w:val="center"/>
            <w:hideMark/>
          </w:tcPr>
          <w:p w14:paraId="0390C7E8"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 xml:space="preserve">Before 9am </w:t>
            </w:r>
          </w:p>
        </w:tc>
        <w:tc>
          <w:tcPr>
            <w:tcW w:w="1020" w:type="dxa"/>
            <w:shd w:val="clear" w:color="auto" w:fill="C7D3EA"/>
            <w:vAlign w:val="center"/>
            <w:hideMark/>
          </w:tcPr>
          <w:p w14:paraId="6451C0E2"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 xml:space="preserve">Between 9am and 1pm </w:t>
            </w:r>
          </w:p>
        </w:tc>
        <w:tc>
          <w:tcPr>
            <w:tcW w:w="1020" w:type="dxa"/>
            <w:shd w:val="clear" w:color="auto" w:fill="C7D3EA"/>
            <w:vAlign w:val="center"/>
            <w:hideMark/>
          </w:tcPr>
          <w:p w14:paraId="2F618162"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 xml:space="preserve">Between 1pm and 6pm </w:t>
            </w:r>
          </w:p>
        </w:tc>
        <w:tc>
          <w:tcPr>
            <w:tcW w:w="1020" w:type="dxa"/>
            <w:shd w:val="clear" w:color="auto" w:fill="C7D3EA"/>
            <w:vAlign w:val="center"/>
            <w:hideMark/>
          </w:tcPr>
          <w:p w14:paraId="4AAD59ED"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 xml:space="preserve">After 6pm </w:t>
            </w:r>
          </w:p>
        </w:tc>
      </w:tr>
      <w:tr w:rsidR="004924E5" w:rsidRPr="00922483" w14:paraId="644E5441" w14:textId="77777777" w:rsidTr="007E46C2">
        <w:trPr>
          <w:trHeight w:val="352"/>
          <w:jc w:val="center"/>
        </w:trPr>
        <w:tc>
          <w:tcPr>
            <w:tcW w:w="2140" w:type="dxa"/>
            <w:shd w:val="clear" w:color="auto" w:fill="C7D3EA"/>
            <w:vAlign w:val="center"/>
            <w:hideMark/>
          </w:tcPr>
          <w:p w14:paraId="2FFB54DB" w14:textId="77777777" w:rsidR="004924E5" w:rsidRPr="00922483" w:rsidRDefault="004924E5" w:rsidP="007E46C2">
            <w:pPr>
              <w:spacing w:after="0" w:line="240" w:lineRule="auto"/>
              <w:rPr>
                <w:rFonts w:eastAsia="Times New Roman" w:cs="Arial"/>
                <w:color w:val="000000"/>
              </w:rPr>
            </w:pPr>
            <w:r w:rsidRPr="00922483">
              <w:rPr>
                <w:rFonts w:eastAsia="Times New Roman" w:cs="Arial"/>
                <w:color w:val="000000"/>
              </w:rPr>
              <w:t>Monday to Friday</w:t>
            </w:r>
          </w:p>
        </w:tc>
        <w:tc>
          <w:tcPr>
            <w:tcW w:w="1020" w:type="dxa"/>
            <w:shd w:val="clear" w:color="auto" w:fill="C7D3EA"/>
            <w:vAlign w:val="bottom"/>
            <w:hideMark/>
          </w:tcPr>
          <w:p w14:paraId="57F33218"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9%</w:t>
            </w:r>
          </w:p>
        </w:tc>
        <w:tc>
          <w:tcPr>
            <w:tcW w:w="1020" w:type="dxa"/>
            <w:shd w:val="clear" w:color="auto" w:fill="C7D3EA"/>
            <w:vAlign w:val="bottom"/>
            <w:hideMark/>
          </w:tcPr>
          <w:p w14:paraId="27D5A913"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61%</w:t>
            </w:r>
          </w:p>
        </w:tc>
        <w:tc>
          <w:tcPr>
            <w:tcW w:w="1020" w:type="dxa"/>
            <w:shd w:val="clear" w:color="auto" w:fill="C7D3EA"/>
            <w:vAlign w:val="bottom"/>
            <w:hideMark/>
          </w:tcPr>
          <w:p w14:paraId="4AC3F606"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48%</w:t>
            </w:r>
          </w:p>
        </w:tc>
        <w:tc>
          <w:tcPr>
            <w:tcW w:w="1020" w:type="dxa"/>
            <w:shd w:val="clear" w:color="auto" w:fill="C7D3EA"/>
            <w:vAlign w:val="bottom"/>
            <w:hideMark/>
          </w:tcPr>
          <w:p w14:paraId="5AC21FE4"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28%</w:t>
            </w:r>
          </w:p>
        </w:tc>
      </w:tr>
      <w:tr w:rsidR="004924E5" w:rsidRPr="00922483" w14:paraId="572811E4" w14:textId="77777777" w:rsidTr="007E46C2">
        <w:trPr>
          <w:trHeight w:val="300"/>
          <w:jc w:val="center"/>
        </w:trPr>
        <w:tc>
          <w:tcPr>
            <w:tcW w:w="2140" w:type="dxa"/>
            <w:shd w:val="clear" w:color="auto" w:fill="C7D3EA"/>
            <w:vAlign w:val="center"/>
            <w:hideMark/>
          </w:tcPr>
          <w:p w14:paraId="2C032711" w14:textId="77777777" w:rsidR="004924E5" w:rsidRPr="00922483" w:rsidRDefault="004924E5" w:rsidP="007E46C2">
            <w:pPr>
              <w:spacing w:after="0" w:line="240" w:lineRule="auto"/>
              <w:rPr>
                <w:rFonts w:eastAsia="Times New Roman" w:cs="Arial"/>
                <w:color w:val="000000"/>
              </w:rPr>
            </w:pPr>
            <w:r w:rsidRPr="00922483">
              <w:rPr>
                <w:rFonts w:eastAsia="Times New Roman" w:cs="Arial"/>
                <w:color w:val="000000"/>
              </w:rPr>
              <w:t>Saturday</w:t>
            </w:r>
          </w:p>
        </w:tc>
        <w:tc>
          <w:tcPr>
            <w:tcW w:w="1020" w:type="dxa"/>
            <w:shd w:val="clear" w:color="auto" w:fill="C7D3EA"/>
            <w:vAlign w:val="bottom"/>
            <w:hideMark/>
          </w:tcPr>
          <w:p w14:paraId="0FFE8EC5"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3%</w:t>
            </w:r>
          </w:p>
        </w:tc>
        <w:tc>
          <w:tcPr>
            <w:tcW w:w="1020" w:type="dxa"/>
            <w:shd w:val="clear" w:color="auto" w:fill="C7D3EA"/>
            <w:vAlign w:val="bottom"/>
            <w:hideMark/>
          </w:tcPr>
          <w:p w14:paraId="33B7DC01"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75%</w:t>
            </w:r>
          </w:p>
        </w:tc>
        <w:tc>
          <w:tcPr>
            <w:tcW w:w="1020" w:type="dxa"/>
            <w:shd w:val="clear" w:color="auto" w:fill="C7D3EA"/>
            <w:vAlign w:val="bottom"/>
            <w:hideMark/>
          </w:tcPr>
          <w:p w14:paraId="2F7FF44C"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36%</w:t>
            </w:r>
          </w:p>
        </w:tc>
        <w:tc>
          <w:tcPr>
            <w:tcW w:w="1020" w:type="dxa"/>
            <w:shd w:val="clear" w:color="auto" w:fill="C7D3EA"/>
            <w:vAlign w:val="bottom"/>
            <w:hideMark/>
          </w:tcPr>
          <w:p w14:paraId="5ACBCA98"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4%</w:t>
            </w:r>
          </w:p>
        </w:tc>
      </w:tr>
      <w:tr w:rsidR="004924E5" w:rsidRPr="00922483" w14:paraId="6E0F234A" w14:textId="77777777" w:rsidTr="007E46C2">
        <w:trPr>
          <w:trHeight w:val="300"/>
          <w:jc w:val="center"/>
        </w:trPr>
        <w:tc>
          <w:tcPr>
            <w:tcW w:w="2140" w:type="dxa"/>
            <w:shd w:val="clear" w:color="auto" w:fill="C7D3EA"/>
            <w:vAlign w:val="center"/>
            <w:hideMark/>
          </w:tcPr>
          <w:p w14:paraId="37434E84" w14:textId="77777777" w:rsidR="004924E5" w:rsidRPr="00922483" w:rsidRDefault="004924E5" w:rsidP="007E46C2">
            <w:pPr>
              <w:spacing w:after="0" w:line="240" w:lineRule="auto"/>
              <w:rPr>
                <w:rFonts w:eastAsia="Times New Roman" w:cs="Arial"/>
                <w:color w:val="000000"/>
              </w:rPr>
            </w:pPr>
            <w:r w:rsidRPr="00922483">
              <w:rPr>
                <w:rFonts w:eastAsia="Times New Roman" w:cs="Arial"/>
                <w:color w:val="000000"/>
              </w:rPr>
              <w:t>Sunday</w:t>
            </w:r>
          </w:p>
        </w:tc>
        <w:tc>
          <w:tcPr>
            <w:tcW w:w="1020" w:type="dxa"/>
            <w:shd w:val="clear" w:color="auto" w:fill="C7D3EA"/>
            <w:vAlign w:val="bottom"/>
            <w:hideMark/>
          </w:tcPr>
          <w:p w14:paraId="2C27ED01"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2%</w:t>
            </w:r>
          </w:p>
        </w:tc>
        <w:tc>
          <w:tcPr>
            <w:tcW w:w="1020" w:type="dxa"/>
            <w:shd w:val="clear" w:color="auto" w:fill="C7D3EA"/>
            <w:vAlign w:val="bottom"/>
            <w:hideMark/>
          </w:tcPr>
          <w:p w14:paraId="12BC0B0B"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43%</w:t>
            </w:r>
          </w:p>
        </w:tc>
        <w:tc>
          <w:tcPr>
            <w:tcW w:w="1020" w:type="dxa"/>
            <w:shd w:val="clear" w:color="auto" w:fill="C7D3EA"/>
            <w:vAlign w:val="bottom"/>
            <w:hideMark/>
          </w:tcPr>
          <w:p w14:paraId="53006A01"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24%</w:t>
            </w:r>
          </w:p>
        </w:tc>
        <w:tc>
          <w:tcPr>
            <w:tcW w:w="1020" w:type="dxa"/>
            <w:shd w:val="clear" w:color="auto" w:fill="C7D3EA"/>
            <w:vAlign w:val="bottom"/>
            <w:hideMark/>
          </w:tcPr>
          <w:p w14:paraId="51EF8D5E" w14:textId="77777777" w:rsidR="004924E5" w:rsidRPr="00922483" w:rsidRDefault="004924E5" w:rsidP="007E46C2">
            <w:pPr>
              <w:spacing w:after="0" w:line="240" w:lineRule="auto"/>
              <w:jc w:val="center"/>
              <w:rPr>
                <w:rFonts w:eastAsia="Times New Roman" w:cs="Arial"/>
                <w:color w:val="000000"/>
              </w:rPr>
            </w:pPr>
            <w:r w:rsidRPr="00922483">
              <w:rPr>
                <w:rFonts w:eastAsia="Times New Roman" w:cs="Arial"/>
                <w:color w:val="000000"/>
              </w:rPr>
              <w:t>3%</w:t>
            </w:r>
          </w:p>
        </w:tc>
      </w:tr>
    </w:tbl>
    <w:p w14:paraId="55C9CD69" w14:textId="0D515230" w:rsidR="004924E5" w:rsidRDefault="00B0546E" w:rsidP="00B0546E">
      <w:pPr>
        <w:pStyle w:val="Caption"/>
      </w:pPr>
      <w:r>
        <w:t xml:space="preserve">Table </w:t>
      </w:r>
      <w:r>
        <w:fldChar w:fldCharType="begin"/>
      </w:r>
      <w:r>
        <w:instrText>SEQ Table \* ARABIC</w:instrText>
      </w:r>
      <w:r>
        <w:fldChar w:fldCharType="separate"/>
      </w:r>
      <w:r w:rsidR="00AC4C6D">
        <w:rPr>
          <w:noProof/>
        </w:rPr>
        <w:t>31</w:t>
      </w:r>
      <w:r>
        <w:fldChar w:fldCharType="end"/>
      </w:r>
      <w:r>
        <w:t>: Answer</w:t>
      </w:r>
      <w:r w:rsidR="00AC4C6D">
        <w:t>s</w:t>
      </w:r>
      <w:r>
        <w:t xml:space="preserve"> to the question “When would be the most convenient time for you to visit a pharmacy?” </w:t>
      </w:r>
    </w:p>
    <w:tbl>
      <w:tblPr>
        <w:tblW w:w="3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80"/>
        <w:gridCol w:w="1020"/>
      </w:tblGrid>
      <w:tr w:rsidR="004924E5" w:rsidRPr="00FD1BC8" w14:paraId="7E63A0DF" w14:textId="77777777" w:rsidTr="007E46C2">
        <w:trPr>
          <w:trHeight w:val="566"/>
          <w:jc w:val="center"/>
        </w:trPr>
        <w:tc>
          <w:tcPr>
            <w:tcW w:w="3200" w:type="dxa"/>
            <w:gridSpan w:val="2"/>
            <w:shd w:val="clear" w:color="auto" w:fill="C7D3EA"/>
            <w:vAlign w:val="center"/>
            <w:hideMark/>
          </w:tcPr>
          <w:p w14:paraId="39DA14FB" w14:textId="77777777" w:rsidR="004924E5" w:rsidRPr="00FD1BC8" w:rsidRDefault="004924E5" w:rsidP="007E46C2">
            <w:pPr>
              <w:spacing w:after="0" w:line="240" w:lineRule="auto"/>
              <w:jc w:val="center"/>
              <w:rPr>
                <w:rFonts w:eastAsia="Times New Roman" w:cs="Arial"/>
                <w:color w:val="000000"/>
              </w:rPr>
            </w:pPr>
            <w:r w:rsidRPr="00FD1BC8">
              <w:rPr>
                <w:rFonts w:eastAsia="Times New Roman" w:cs="Arial"/>
                <w:color w:val="000000"/>
              </w:rPr>
              <w:t>Are you able to access a pharmacy at times that are convenient to you?</w:t>
            </w:r>
          </w:p>
        </w:tc>
      </w:tr>
      <w:tr w:rsidR="004924E5" w:rsidRPr="00FD1BC8" w14:paraId="27281BD3" w14:textId="77777777" w:rsidTr="007E46C2">
        <w:trPr>
          <w:trHeight w:val="300"/>
          <w:jc w:val="center"/>
        </w:trPr>
        <w:tc>
          <w:tcPr>
            <w:tcW w:w="2180" w:type="dxa"/>
            <w:shd w:val="clear" w:color="auto" w:fill="C7D3EA"/>
            <w:vAlign w:val="bottom"/>
            <w:hideMark/>
          </w:tcPr>
          <w:p w14:paraId="4F1F73FC"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 </w:t>
            </w:r>
          </w:p>
        </w:tc>
        <w:tc>
          <w:tcPr>
            <w:tcW w:w="1020" w:type="dxa"/>
            <w:shd w:val="clear" w:color="auto" w:fill="C7D3EA"/>
            <w:vAlign w:val="bottom"/>
            <w:hideMark/>
          </w:tcPr>
          <w:p w14:paraId="04B176D2" w14:textId="77777777" w:rsidR="004924E5" w:rsidRPr="00FD1BC8" w:rsidRDefault="004924E5" w:rsidP="007E46C2">
            <w:pPr>
              <w:spacing w:after="0" w:line="240" w:lineRule="auto"/>
              <w:jc w:val="center"/>
              <w:rPr>
                <w:rFonts w:eastAsia="Times New Roman" w:cs="Arial"/>
                <w:color w:val="000000"/>
                <w:sz w:val="18"/>
                <w:szCs w:val="18"/>
              </w:rPr>
            </w:pPr>
            <w:r w:rsidRPr="00FD1BC8">
              <w:rPr>
                <w:rFonts w:eastAsia="Times New Roman" w:cs="Arial"/>
                <w:color w:val="000000"/>
                <w:sz w:val="18"/>
                <w:szCs w:val="18"/>
              </w:rPr>
              <w:t>Percent</w:t>
            </w:r>
          </w:p>
        </w:tc>
      </w:tr>
      <w:tr w:rsidR="004924E5" w:rsidRPr="00FD1BC8" w14:paraId="38FA0D4C" w14:textId="77777777" w:rsidTr="007E46C2">
        <w:trPr>
          <w:trHeight w:val="300"/>
          <w:jc w:val="center"/>
        </w:trPr>
        <w:tc>
          <w:tcPr>
            <w:tcW w:w="2180" w:type="dxa"/>
            <w:shd w:val="clear" w:color="auto" w:fill="C7D3EA"/>
            <w:hideMark/>
          </w:tcPr>
          <w:p w14:paraId="48C036B5"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Most of the time</w:t>
            </w:r>
          </w:p>
        </w:tc>
        <w:tc>
          <w:tcPr>
            <w:tcW w:w="1020" w:type="dxa"/>
            <w:shd w:val="clear" w:color="auto" w:fill="C7D3EA"/>
            <w:hideMark/>
          </w:tcPr>
          <w:p w14:paraId="10FF9B6B"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47%</w:t>
            </w:r>
          </w:p>
        </w:tc>
      </w:tr>
      <w:tr w:rsidR="004924E5" w:rsidRPr="00FD1BC8" w14:paraId="280821B0" w14:textId="77777777" w:rsidTr="007E46C2">
        <w:trPr>
          <w:trHeight w:val="300"/>
          <w:jc w:val="center"/>
        </w:trPr>
        <w:tc>
          <w:tcPr>
            <w:tcW w:w="2180" w:type="dxa"/>
            <w:shd w:val="clear" w:color="auto" w:fill="C7D3EA"/>
            <w:hideMark/>
          </w:tcPr>
          <w:p w14:paraId="6BDCE3A4"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lastRenderedPageBreak/>
              <w:t>Yes always</w:t>
            </w:r>
          </w:p>
        </w:tc>
        <w:tc>
          <w:tcPr>
            <w:tcW w:w="1020" w:type="dxa"/>
            <w:shd w:val="clear" w:color="auto" w:fill="C7D3EA"/>
            <w:hideMark/>
          </w:tcPr>
          <w:p w14:paraId="1415EBEA"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39%</w:t>
            </w:r>
          </w:p>
        </w:tc>
      </w:tr>
      <w:tr w:rsidR="004924E5" w:rsidRPr="00FD1BC8" w14:paraId="3A1B4828" w14:textId="77777777" w:rsidTr="007E46C2">
        <w:trPr>
          <w:trHeight w:val="300"/>
          <w:jc w:val="center"/>
        </w:trPr>
        <w:tc>
          <w:tcPr>
            <w:tcW w:w="2180" w:type="dxa"/>
            <w:shd w:val="clear" w:color="auto" w:fill="C7D3EA"/>
            <w:hideMark/>
          </w:tcPr>
          <w:p w14:paraId="5B0120D2"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Sometimes</w:t>
            </w:r>
          </w:p>
        </w:tc>
        <w:tc>
          <w:tcPr>
            <w:tcW w:w="1020" w:type="dxa"/>
            <w:shd w:val="clear" w:color="auto" w:fill="C7D3EA"/>
            <w:hideMark/>
          </w:tcPr>
          <w:p w14:paraId="555507DB"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11%</w:t>
            </w:r>
          </w:p>
        </w:tc>
      </w:tr>
      <w:tr w:rsidR="004924E5" w:rsidRPr="00FD1BC8" w14:paraId="66ED3BA5" w14:textId="77777777" w:rsidTr="007E46C2">
        <w:trPr>
          <w:trHeight w:val="300"/>
          <w:jc w:val="center"/>
        </w:trPr>
        <w:tc>
          <w:tcPr>
            <w:tcW w:w="2180" w:type="dxa"/>
            <w:shd w:val="clear" w:color="auto" w:fill="C7D3EA"/>
            <w:hideMark/>
          </w:tcPr>
          <w:p w14:paraId="43ABFA14"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Never</w:t>
            </w:r>
          </w:p>
        </w:tc>
        <w:tc>
          <w:tcPr>
            <w:tcW w:w="1020" w:type="dxa"/>
            <w:shd w:val="clear" w:color="auto" w:fill="C7D3EA"/>
            <w:hideMark/>
          </w:tcPr>
          <w:p w14:paraId="37A5990C"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2%</w:t>
            </w:r>
          </w:p>
        </w:tc>
      </w:tr>
    </w:tbl>
    <w:p w14:paraId="3616246D" w14:textId="6631228F" w:rsidR="004924E5" w:rsidRDefault="00AC4C6D" w:rsidP="00AC4C6D">
      <w:pPr>
        <w:pStyle w:val="Caption"/>
      </w:pPr>
      <w:r>
        <w:t xml:space="preserve">Table </w:t>
      </w:r>
      <w:r>
        <w:fldChar w:fldCharType="begin"/>
      </w:r>
      <w:r>
        <w:instrText>SEQ Table \* ARABIC</w:instrText>
      </w:r>
      <w:r>
        <w:fldChar w:fldCharType="separate"/>
      </w:r>
      <w:r>
        <w:rPr>
          <w:noProof/>
        </w:rPr>
        <w:t>32</w:t>
      </w:r>
      <w:r>
        <w:fldChar w:fldCharType="end"/>
      </w:r>
      <w:r>
        <w:t>: Answers to the question “Are you able to access a pharmacy at times that are convenient to you?”</w:t>
      </w:r>
    </w:p>
    <w:p w14:paraId="0A802A44" w14:textId="77777777" w:rsidR="004924E5" w:rsidRDefault="004924E5" w:rsidP="008D3B10">
      <w:pPr>
        <w:pStyle w:val="ListParagraph"/>
        <w:numPr>
          <w:ilvl w:val="0"/>
          <w:numId w:val="22"/>
        </w:numPr>
        <w:spacing w:before="0" w:after="0" w:line="240" w:lineRule="auto"/>
      </w:pPr>
      <w:r>
        <w:t xml:space="preserve">Employed respondents were </w:t>
      </w:r>
      <w:r w:rsidRPr="00922483">
        <w:t xml:space="preserve">more likely to cite opening hours as an access barrier, more likely to prefer Mon-Fri opening before 9am, less likely to prefer 9-1pm, less likely to agree that opening hours are always convenient for them favouring </w:t>
      </w:r>
      <w:r>
        <w:t xml:space="preserve">only </w:t>
      </w:r>
      <w:r w:rsidRPr="00922483">
        <w:t>sometimes</w:t>
      </w:r>
    </w:p>
    <w:p w14:paraId="71E21CCF" w14:textId="77777777" w:rsidR="004924E5" w:rsidRDefault="004924E5" w:rsidP="008D3B10">
      <w:pPr>
        <w:pStyle w:val="ListParagraph"/>
        <w:numPr>
          <w:ilvl w:val="0"/>
          <w:numId w:val="22"/>
        </w:numPr>
        <w:spacing w:before="0" w:after="0" w:line="240" w:lineRule="auto"/>
      </w:pPr>
      <w:r>
        <w:t xml:space="preserve">Retired respondents were </w:t>
      </w:r>
      <w:r w:rsidRPr="00922483">
        <w:t xml:space="preserve">less likely to cite opening hours as an access barrier, less likely to prefer Mon-Fri opening before 9am, more likely to prefer 9-1pm, </w:t>
      </w:r>
      <w:r>
        <w:t xml:space="preserve">and </w:t>
      </w:r>
      <w:r w:rsidRPr="00922483">
        <w:t>more likely to find opening hours always convenient for them</w:t>
      </w:r>
    </w:p>
    <w:p w14:paraId="0A78348D" w14:textId="77777777" w:rsidR="004924E5" w:rsidRDefault="004924E5" w:rsidP="008D3B10">
      <w:pPr>
        <w:pStyle w:val="ListParagraph"/>
        <w:numPr>
          <w:ilvl w:val="0"/>
          <w:numId w:val="22"/>
        </w:numPr>
        <w:spacing w:before="0" w:after="0" w:line="240" w:lineRule="auto"/>
      </w:pPr>
      <w:r>
        <w:t xml:space="preserve">25–54-year-olds </w:t>
      </w:r>
      <w:r w:rsidRPr="00922483">
        <w:t xml:space="preserve">face some access issues due to opening hours, </w:t>
      </w:r>
      <w:r>
        <w:t xml:space="preserve">are </w:t>
      </w:r>
      <w:r w:rsidRPr="00922483">
        <w:t xml:space="preserve">less likely to agree that opening hours are always convenient for them favouring </w:t>
      </w:r>
      <w:r>
        <w:t xml:space="preserve">only </w:t>
      </w:r>
      <w:r w:rsidRPr="00922483">
        <w:t>sometimes</w:t>
      </w:r>
      <w:r>
        <w:t xml:space="preserve"> and </w:t>
      </w:r>
      <w:r w:rsidRPr="00922483">
        <w:t>use online services because of late</w:t>
      </w:r>
      <w:r>
        <w:t>r</w:t>
      </w:r>
      <w:r w:rsidRPr="00922483">
        <w:t xml:space="preserve"> opening hours</w:t>
      </w:r>
    </w:p>
    <w:p w14:paraId="4084C8BC" w14:textId="77777777" w:rsidR="004924E5" w:rsidRDefault="004924E5" w:rsidP="008D3B10">
      <w:pPr>
        <w:pStyle w:val="ListParagraph"/>
        <w:numPr>
          <w:ilvl w:val="0"/>
          <w:numId w:val="22"/>
        </w:numPr>
        <w:spacing w:before="0" w:after="0" w:line="240" w:lineRule="auto"/>
      </w:pPr>
      <w:r>
        <w:t xml:space="preserve">75+ are more likely to say </w:t>
      </w:r>
      <w:r w:rsidRPr="00922483">
        <w:t>opening hours are fine</w:t>
      </w:r>
      <w:r>
        <w:t xml:space="preserve"> and </w:t>
      </w:r>
      <w:r w:rsidRPr="00922483">
        <w:t>more likely to find opening hours always convenient for them</w:t>
      </w:r>
    </w:p>
    <w:p w14:paraId="4115A106" w14:textId="77777777" w:rsidR="004924E5" w:rsidRDefault="004924E5" w:rsidP="004924E5">
      <w:pPr>
        <w:spacing w:after="0" w:line="240" w:lineRule="auto"/>
      </w:pPr>
    </w:p>
    <w:p w14:paraId="75CF3D04" w14:textId="77777777" w:rsidR="004924E5" w:rsidRPr="001F7D27" w:rsidRDefault="004924E5" w:rsidP="004924E5">
      <w:pPr>
        <w:spacing w:after="0" w:line="240" w:lineRule="auto"/>
        <w:rPr>
          <w:color w:val="477CBF"/>
        </w:rPr>
      </w:pPr>
      <w:r w:rsidRPr="001F7D27">
        <w:rPr>
          <w:color w:val="477CBF"/>
        </w:rPr>
        <w:t>Use of Online/Internet Pharmacy Services</w:t>
      </w:r>
    </w:p>
    <w:p w14:paraId="2A64BA7D" w14:textId="77777777" w:rsidR="004924E5" w:rsidRDefault="004924E5" w:rsidP="004924E5">
      <w:pPr>
        <w:spacing w:after="0" w:line="240" w:lineRule="auto"/>
      </w:pPr>
    </w:p>
    <w:tbl>
      <w:tblPr>
        <w:tblW w:w="2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20"/>
        <w:gridCol w:w="1020"/>
      </w:tblGrid>
      <w:tr w:rsidR="004924E5" w:rsidRPr="00FD1BC8" w14:paraId="120A1471" w14:textId="77777777" w:rsidTr="007E46C2">
        <w:trPr>
          <w:trHeight w:val="849"/>
          <w:jc w:val="center"/>
        </w:trPr>
        <w:tc>
          <w:tcPr>
            <w:tcW w:w="2040" w:type="dxa"/>
            <w:gridSpan w:val="2"/>
            <w:shd w:val="clear" w:color="auto" w:fill="C7D3EA"/>
            <w:vAlign w:val="center"/>
            <w:hideMark/>
          </w:tcPr>
          <w:p w14:paraId="755326F2" w14:textId="77777777" w:rsidR="004924E5" w:rsidRPr="00FD1BC8" w:rsidRDefault="004924E5" w:rsidP="007E46C2">
            <w:pPr>
              <w:spacing w:after="0" w:line="240" w:lineRule="auto"/>
              <w:jc w:val="center"/>
              <w:rPr>
                <w:rFonts w:eastAsia="Times New Roman" w:cs="Arial"/>
                <w:color w:val="000000"/>
              </w:rPr>
            </w:pPr>
            <w:r w:rsidRPr="00FD1BC8">
              <w:rPr>
                <w:rFonts w:eastAsia="Times New Roman" w:cs="Arial"/>
                <w:color w:val="000000"/>
              </w:rPr>
              <w:t>Have you used or accessed online/internet pharmacy services?</w:t>
            </w:r>
          </w:p>
        </w:tc>
      </w:tr>
      <w:tr w:rsidR="004924E5" w:rsidRPr="00FD1BC8" w14:paraId="280B9041" w14:textId="77777777" w:rsidTr="007E46C2">
        <w:trPr>
          <w:trHeight w:val="300"/>
          <w:jc w:val="center"/>
        </w:trPr>
        <w:tc>
          <w:tcPr>
            <w:tcW w:w="1020" w:type="dxa"/>
            <w:shd w:val="clear" w:color="auto" w:fill="C7D3EA"/>
            <w:vAlign w:val="bottom"/>
            <w:hideMark/>
          </w:tcPr>
          <w:p w14:paraId="27BEF6B6"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 </w:t>
            </w:r>
          </w:p>
        </w:tc>
        <w:tc>
          <w:tcPr>
            <w:tcW w:w="1020" w:type="dxa"/>
            <w:shd w:val="clear" w:color="auto" w:fill="C7D3EA"/>
            <w:vAlign w:val="bottom"/>
            <w:hideMark/>
          </w:tcPr>
          <w:p w14:paraId="640B7EC7" w14:textId="77777777" w:rsidR="004924E5" w:rsidRPr="00FD1BC8" w:rsidRDefault="004924E5" w:rsidP="007E46C2">
            <w:pPr>
              <w:spacing w:after="0" w:line="240" w:lineRule="auto"/>
              <w:jc w:val="center"/>
              <w:rPr>
                <w:rFonts w:eastAsia="Times New Roman" w:cs="Arial"/>
                <w:color w:val="000000"/>
                <w:sz w:val="18"/>
                <w:szCs w:val="18"/>
              </w:rPr>
            </w:pPr>
            <w:r w:rsidRPr="00FD1BC8">
              <w:rPr>
                <w:rFonts w:eastAsia="Times New Roman" w:cs="Arial"/>
                <w:color w:val="000000"/>
                <w:sz w:val="18"/>
                <w:szCs w:val="18"/>
              </w:rPr>
              <w:t>Percent</w:t>
            </w:r>
          </w:p>
        </w:tc>
      </w:tr>
      <w:tr w:rsidR="004924E5" w:rsidRPr="00FD1BC8" w14:paraId="676CF7C6" w14:textId="77777777" w:rsidTr="007E46C2">
        <w:trPr>
          <w:trHeight w:val="300"/>
          <w:jc w:val="center"/>
        </w:trPr>
        <w:tc>
          <w:tcPr>
            <w:tcW w:w="1020" w:type="dxa"/>
            <w:shd w:val="clear" w:color="auto" w:fill="C7D3EA"/>
            <w:hideMark/>
          </w:tcPr>
          <w:p w14:paraId="5EA9E008"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No</w:t>
            </w:r>
          </w:p>
        </w:tc>
        <w:tc>
          <w:tcPr>
            <w:tcW w:w="1020" w:type="dxa"/>
            <w:shd w:val="clear" w:color="auto" w:fill="C7D3EA"/>
            <w:hideMark/>
          </w:tcPr>
          <w:p w14:paraId="36048B9E"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80%</w:t>
            </w:r>
          </w:p>
        </w:tc>
      </w:tr>
      <w:tr w:rsidR="004924E5" w:rsidRPr="00FD1BC8" w14:paraId="0BEC8BA9" w14:textId="77777777" w:rsidTr="007E46C2">
        <w:trPr>
          <w:trHeight w:val="300"/>
          <w:jc w:val="center"/>
        </w:trPr>
        <w:tc>
          <w:tcPr>
            <w:tcW w:w="1020" w:type="dxa"/>
            <w:shd w:val="clear" w:color="auto" w:fill="C7D3EA"/>
            <w:hideMark/>
          </w:tcPr>
          <w:p w14:paraId="5A6A5CCA"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Yes</w:t>
            </w:r>
          </w:p>
        </w:tc>
        <w:tc>
          <w:tcPr>
            <w:tcW w:w="1020" w:type="dxa"/>
            <w:shd w:val="clear" w:color="auto" w:fill="C7D3EA"/>
            <w:hideMark/>
          </w:tcPr>
          <w:p w14:paraId="3D76A6DF"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17%</w:t>
            </w:r>
          </w:p>
        </w:tc>
      </w:tr>
      <w:tr w:rsidR="004924E5" w:rsidRPr="00FD1BC8" w14:paraId="69965664" w14:textId="77777777" w:rsidTr="007E46C2">
        <w:trPr>
          <w:trHeight w:val="300"/>
          <w:jc w:val="center"/>
        </w:trPr>
        <w:tc>
          <w:tcPr>
            <w:tcW w:w="1020" w:type="dxa"/>
            <w:shd w:val="clear" w:color="auto" w:fill="C7D3EA"/>
            <w:hideMark/>
          </w:tcPr>
          <w:p w14:paraId="0CB69349" w14:textId="77777777" w:rsidR="004924E5" w:rsidRPr="00FD1BC8" w:rsidRDefault="004924E5" w:rsidP="007E46C2">
            <w:pPr>
              <w:spacing w:after="0" w:line="240" w:lineRule="auto"/>
              <w:rPr>
                <w:rFonts w:eastAsia="Times New Roman" w:cs="Arial"/>
                <w:color w:val="000000"/>
                <w:sz w:val="18"/>
                <w:szCs w:val="18"/>
              </w:rPr>
            </w:pPr>
            <w:r w:rsidRPr="00FD1BC8">
              <w:rPr>
                <w:rFonts w:eastAsia="Times New Roman" w:cs="Arial"/>
                <w:color w:val="000000"/>
                <w:sz w:val="18"/>
                <w:szCs w:val="18"/>
              </w:rPr>
              <w:t>Not sure</w:t>
            </w:r>
          </w:p>
        </w:tc>
        <w:tc>
          <w:tcPr>
            <w:tcW w:w="1020" w:type="dxa"/>
            <w:shd w:val="clear" w:color="auto" w:fill="C7D3EA"/>
            <w:hideMark/>
          </w:tcPr>
          <w:p w14:paraId="533D1689" w14:textId="77777777" w:rsidR="004924E5" w:rsidRPr="00FD1BC8" w:rsidRDefault="004924E5" w:rsidP="007E46C2">
            <w:pPr>
              <w:spacing w:after="0" w:line="240" w:lineRule="auto"/>
              <w:jc w:val="right"/>
              <w:rPr>
                <w:rFonts w:eastAsia="Times New Roman" w:cs="Arial"/>
                <w:color w:val="000000"/>
                <w:sz w:val="18"/>
                <w:szCs w:val="18"/>
              </w:rPr>
            </w:pPr>
            <w:r w:rsidRPr="00FD1BC8">
              <w:rPr>
                <w:rFonts w:eastAsia="Times New Roman" w:cs="Arial"/>
                <w:color w:val="000000"/>
                <w:sz w:val="18"/>
                <w:szCs w:val="18"/>
              </w:rPr>
              <w:t>3%</w:t>
            </w:r>
          </w:p>
        </w:tc>
      </w:tr>
    </w:tbl>
    <w:p w14:paraId="477D2540" w14:textId="16CBAB23" w:rsidR="004924E5" w:rsidRDefault="00AC4C6D" w:rsidP="00AC4C6D">
      <w:pPr>
        <w:pStyle w:val="Caption"/>
      </w:pPr>
      <w:r>
        <w:t xml:space="preserve">Table </w:t>
      </w:r>
      <w:r>
        <w:fldChar w:fldCharType="begin"/>
      </w:r>
      <w:r>
        <w:instrText>SEQ Table \* ARABIC</w:instrText>
      </w:r>
      <w:r>
        <w:fldChar w:fldCharType="separate"/>
      </w:r>
      <w:r>
        <w:rPr>
          <w:noProof/>
        </w:rPr>
        <w:t>33</w:t>
      </w:r>
      <w:r>
        <w:fldChar w:fldCharType="end"/>
      </w:r>
      <w:r>
        <w:t>: Answers to the question “Have you used or accessed online/internet pharmacy services?”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780"/>
        <w:gridCol w:w="1020"/>
      </w:tblGrid>
      <w:tr w:rsidR="004924E5" w:rsidRPr="00FD1BC8" w14:paraId="68B870B4" w14:textId="77777777" w:rsidTr="007E46C2">
        <w:trPr>
          <w:trHeight w:val="960"/>
          <w:jc w:val="center"/>
        </w:trPr>
        <w:tc>
          <w:tcPr>
            <w:tcW w:w="4800" w:type="dxa"/>
            <w:gridSpan w:val="2"/>
            <w:shd w:val="clear" w:color="auto" w:fill="C7D3EA"/>
            <w:vAlign w:val="bottom"/>
            <w:hideMark/>
          </w:tcPr>
          <w:p w14:paraId="270AE9CF" w14:textId="77777777" w:rsidR="004924E5" w:rsidRPr="00FD1BC8" w:rsidRDefault="004924E5" w:rsidP="007E46C2">
            <w:pPr>
              <w:spacing w:after="0" w:line="240" w:lineRule="auto"/>
              <w:jc w:val="center"/>
              <w:rPr>
                <w:rFonts w:eastAsia="Times New Roman" w:cs="Arial"/>
                <w:color w:val="000000"/>
              </w:rPr>
            </w:pPr>
            <w:r w:rsidRPr="00FD1BC8">
              <w:rPr>
                <w:rFonts w:eastAsia="Times New Roman" w:cs="Arial"/>
                <w:color w:val="000000"/>
              </w:rPr>
              <w:t>Why do/did you chose to use online/internet pharmacy services?</w:t>
            </w:r>
          </w:p>
        </w:tc>
      </w:tr>
      <w:tr w:rsidR="004924E5" w:rsidRPr="00FD1BC8" w14:paraId="0244CB7C" w14:textId="77777777" w:rsidTr="007E46C2">
        <w:trPr>
          <w:trHeight w:val="1149"/>
          <w:jc w:val="center"/>
        </w:trPr>
        <w:tc>
          <w:tcPr>
            <w:tcW w:w="3780" w:type="dxa"/>
            <w:shd w:val="clear" w:color="auto" w:fill="C7D3EA"/>
            <w:vAlign w:val="bottom"/>
            <w:hideMark/>
          </w:tcPr>
          <w:p w14:paraId="06C8A6AD"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 </w:t>
            </w:r>
          </w:p>
        </w:tc>
        <w:tc>
          <w:tcPr>
            <w:tcW w:w="1020" w:type="dxa"/>
            <w:shd w:val="clear" w:color="auto" w:fill="C7D3EA"/>
            <w:vAlign w:val="bottom"/>
            <w:hideMark/>
          </w:tcPr>
          <w:p w14:paraId="5AAEE2EF"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 of those who use Online</w:t>
            </w:r>
          </w:p>
        </w:tc>
      </w:tr>
      <w:tr w:rsidR="004924E5" w:rsidRPr="00FD1BC8" w14:paraId="57687C60" w14:textId="77777777" w:rsidTr="007E46C2">
        <w:trPr>
          <w:trHeight w:val="292"/>
          <w:jc w:val="center"/>
        </w:trPr>
        <w:tc>
          <w:tcPr>
            <w:tcW w:w="3780" w:type="dxa"/>
            <w:shd w:val="clear" w:color="auto" w:fill="C7D3EA"/>
            <w:vAlign w:val="bottom"/>
            <w:hideMark/>
          </w:tcPr>
          <w:p w14:paraId="243F13AA"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Home delivery of medication</w:t>
            </w:r>
          </w:p>
        </w:tc>
        <w:tc>
          <w:tcPr>
            <w:tcW w:w="1020" w:type="dxa"/>
            <w:shd w:val="clear" w:color="auto" w:fill="C7D3EA"/>
            <w:vAlign w:val="bottom"/>
            <w:hideMark/>
          </w:tcPr>
          <w:p w14:paraId="22E21C68"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51%</w:t>
            </w:r>
          </w:p>
        </w:tc>
      </w:tr>
      <w:tr w:rsidR="004924E5" w:rsidRPr="00FD1BC8" w14:paraId="1D8AD928" w14:textId="77777777" w:rsidTr="007E46C2">
        <w:trPr>
          <w:trHeight w:val="292"/>
          <w:jc w:val="center"/>
        </w:trPr>
        <w:tc>
          <w:tcPr>
            <w:tcW w:w="3780" w:type="dxa"/>
            <w:shd w:val="clear" w:color="auto" w:fill="C7D3EA"/>
            <w:vAlign w:val="bottom"/>
            <w:hideMark/>
          </w:tcPr>
          <w:p w14:paraId="5E784A5C"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Efficient and quick service</w:t>
            </w:r>
          </w:p>
        </w:tc>
        <w:tc>
          <w:tcPr>
            <w:tcW w:w="1020" w:type="dxa"/>
            <w:shd w:val="clear" w:color="auto" w:fill="C7D3EA"/>
            <w:vAlign w:val="bottom"/>
            <w:hideMark/>
          </w:tcPr>
          <w:p w14:paraId="47C9A34F"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48%</w:t>
            </w:r>
          </w:p>
        </w:tc>
      </w:tr>
      <w:tr w:rsidR="004924E5" w:rsidRPr="00FD1BC8" w14:paraId="44496A70" w14:textId="77777777" w:rsidTr="007E46C2">
        <w:trPr>
          <w:trHeight w:val="292"/>
          <w:jc w:val="center"/>
        </w:trPr>
        <w:tc>
          <w:tcPr>
            <w:tcW w:w="3780" w:type="dxa"/>
            <w:shd w:val="clear" w:color="auto" w:fill="C7D3EA"/>
            <w:vAlign w:val="bottom"/>
            <w:hideMark/>
          </w:tcPr>
          <w:p w14:paraId="72B983A2"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Services available</w:t>
            </w:r>
          </w:p>
        </w:tc>
        <w:tc>
          <w:tcPr>
            <w:tcW w:w="1020" w:type="dxa"/>
            <w:shd w:val="clear" w:color="auto" w:fill="C7D3EA"/>
            <w:vAlign w:val="bottom"/>
            <w:hideMark/>
          </w:tcPr>
          <w:p w14:paraId="51FBCF38"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19%</w:t>
            </w:r>
          </w:p>
        </w:tc>
      </w:tr>
      <w:tr w:rsidR="004924E5" w:rsidRPr="00FD1BC8" w14:paraId="60F1F744" w14:textId="77777777" w:rsidTr="007E46C2">
        <w:trPr>
          <w:trHeight w:val="292"/>
          <w:jc w:val="center"/>
        </w:trPr>
        <w:tc>
          <w:tcPr>
            <w:tcW w:w="3780" w:type="dxa"/>
            <w:shd w:val="clear" w:color="auto" w:fill="C7D3EA"/>
            <w:vAlign w:val="bottom"/>
            <w:hideMark/>
          </w:tcPr>
          <w:p w14:paraId="4F853562"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lastRenderedPageBreak/>
              <w:t>Other (please specify)</w:t>
            </w:r>
          </w:p>
        </w:tc>
        <w:tc>
          <w:tcPr>
            <w:tcW w:w="1020" w:type="dxa"/>
            <w:shd w:val="clear" w:color="auto" w:fill="C7D3EA"/>
            <w:vAlign w:val="bottom"/>
            <w:hideMark/>
          </w:tcPr>
          <w:p w14:paraId="445DE39E"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18%</w:t>
            </w:r>
          </w:p>
        </w:tc>
      </w:tr>
      <w:tr w:rsidR="004924E5" w:rsidRPr="00FD1BC8" w14:paraId="7F14B7EE" w14:textId="77777777" w:rsidTr="007E46C2">
        <w:trPr>
          <w:trHeight w:val="292"/>
          <w:jc w:val="center"/>
        </w:trPr>
        <w:tc>
          <w:tcPr>
            <w:tcW w:w="3780" w:type="dxa"/>
            <w:shd w:val="clear" w:color="auto" w:fill="C7D3EA"/>
            <w:vAlign w:val="bottom"/>
            <w:hideMark/>
          </w:tcPr>
          <w:p w14:paraId="3DA7E7DC"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Late opening hours</w:t>
            </w:r>
          </w:p>
        </w:tc>
        <w:tc>
          <w:tcPr>
            <w:tcW w:w="1020" w:type="dxa"/>
            <w:shd w:val="clear" w:color="auto" w:fill="C7D3EA"/>
            <w:vAlign w:val="bottom"/>
            <w:hideMark/>
          </w:tcPr>
          <w:p w14:paraId="6D76BBEF"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8%</w:t>
            </w:r>
          </w:p>
        </w:tc>
      </w:tr>
      <w:tr w:rsidR="004924E5" w:rsidRPr="00FD1BC8" w14:paraId="2B76E79A" w14:textId="77777777" w:rsidTr="007E46C2">
        <w:trPr>
          <w:trHeight w:val="292"/>
          <w:jc w:val="center"/>
        </w:trPr>
        <w:tc>
          <w:tcPr>
            <w:tcW w:w="3780" w:type="dxa"/>
            <w:shd w:val="clear" w:color="auto" w:fill="C7D3EA"/>
            <w:vAlign w:val="bottom"/>
            <w:hideMark/>
          </w:tcPr>
          <w:p w14:paraId="58E12C41"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Availability of urgent advice</w:t>
            </w:r>
          </w:p>
        </w:tc>
        <w:tc>
          <w:tcPr>
            <w:tcW w:w="1020" w:type="dxa"/>
            <w:shd w:val="clear" w:color="auto" w:fill="C7D3EA"/>
            <w:vAlign w:val="bottom"/>
            <w:hideMark/>
          </w:tcPr>
          <w:p w14:paraId="516BB120"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5%</w:t>
            </w:r>
          </w:p>
        </w:tc>
      </w:tr>
      <w:tr w:rsidR="004924E5" w:rsidRPr="00FD1BC8" w14:paraId="2AC88286" w14:textId="77777777" w:rsidTr="007E46C2">
        <w:trPr>
          <w:trHeight w:val="292"/>
          <w:jc w:val="center"/>
        </w:trPr>
        <w:tc>
          <w:tcPr>
            <w:tcW w:w="3780" w:type="dxa"/>
            <w:shd w:val="clear" w:color="auto" w:fill="C7D3EA"/>
            <w:vAlign w:val="bottom"/>
            <w:hideMark/>
          </w:tcPr>
          <w:p w14:paraId="0B9FC3A8" w14:textId="77777777" w:rsidR="004924E5" w:rsidRPr="00FD1BC8" w:rsidRDefault="004924E5" w:rsidP="007E46C2">
            <w:pPr>
              <w:spacing w:after="0" w:line="240" w:lineRule="auto"/>
              <w:rPr>
                <w:rFonts w:eastAsia="Times New Roman" w:cs="Arial"/>
                <w:color w:val="000000"/>
              </w:rPr>
            </w:pPr>
            <w:r w:rsidRPr="00FD1BC8">
              <w:rPr>
                <w:rFonts w:eastAsia="Times New Roman" w:cs="Arial"/>
                <w:color w:val="000000"/>
              </w:rPr>
              <w:t>Knowledge</w:t>
            </w:r>
          </w:p>
        </w:tc>
        <w:tc>
          <w:tcPr>
            <w:tcW w:w="1020" w:type="dxa"/>
            <w:shd w:val="clear" w:color="auto" w:fill="C7D3EA"/>
            <w:vAlign w:val="bottom"/>
            <w:hideMark/>
          </w:tcPr>
          <w:p w14:paraId="0B21CD2A" w14:textId="77777777" w:rsidR="004924E5" w:rsidRPr="00FD1BC8" w:rsidRDefault="004924E5" w:rsidP="007E46C2">
            <w:pPr>
              <w:spacing w:after="0" w:line="240" w:lineRule="auto"/>
              <w:jc w:val="right"/>
              <w:rPr>
                <w:rFonts w:eastAsia="Times New Roman" w:cs="Arial"/>
                <w:color w:val="000000"/>
              </w:rPr>
            </w:pPr>
            <w:r w:rsidRPr="00FD1BC8">
              <w:rPr>
                <w:rFonts w:eastAsia="Times New Roman" w:cs="Arial"/>
                <w:color w:val="000000"/>
              </w:rPr>
              <w:t>5%</w:t>
            </w:r>
          </w:p>
        </w:tc>
      </w:tr>
    </w:tbl>
    <w:p w14:paraId="69442658" w14:textId="4D1D1333" w:rsidR="004924E5" w:rsidRDefault="00AC4C6D" w:rsidP="00AC4C6D">
      <w:pPr>
        <w:pStyle w:val="Caption"/>
      </w:pPr>
      <w:r>
        <w:t xml:space="preserve">Table </w:t>
      </w:r>
      <w:r>
        <w:fldChar w:fldCharType="begin"/>
      </w:r>
      <w:r>
        <w:instrText>SEQ Table \* ARABIC</w:instrText>
      </w:r>
      <w:r>
        <w:fldChar w:fldCharType="separate"/>
      </w:r>
      <w:r>
        <w:rPr>
          <w:noProof/>
        </w:rPr>
        <w:t>34</w:t>
      </w:r>
      <w:r>
        <w:fldChar w:fldCharType="end"/>
      </w:r>
      <w:r>
        <w:t>: Answers to the question “Why do/did you chose to use online/internet pharmacy services?”</w:t>
      </w:r>
    </w:p>
    <w:p w14:paraId="767FEBBC" w14:textId="77777777" w:rsidR="004924E5" w:rsidRDefault="004924E5" w:rsidP="008D3B10">
      <w:pPr>
        <w:pStyle w:val="ListParagraph"/>
        <w:numPr>
          <w:ilvl w:val="0"/>
          <w:numId w:val="23"/>
        </w:numPr>
        <w:spacing w:before="0" w:after="0" w:line="240" w:lineRule="auto"/>
      </w:pPr>
      <w:r>
        <w:t xml:space="preserve">25–54-year-olds were more likely to </w:t>
      </w:r>
      <w:r w:rsidRPr="00922483">
        <w:t>use online services because of late</w:t>
      </w:r>
      <w:r>
        <w:t>r</w:t>
      </w:r>
      <w:r w:rsidRPr="00922483">
        <w:t xml:space="preserve"> opening hours</w:t>
      </w:r>
    </w:p>
    <w:p w14:paraId="24838F79" w14:textId="77777777" w:rsidR="004924E5" w:rsidRDefault="004924E5" w:rsidP="004924E5">
      <w:pPr>
        <w:spacing w:after="0" w:line="240" w:lineRule="auto"/>
      </w:pPr>
    </w:p>
    <w:p w14:paraId="6623D851" w14:textId="77777777" w:rsidR="004924E5" w:rsidRPr="00F42CEF" w:rsidRDefault="004924E5" w:rsidP="004924E5">
      <w:pPr>
        <w:spacing w:after="0" w:line="240" w:lineRule="auto"/>
        <w:rPr>
          <w:color w:val="477CBF"/>
        </w:rPr>
      </w:pPr>
      <w:r w:rsidRPr="00F42CEF">
        <w:rPr>
          <w:color w:val="477CBF"/>
        </w:rPr>
        <w:t>Communication of advice</w:t>
      </w:r>
    </w:p>
    <w:p w14:paraId="082E8095" w14:textId="77777777" w:rsidR="004924E5" w:rsidRDefault="004924E5" w:rsidP="004924E5">
      <w:pPr>
        <w:spacing w:after="0" w:line="240" w:lineRule="auto"/>
      </w:pPr>
    </w:p>
    <w:tbl>
      <w:tblPr>
        <w:tblW w:w="3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00"/>
        <w:gridCol w:w="1020"/>
      </w:tblGrid>
      <w:tr w:rsidR="00AC4C6D" w:rsidRPr="00224E0C" w14:paraId="6C2648C1" w14:textId="77777777" w:rsidTr="00474019">
        <w:trPr>
          <w:trHeight w:val="1078"/>
          <w:jc w:val="center"/>
        </w:trPr>
        <w:tc>
          <w:tcPr>
            <w:tcW w:w="3420" w:type="dxa"/>
            <w:gridSpan w:val="2"/>
            <w:shd w:val="clear" w:color="auto" w:fill="C7D3EA"/>
            <w:vAlign w:val="center"/>
            <w:hideMark/>
          </w:tcPr>
          <w:p w14:paraId="52479C22" w14:textId="77777777" w:rsidR="00AC4C6D" w:rsidRPr="00224E0C" w:rsidRDefault="00AC4C6D" w:rsidP="007E46C2">
            <w:pPr>
              <w:spacing w:after="0" w:line="240" w:lineRule="auto"/>
              <w:jc w:val="center"/>
              <w:rPr>
                <w:rFonts w:eastAsia="Times New Roman" w:cs="Arial"/>
                <w:color w:val="000000"/>
                <w:szCs w:val="24"/>
              </w:rPr>
            </w:pPr>
            <w:r w:rsidRPr="00224E0C">
              <w:rPr>
                <w:rFonts w:eastAsia="Times New Roman" w:cs="Arial"/>
                <w:color w:val="000000"/>
                <w:szCs w:val="24"/>
              </w:rPr>
              <w:t>The advice was well communicated to you (e.g.</w:t>
            </w:r>
          </w:p>
          <w:p w14:paraId="7B078FD8" w14:textId="203D96ED" w:rsidR="00AC4C6D" w:rsidRPr="00224E0C" w:rsidRDefault="00AC4C6D" w:rsidP="007E46C2">
            <w:pPr>
              <w:spacing w:after="0" w:line="240" w:lineRule="auto"/>
              <w:jc w:val="center"/>
              <w:rPr>
                <w:rFonts w:eastAsia="Times New Roman" w:cs="Arial"/>
                <w:color w:val="000000"/>
                <w:szCs w:val="24"/>
              </w:rPr>
            </w:pPr>
            <w:r w:rsidRPr="00224E0C">
              <w:rPr>
                <w:rFonts w:eastAsia="Times New Roman" w:cs="Arial"/>
                <w:color w:val="000000"/>
                <w:szCs w:val="24"/>
              </w:rPr>
              <w:t>spoken, written down)</w:t>
            </w:r>
          </w:p>
        </w:tc>
      </w:tr>
      <w:tr w:rsidR="004924E5" w:rsidRPr="00224E0C" w14:paraId="2B7B1794" w14:textId="77777777" w:rsidTr="007E46C2">
        <w:trPr>
          <w:trHeight w:val="300"/>
          <w:jc w:val="center"/>
        </w:trPr>
        <w:tc>
          <w:tcPr>
            <w:tcW w:w="2400" w:type="dxa"/>
            <w:shd w:val="clear" w:color="auto" w:fill="C7D3EA"/>
            <w:vAlign w:val="bottom"/>
            <w:hideMark/>
          </w:tcPr>
          <w:p w14:paraId="3B08CBB4"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 </w:t>
            </w:r>
          </w:p>
        </w:tc>
        <w:tc>
          <w:tcPr>
            <w:tcW w:w="1020" w:type="dxa"/>
            <w:shd w:val="clear" w:color="auto" w:fill="C7D3EA"/>
            <w:vAlign w:val="bottom"/>
            <w:hideMark/>
          </w:tcPr>
          <w:p w14:paraId="5B7B7D19" w14:textId="77777777" w:rsidR="004924E5" w:rsidRPr="00224E0C" w:rsidRDefault="004924E5" w:rsidP="007E46C2">
            <w:pPr>
              <w:spacing w:after="0" w:line="240" w:lineRule="auto"/>
              <w:jc w:val="center"/>
              <w:rPr>
                <w:rFonts w:eastAsia="Times New Roman" w:cs="Arial"/>
                <w:color w:val="000000"/>
                <w:sz w:val="18"/>
                <w:szCs w:val="18"/>
              </w:rPr>
            </w:pPr>
            <w:r w:rsidRPr="00224E0C">
              <w:rPr>
                <w:rFonts w:eastAsia="Times New Roman" w:cs="Arial"/>
                <w:color w:val="000000"/>
                <w:sz w:val="18"/>
                <w:szCs w:val="18"/>
              </w:rPr>
              <w:t>Percent</w:t>
            </w:r>
          </w:p>
        </w:tc>
      </w:tr>
      <w:tr w:rsidR="004924E5" w:rsidRPr="00224E0C" w14:paraId="27BF2FD0" w14:textId="77777777" w:rsidTr="007E46C2">
        <w:trPr>
          <w:trHeight w:val="300"/>
          <w:jc w:val="center"/>
        </w:trPr>
        <w:tc>
          <w:tcPr>
            <w:tcW w:w="2400" w:type="dxa"/>
            <w:shd w:val="clear" w:color="auto" w:fill="C7D3EA"/>
            <w:hideMark/>
          </w:tcPr>
          <w:p w14:paraId="2C444708"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Definitely agree</w:t>
            </w:r>
          </w:p>
        </w:tc>
        <w:tc>
          <w:tcPr>
            <w:tcW w:w="1020" w:type="dxa"/>
            <w:shd w:val="clear" w:color="auto" w:fill="C7D3EA"/>
            <w:hideMark/>
          </w:tcPr>
          <w:p w14:paraId="5265D592" w14:textId="77777777" w:rsidR="004924E5" w:rsidRPr="00224E0C" w:rsidRDefault="004924E5" w:rsidP="007E46C2">
            <w:pPr>
              <w:spacing w:after="0" w:line="240" w:lineRule="auto"/>
              <w:jc w:val="right"/>
              <w:rPr>
                <w:rFonts w:eastAsia="Times New Roman" w:cs="Arial"/>
                <w:color w:val="000000"/>
                <w:sz w:val="18"/>
                <w:szCs w:val="18"/>
              </w:rPr>
            </w:pPr>
            <w:r w:rsidRPr="00224E0C">
              <w:rPr>
                <w:rFonts w:eastAsia="Times New Roman" w:cs="Arial"/>
                <w:color w:val="000000"/>
                <w:sz w:val="18"/>
                <w:szCs w:val="18"/>
              </w:rPr>
              <w:t>55%</w:t>
            </w:r>
          </w:p>
        </w:tc>
      </w:tr>
      <w:tr w:rsidR="004924E5" w:rsidRPr="00224E0C" w14:paraId="5E6EE501" w14:textId="77777777" w:rsidTr="007E46C2">
        <w:trPr>
          <w:trHeight w:val="300"/>
          <w:jc w:val="center"/>
        </w:trPr>
        <w:tc>
          <w:tcPr>
            <w:tcW w:w="2400" w:type="dxa"/>
            <w:shd w:val="clear" w:color="auto" w:fill="C7D3EA"/>
            <w:hideMark/>
          </w:tcPr>
          <w:p w14:paraId="6C99F602"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Somewhat agree</w:t>
            </w:r>
          </w:p>
        </w:tc>
        <w:tc>
          <w:tcPr>
            <w:tcW w:w="1020" w:type="dxa"/>
            <w:shd w:val="clear" w:color="auto" w:fill="C7D3EA"/>
            <w:hideMark/>
          </w:tcPr>
          <w:p w14:paraId="697F9473" w14:textId="77777777" w:rsidR="004924E5" w:rsidRPr="00224E0C" w:rsidRDefault="004924E5" w:rsidP="007E46C2">
            <w:pPr>
              <w:spacing w:after="0" w:line="240" w:lineRule="auto"/>
              <w:jc w:val="right"/>
              <w:rPr>
                <w:rFonts w:eastAsia="Times New Roman" w:cs="Arial"/>
                <w:color w:val="000000"/>
                <w:sz w:val="18"/>
                <w:szCs w:val="18"/>
              </w:rPr>
            </w:pPr>
            <w:r w:rsidRPr="00224E0C">
              <w:rPr>
                <w:rFonts w:eastAsia="Times New Roman" w:cs="Arial"/>
                <w:color w:val="000000"/>
                <w:sz w:val="18"/>
                <w:szCs w:val="18"/>
              </w:rPr>
              <w:t>18%</w:t>
            </w:r>
          </w:p>
        </w:tc>
      </w:tr>
      <w:tr w:rsidR="004924E5" w:rsidRPr="00224E0C" w14:paraId="02E48A83" w14:textId="77777777" w:rsidTr="007E46C2">
        <w:trPr>
          <w:trHeight w:val="318"/>
          <w:jc w:val="center"/>
        </w:trPr>
        <w:tc>
          <w:tcPr>
            <w:tcW w:w="2400" w:type="dxa"/>
            <w:shd w:val="clear" w:color="auto" w:fill="C7D3EA"/>
            <w:hideMark/>
          </w:tcPr>
          <w:p w14:paraId="5F544069"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Neither agree nor disagree</w:t>
            </w:r>
          </w:p>
        </w:tc>
        <w:tc>
          <w:tcPr>
            <w:tcW w:w="1020" w:type="dxa"/>
            <w:shd w:val="clear" w:color="auto" w:fill="C7D3EA"/>
            <w:hideMark/>
          </w:tcPr>
          <w:p w14:paraId="3E37EF4F" w14:textId="77777777" w:rsidR="004924E5" w:rsidRPr="00224E0C" w:rsidRDefault="004924E5" w:rsidP="007E46C2">
            <w:pPr>
              <w:spacing w:after="0" w:line="240" w:lineRule="auto"/>
              <w:jc w:val="right"/>
              <w:rPr>
                <w:rFonts w:eastAsia="Times New Roman" w:cs="Arial"/>
                <w:color w:val="000000"/>
                <w:sz w:val="18"/>
                <w:szCs w:val="18"/>
              </w:rPr>
            </w:pPr>
            <w:r w:rsidRPr="00224E0C">
              <w:rPr>
                <w:rFonts w:eastAsia="Times New Roman" w:cs="Arial"/>
                <w:color w:val="000000"/>
                <w:sz w:val="18"/>
                <w:szCs w:val="18"/>
              </w:rPr>
              <w:t>9%</w:t>
            </w:r>
          </w:p>
        </w:tc>
      </w:tr>
      <w:tr w:rsidR="004924E5" w:rsidRPr="00224E0C" w14:paraId="00DED729" w14:textId="77777777" w:rsidTr="007E46C2">
        <w:trPr>
          <w:trHeight w:val="300"/>
          <w:jc w:val="center"/>
        </w:trPr>
        <w:tc>
          <w:tcPr>
            <w:tcW w:w="2400" w:type="dxa"/>
            <w:shd w:val="clear" w:color="auto" w:fill="C7D3EA"/>
            <w:hideMark/>
          </w:tcPr>
          <w:p w14:paraId="14A26AC8"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Somewhat disagree</w:t>
            </w:r>
          </w:p>
        </w:tc>
        <w:tc>
          <w:tcPr>
            <w:tcW w:w="1020" w:type="dxa"/>
            <w:shd w:val="clear" w:color="auto" w:fill="C7D3EA"/>
            <w:hideMark/>
          </w:tcPr>
          <w:p w14:paraId="35E72E0F" w14:textId="77777777" w:rsidR="004924E5" w:rsidRPr="00224E0C" w:rsidRDefault="004924E5" w:rsidP="007E46C2">
            <w:pPr>
              <w:spacing w:after="0" w:line="240" w:lineRule="auto"/>
              <w:jc w:val="right"/>
              <w:rPr>
                <w:rFonts w:eastAsia="Times New Roman" w:cs="Arial"/>
                <w:color w:val="000000"/>
                <w:sz w:val="18"/>
                <w:szCs w:val="18"/>
              </w:rPr>
            </w:pPr>
            <w:r w:rsidRPr="00224E0C">
              <w:rPr>
                <w:rFonts w:eastAsia="Times New Roman" w:cs="Arial"/>
                <w:color w:val="000000"/>
                <w:sz w:val="18"/>
                <w:szCs w:val="18"/>
              </w:rPr>
              <w:t>3%</w:t>
            </w:r>
          </w:p>
        </w:tc>
      </w:tr>
      <w:tr w:rsidR="004924E5" w:rsidRPr="00224E0C" w14:paraId="18C408E1" w14:textId="77777777" w:rsidTr="007E46C2">
        <w:trPr>
          <w:trHeight w:val="300"/>
          <w:jc w:val="center"/>
        </w:trPr>
        <w:tc>
          <w:tcPr>
            <w:tcW w:w="2400" w:type="dxa"/>
            <w:shd w:val="clear" w:color="auto" w:fill="C7D3EA"/>
            <w:hideMark/>
          </w:tcPr>
          <w:p w14:paraId="7FF0EDF9" w14:textId="77777777" w:rsidR="004924E5" w:rsidRPr="00224E0C" w:rsidRDefault="004924E5" w:rsidP="007E46C2">
            <w:pPr>
              <w:spacing w:after="0" w:line="240" w:lineRule="auto"/>
              <w:rPr>
                <w:rFonts w:eastAsia="Times New Roman" w:cs="Arial"/>
                <w:color w:val="000000"/>
                <w:sz w:val="18"/>
                <w:szCs w:val="18"/>
              </w:rPr>
            </w:pPr>
            <w:r w:rsidRPr="00224E0C">
              <w:rPr>
                <w:rFonts w:eastAsia="Times New Roman" w:cs="Arial"/>
                <w:color w:val="000000"/>
                <w:sz w:val="18"/>
                <w:szCs w:val="18"/>
              </w:rPr>
              <w:t>Definitely disagree</w:t>
            </w:r>
          </w:p>
        </w:tc>
        <w:tc>
          <w:tcPr>
            <w:tcW w:w="1020" w:type="dxa"/>
            <w:shd w:val="clear" w:color="auto" w:fill="C7D3EA"/>
            <w:hideMark/>
          </w:tcPr>
          <w:p w14:paraId="58E65E7F" w14:textId="77777777" w:rsidR="004924E5" w:rsidRPr="00224E0C" w:rsidRDefault="004924E5" w:rsidP="007E46C2">
            <w:pPr>
              <w:spacing w:after="0" w:line="240" w:lineRule="auto"/>
              <w:jc w:val="right"/>
              <w:rPr>
                <w:rFonts w:eastAsia="Times New Roman" w:cs="Arial"/>
                <w:color w:val="000000"/>
                <w:sz w:val="18"/>
                <w:szCs w:val="18"/>
              </w:rPr>
            </w:pPr>
            <w:r w:rsidRPr="00224E0C">
              <w:rPr>
                <w:rFonts w:eastAsia="Times New Roman" w:cs="Arial"/>
                <w:color w:val="000000"/>
                <w:sz w:val="18"/>
                <w:szCs w:val="18"/>
              </w:rPr>
              <w:t>2%</w:t>
            </w:r>
          </w:p>
        </w:tc>
      </w:tr>
    </w:tbl>
    <w:p w14:paraId="339551F1" w14:textId="6D7DE8A7" w:rsidR="004924E5" w:rsidRDefault="00AC4C6D" w:rsidP="00AC4C6D">
      <w:pPr>
        <w:pStyle w:val="Caption"/>
      </w:pPr>
      <w:r>
        <w:t xml:space="preserve">Table </w:t>
      </w:r>
      <w:r>
        <w:fldChar w:fldCharType="begin"/>
      </w:r>
      <w:r>
        <w:instrText>SEQ Table \* ARABIC</w:instrText>
      </w:r>
      <w:r>
        <w:fldChar w:fldCharType="separate"/>
      </w:r>
      <w:r>
        <w:rPr>
          <w:noProof/>
        </w:rPr>
        <w:t>35</w:t>
      </w:r>
      <w:r>
        <w:fldChar w:fldCharType="end"/>
      </w:r>
      <w:r>
        <w:t>: Answers to the question “The advice was well communicated to you (e.g. spoken, written down)</w:t>
      </w:r>
    </w:p>
    <w:p w14:paraId="027558DB" w14:textId="77777777" w:rsidR="004924E5" w:rsidRPr="00F42CEF" w:rsidRDefault="004924E5" w:rsidP="004924E5">
      <w:pPr>
        <w:spacing w:after="0" w:line="240" w:lineRule="auto"/>
        <w:rPr>
          <w:color w:val="477CBF"/>
        </w:rPr>
      </w:pPr>
      <w:r w:rsidRPr="00F42CEF">
        <w:rPr>
          <w:color w:val="477CBF"/>
        </w:rPr>
        <w:t xml:space="preserve">Did the advice offered meet your expectations? </w:t>
      </w:r>
    </w:p>
    <w:p w14:paraId="6ADE75EA" w14:textId="77777777" w:rsidR="004924E5" w:rsidRDefault="004924E5" w:rsidP="004924E5">
      <w:pPr>
        <w:spacing w:after="0" w:line="240" w:lineRule="auto"/>
      </w:pPr>
    </w:p>
    <w:p w14:paraId="735E803A" w14:textId="77777777" w:rsidR="004924E5" w:rsidRDefault="004924E5" w:rsidP="004924E5">
      <w:pPr>
        <w:spacing w:after="0" w:line="240" w:lineRule="auto"/>
      </w:pPr>
    </w:p>
    <w:p w14:paraId="0B6A2955" w14:textId="77777777" w:rsidR="004924E5" w:rsidRDefault="004924E5" w:rsidP="004924E5">
      <w:pPr>
        <w:spacing w:after="0" w:line="240" w:lineRule="auto"/>
      </w:pPr>
      <w:r w:rsidRPr="00224E0C">
        <w:rPr>
          <w:noProof/>
          <w:color w:val="2B579A"/>
          <w:shd w:val="clear" w:color="auto" w:fill="E6E6E6"/>
        </w:rPr>
        <mc:AlternateContent>
          <mc:Choice Requires="wps">
            <w:drawing>
              <wp:anchor distT="0" distB="0" distL="114300" distR="114300" simplePos="0" relativeHeight="251658246" behindDoc="0" locked="0" layoutInCell="1" allowOverlap="1" wp14:anchorId="3E2A9678" wp14:editId="02DB46EC">
                <wp:simplePos x="0" y="0"/>
                <wp:positionH relativeFrom="column">
                  <wp:posOffset>1853565</wp:posOffset>
                </wp:positionH>
                <wp:positionV relativeFrom="paragraph">
                  <wp:posOffset>1404620</wp:posOffset>
                </wp:positionV>
                <wp:extent cx="699135" cy="260985"/>
                <wp:effectExtent l="0" t="0" r="0" b="0"/>
                <wp:wrapNone/>
                <wp:docPr id="15" name="TextBox 6"/>
                <wp:cNvGraphicFramePr/>
                <a:graphic xmlns:a="http://schemas.openxmlformats.org/drawingml/2006/main">
                  <a:graphicData uri="http://schemas.microsoft.com/office/word/2010/wordprocessingShape">
                    <wps:wsp>
                      <wps:cNvSpPr txBox="1"/>
                      <wps:spPr>
                        <a:xfrm>
                          <a:off x="0" y="0"/>
                          <a:ext cx="699135" cy="260985"/>
                        </a:xfrm>
                        <a:prstGeom prst="rect">
                          <a:avLst/>
                        </a:prstGeom>
                        <a:noFill/>
                      </wps:spPr>
                      <wps:txbx>
                        <w:txbxContent>
                          <w:p w14:paraId="55C138A8" w14:textId="77777777" w:rsidR="004924E5" w:rsidRDefault="004924E5" w:rsidP="004924E5">
                            <w:pPr>
                              <w:textAlignment w:val="baseline"/>
                              <w:rPr>
                                <w:color w:val="000000"/>
                                <w:kern w:val="24"/>
                              </w:rPr>
                            </w:pPr>
                            <w:r>
                              <w:rPr>
                                <w:color w:val="000000"/>
                                <w:kern w:val="24"/>
                              </w:rPr>
                              <w:t>73%</w:t>
                            </w:r>
                          </w:p>
                        </w:txbxContent>
                      </wps:txbx>
                      <wps:bodyPr wrap="square" rtlCol="0">
                        <a:spAutoFit/>
                      </wps:bodyPr>
                    </wps:wsp>
                  </a:graphicData>
                </a:graphic>
                <wp14:sizeRelH relativeFrom="margin">
                  <wp14:pctWidth>0</wp14:pctWidth>
                </wp14:sizeRelH>
              </wp:anchor>
            </w:drawing>
          </mc:Choice>
          <mc:Fallback>
            <w:pict>
              <v:shape w14:anchorId="3E2A9678" id="TextBox 6" o:spid="_x0000_s1029" type="#_x0000_t202" style="position:absolute;margin-left:145.95pt;margin-top:110.6pt;width:55.05pt;height:20.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R2hAEAAO8CAAAOAAAAZHJzL2Uyb0RvYy54bWysUk1v2zAMvQ/ofxB0b+ykaNAYcYqtRXcZ&#10;tgHdfoAiS7EAS9RIJXb+/SglTYrtNuxCSfx4fHzU+nHygzgYJAehlfNZLYUJGjoXdq38+ePl9kEK&#10;Sip0aoBgWnk0JB83Nx/WY2zMAnoYOoOCQQI1Y2xln1Jsqop0b7yiGUQTOGgBvUr8xF3VoRoZ3Q/V&#10;oq6X1QjYRQRtiNj7fArKTcG31uj0zVoySQytZG6pWCx2m221Watmhyr2Tp9pqH9g4ZUL3PQC9ayS&#10;Ent0f0F5pxEIbJpp8BVY67QpM/A08/qPaV57FU2ZhcWheJGJ/h+s/np4jd9RpOkTTLzALMgYqSF2&#10;5nkmiz6fzFRwnCU8XmQzUxKancvVan53L4Xm0GJZrx7uM0p1LY5I6bMBL/KllchbKWKpwxdKp9S3&#10;lNwrwIsbhuy/Msm3NG0n4bpW3r2x3EJ3ZPIj76+V9Guv0EiBaXiCsu4MRvHjPjFg6ZNRTjVncFa1&#10;MD3/gLy29++Sdf2nm98AAAD//wMAUEsDBBQABgAIAAAAIQA0iv973wAAAAsBAAAPAAAAZHJzL2Rv&#10;d25yZXYueG1sTI/NTsMwEITvSLyDtUjcqB0DFU3jVBU/EgculHB3420SEa+j2G3St2c50dvuzmj2&#10;m2Iz+16ccIxdIAPZQoFAqoPrqDFQfb3dPYGIyZKzfSA0cMYIm/L6qrC5CxN94mmXGsEhFHNroE1p&#10;yKWMdYvexkUYkFg7hNHbxOvYSDfaicN9L7VSS+ltR/yhtQM+t1j/7I7eQEpum52rVx/fv+ePl6lV&#10;9aOtjLm9mbdrEAnn9G+GP3xGh5KZ9uFILoregF5lK7byoDMNgh0PSnO7PV+W+h5kWcjLDuUvAAAA&#10;//8DAFBLAQItABQABgAIAAAAIQC2gziS/gAAAOEBAAATAAAAAAAAAAAAAAAAAAAAAABbQ29udGVu&#10;dF9UeXBlc10ueG1sUEsBAi0AFAAGAAgAAAAhADj9If/WAAAAlAEAAAsAAAAAAAAAAAAAAAAALwEA&#10;AF9yZWxzLy5yZWxzUEsBAi0AFAAGAAgAAAAhAEeqFHaEAQAA7wIAAA4AAAAAAAAAAAAAAAAALgIA&#10;AGRycy9lMm9Eb2MueG1sUEsBAi0AFAAGAAgAAAAhADSK/3vfAAAACwEAAA8AAAAAAAAAAAAAAAAA&#10;3gMAAGRycy9kb3ducmV2LnhtbFBLBQYAAAAABAAEAPMAAADqBAAAAAA=&#10;" filled="f" stroked="f">
                <v:textbox style="mso-fit-shape-to-text:t">
                  <w:txbxContent>
                    <w:p w14:paraId="55C138A8" w14:textId="77777777" w:rsidR="004924E5" w:rsidRDefault="004924E5" w:rsidP="004924E5">
                      <w:pPr>
                        <w:textAlignment w:val="baseline"/>
                        <w:rPr>
                          <w:color w:val="000000"/>
                          <w:kern w:val="24"/>
                        </w:rPr>
                      </w:pPr>
                      <w:r>
                        <w:rPr>
                          <w:color w:val="000000"/>
                          <w:kern w:val="24"/>
                        </w:rPr>
                        <w:t>73%</w:t>
                      </w:r>
                    </w:p>
                  </w:txbxContent>
                </v:textbox>
              </v:shape>
            </w:pict>
          </mc:Fallback>
        </mc:AlternateContent>
      </w:r>
      <w:r w:rsidRPr="00224E0C">
        <w:rPr>
          <w:noProof/>
          <w:color w:val="2B579A"/>
          <w:shd w:val="clear" w:color="auto" w:fill="E6E6E6"/>
        </w:rPr>
        <mc:AlternateContent>
          <mc:Choice Requires="wps">
            <w:drawing>
              <wp:anchor distT="0" distB="0" distL="114300" distR="114300" simplePos="0" relativeHeight="251658247" behindDoc="0" locked="0" layoutInCell="1" allowOverlap="1" wp14:anchorId="313C9098" wp14:editId="7B83EE49">
                <wp:simplePos x="0" y="0"/>
                <wp:positionH relativeFrom="column">
                  <wp:posOffset>1759585</wp:posOffset>
                </wp:positionH>
                <wp:positionV relativeFrom="paragraph">
                  <wp:posOffset>2208668</wp:posOffset>
                </wp:positionV>
                <wp:extent cx="591848" cy="260985"/>
                <wp:effectExtent l="0" t="0" r="0" b="0"/>
                <wp:wrapNone/>
                <wp:docPr id="14" name="TextBox 7"/>
                <wp:cNvGraphicFramePr/>
                <a:graphic xmlns:a="http://schemas.openxmlformats.org/drawingml/2006/main">
                  <a:graphicData uri="http://schemas.microsoft.com/office/word/2010/wordprocessingShape">
                    <wps:wsp>
                      <wps:cNvSpPr txBox="1"/>
                      <wps:spPr>
                        <a:xfrm>
                          <a:off x="0" y="0"/>
                          <a:ext cx="591848" cy="260985"/>
                        </a:xfrm>
                        <a:prstGeom prst="rect">
                          <a:avLst/>
                        </a:prstGeom>
                        <a:noFill/>
                      </wps:spPr>
                      <wps:txbx>
                        <w:txbxContent>
                          <w:p w14:paraId="70A76862" w14:textId="77777777" w:rsidR="004924E5" w:rsidRPr="00F42CEF" w:rsidRDefault="004924E5" w:rsidP="004924E5">
                            <w:pPr>
                              <w:textAlignment w:val="baseline"/>
                              <w:rPr>
                                <w:color w:val="000000"/>
                                <w:kern w:val="24"/>
                                <w:szCs w:val="24"/>
                              </w:rPr>
                            </w:pPr>
                            <w:r w:rsidRPr="00F42CEF">
                              <w:rPr>
                                <w:color w:val="000000"/>
                                <w:kern w:val="24"/>
                                <w:szCs w:val="24"/>
                              </w:rPr>
                              <w:t>10%</w:t>
                            </w:r>
                          </w:p>
                        </w:txbxContent>
                      </wps:txbx>
                      <wps:bodyPr wrap="square" rtlCol="0">
                        <a:spAutoFit/>
                      </wps:bodyPr>
                    </wps:wsp>
                  </a:graphicData>
                </a:graphic>
                <wp14:sizeRelH relativeFrom="margin">
                  <wp14:pctWidth>0</wp14:pctWidth>
                </wp14:sizeRelH>
              </wp:anchor>
            </w:drawing>
          </mc:Choice>
          <mc:Fallback>
            <w:pict>
              <v:shape w14:anchorId="313C9098" id="TextBox 7" o:spid="_x0000_s1030" type="#_x0000_t202" style="position:absolute;margin-left:138.55pt;margin-top:173.9pt;width:46.6pt;height:20.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E+UgwEAAO8CAAAOAAAAZHJzL2Uyb0RvYy54bWysUsFuGyEQvVfqPyDu9a6tJHJWXltJo/RS&#10;tZWSfgBmwYu0MHQGe9d/3wE7dpXeql4GmIE3b95jtZn8IA4GyUFo5XxWS2GChs6FXSt/vj5/WkpB&#10;SYVODRBMK4+G5Gb98cNqjI1ZQA9DZ1AwSKBmjK3sU4pNVZHujVc0g2gCFy2gV4mPuKs6VCOj+6Fa&#10;1PVdNQJ2EUEbIs4+nYpyXfCtNTp9t5ZMEkMrmVsqEUvc5litV6rZoYq902ca6h9YeOUCN71APamk&#10;xB7dX1DeaQQCm2YafAXWOm3KDDzNvH43zUuvoimzsDgULzLR/4PV3w4v8QeKND3CxAZmQcZIDXEy&#10;zzNZ9HllpoLrLOHxIpuZktCcvL2fL2/YZ82lxV19v7zNKNX1cURKXwx4kTetRHaliKUOXymdrr5d&#10;yb0CPLthyPkrk7xL03YSrmvlzRvLLXRHJj+yf62kX3uFRgpMw2codmcwig/7xIClT0Y5vTmDs6qF&#10;6fkHZNv+PJdb13+6/g0AAP//AwBQSwMEFAAGAAgAAAAhAD0QK93fAAAACwEAAA8AAABkcnMvZG93&#10;bnJldi54bWxMj01PwzAMhu9I/IfISNxY2hVoKU2niQ+Jwy6Mcs8a01Q0TtVka/fvMSe42fKj189b&#10;bRY3iBNOofekIF0lIJBab3rqFDQfrzcFiBA1GT14QgVnDLCpLy8qXRo/0zue9rETHEKh1ApsjGMp&#10;ZWgtOh1WfkTi25efnI68Tp00k5453A1ynST30ume+IPVIz5ZbL/3R6cgRrNNz82LC2+fy+55tkl7&#10;pxulrq+W7SOIiEv8g+FXn9WhZqeDP5IJYlCwzvOUUQXZbc4dmMjyJANx4KEoHkDWlfzfof4BAAD/&#10;/wMAUEsBAi0AFAAGAAgAAAAhALaDOJL+AAAA4QEAABMAAAAAAAAAAAAAAAAAAAAAAFtDb250ZW50&#10;X1R5cGVzXS54bWxQSwECLQAUAAYACAAAACEAOP0h/9YAAACUAQAACwAAAAAAAAAAAAAAAAAvAQAA&#10;X3JlbHMvLnJlbHNQSwECLQAUAAYACAAAACEAXthPlIMBAADvAgAADgAAAAAAAAAAAAAAAAAuAgAA&#10;ZHJzL2Uyb0RvYy54bWxQSwECLQAUAAYACAAAACEAPRAr3d8AAAALAQAADwAAAAAAAAAAAAAAAADd&#10;AwAAZHJzL2Rvd25yZXYueG1sUEsFBgAAAAAEAAQA8wAAAOkEAAAAAA==&#10;" filled="f" stroked="f">
                <v:textbox style="mso-fit-shape-to-text:t">
                  <w:txbxContent>
                    <w:p w14:paraId="70A76862" w14:textId="77777777" w:rsidR="004924E5" w:rsidRPr="00F42CEF" w:rsidRDefault="004924E5" w:rsidP="004924E5">
                      <w:pPr>
                        <w:textAlignment w:val="baseline"/>
                        <w:rPr>
                          <w:color w:val="000000"/>
                          <w:kern w:val="24"/>
                          <w:szCs w:val="24"/>
                        </w:rPr>
                      </w:pPr>
                      <w:r w:rsidRPr="00F42CEF">
                        <w:rPr>
                          <w:color w:val="000000"/>
                          <w:kern w:val="24"/>
                          <w:szCs w:val="24"/>
                        </w:rPr>
                        <w:t>10%</w:t>
                      </w:r>
                    </w:p>
                  </w:txbxContent>
                </v:textbox>
              </v:shape>
            </w:pict>
          </mc:Fallback>
        </mc:AlternateContent>
      </w:r>
      <w:r w:rsidRPr="00224E0C">
        <w:rPr>
          <w:noProof/>
          <w:color w:val="2B579A"/>
          <w:shd w:val="clear" w:color="auto" w:fill="E6E6E6"/>
        </w:rPr>
        <mc:AlternateContent>
          <mc:Choice Requires="wps">
            <w:drawing>
              <wp:anchor distT="0" distB="0" distL="114300" distR="114300" simplePos="0" relativeHeight="251658245" behindDoc="0" locked="0" layoutInCell="1" allowOverlap="1" wp14:anchorId="0F5959EA" wp14:editId="71DB0EFE">
                <wp:simplePos x="0" y="0"/>
                <wp:positionH relativeFrom="column">
                  <wp:posOffset>1837998</wp:posOffset>
                </wp:positionH>
                <wp:positionV relativeFrom="paragraph">
                  <wp:posOffset>607670</wp:posOffset>
                </wp:positionV>
                <wp:extent cx="575945" cy="260985"/>
                <wp:effectExtent l="0" t="0" r="0" b="0"/>
                <wp:wrapNone/>
                <wp:docPr id="21" name="TextBox 5"/>
                <wp:cNvGraphicFramePr/>
                <a:graphic xmlns:a="http://schemas.openxmlformats.org/drawingml/2006/main">
                  <a:graphicData uri="http://schemas.microsoft.com/office/word/2010/wordprocessingShape">
                    <wps:wsp>
                      <wps:cNvSpPr txBox="1"/>
                      <wps:spPr>
                        <a:xfrm>
                          <a:off x="0" y="0"/>
                          <a:ext cx="575945" cy="260985"/>
                        </a:xfrm>
                        <a:prstGeom prst="rect">
                          <a:avLst/>
                        </a:prstGeom>
                        <a:noFill/>
                      </wps:spPr>
                      <wps:txbx>
                        <w:txbxContent>
                          <w:p w14:paraId="615C7242" w14:textId="77777777" w:rsidR="004924E5" w:rsidRDefault="004924E5" w:rsidP="004924E5">
                            <w:pPr>
                              <w:textAlignment w:val="baseline"/>
                              <w:rPr>
                                <w:color w:val="000000"/>
                                <w:kern w:val="24"/>
                              </w:rPr>
                            </w:pPr>
                            <w:r>
                              <w:rPr>
                                <w:color w:val="000000"/>
                                <w:kern w:val="24"/>
                              </w:rPr>
                              <w:t>18%</w:t>
                            </w:r>
                          </w:p>
                        </w:txbxContent>
                      </wps:txbx>
                      <wps:bodyPr wrap="square" rtlCol="0">
                        <a:spAutoFit/>
                      </wps:bodyPr>
                    </wps:wsp>
                  </a:graphicData>
                </a:graphic>
              </wp:anchor>
            </w:drawing>
          </mc:Choice>
          <mc:Fallback>
            <w:pict>
              <v:shape w14:anchorId="0F5959EA" id="TextBox 5" o:spid="_x0000_s1031" type="#_x0000_t202" style="position:absolute;margin-left:144.7pt;margin-top:47.85pt;width:45.35pt;height:20.5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WagwEAAO8CAAAOAAAAZHJzL2Uyb0RvYy54bWysUk1v2zAMvQ/ofxB0b+wGTdcacYptRXcZ&#10;ugFdf4AiS7EAS1RJJXb+fSklTYb1NuxCSfx4fHzU8n7yg9gZJAehlVezWgoTNHQubFr58vvx8lYK&#10;Sip0aoBgWrk3JO9XF5+WY2zMHHoYOoOCQQI1Y2xln1Jsqop0b7yiGUQTOGgBvUr8xE3VoRoZ3Q/V&#10;vK5vqhGwiwjaELH34RCUq4JvrdHpp7VkkhhaydxSsVjsOttqtVTNBlXsnT7SUP/AwisXuOkJ6kEl&#10;JbboPkB5pxEIbJpp8BVY67QpM/A0V/Vf0zz3KpoyC4tD8SQT/T9Y/bR7jr9QpOkrTLzALMgYqSF2&#10;5nkmiz6fzFRwnCXcn2QzUxKanYvPi7vrhRSaQ/Ob+u52kVGqc3FESt8NeJEvrUTeShFL7X5QOqS+&#10;p+ReAR7dMGT/mUm+pWk9Cddxw3eWa+j2TH7k/bWSXrcKjRSYhm9Q1p3BKH7ZJgYsfTLKoeYIzqoW&#10;pscfkNf257tknf/p6g0AAP//AwBQSwMEFAAGAAgAAAAhAJ3rI1TfAAAACgEAAA8AAABkcnMvZG93&#10;bnJldi54bWxMj8tOwzAQRfdI/IM1SOyonZaWNI1TVTwkFt1Qwt6Np0lEPI5it0n/nmEFy9E9uvdM&#10;vp1cJy44hNaThmSmQCBV3rZUayg/3x5SECEasqbzhBquGGBb3N7kJrN+pA+8HGItuIRCZjQ0MfaZ&#10;lKFq0Jkw8z0SZyc/OBP5HGppBzNyuevkXKmVdKYlXmhMj88NVt+Hs9MQo90l1/LVhfevaf8yNqpa&#10;mlLr+7tptwERcYp/MPzqszoU7HT0Z7JBdBrm6fqRUQ3r5RMIBhapSkAcmVysUpBFLv+/UPwAAAD/&#10;/wMAUEsBAi0AFAAGAAgAAAAhALaDOJL+AAAA4QEAABMAAAAAAAAAAAAAAAAAAAAAAFtDb250ZW50&#10;X1R5cGVzXS54bWxQSwECLQAUAAYACAAAACEAOP0h/9YAAACUAQAACwAAAAAAAAAAAAAAAAAvAQAA&#10;X3JlbHMvLnJlbHNQSwECLQAUAAYACAAAACEA4s9VmoMBAADvAgAADgAAAAAAAAAAAAAAAAAuAgAA&#10;ZHJzL2Uyb0RvYy54bWxQSwECLQAUAAYACAAAACEAnesjVN8AAAAKAQAADwAAAAAAAAAAAAAAAADd&#10;AwAAZHJzL2Rvd25yZXYueG1sUEsFBgAAAAAEAAQA8wAAAOkEAAAAAA==&#10;" filled="f" stroked="f">
                <v:textbox style="mso-fit-shape-to-text:t">
                  <w:txbxContent>
                    <w:p w14:paraId="615C7242" w14:textId="77777777" w:rsidR="004924E5" w:rsidRDefault="004924E5" w:rsidP="004924E5">
                      <w:pPr>
                        <w:textAlignment w:val="baseline"/>
                        <w:rPr>
                          <w:color w:val="000000"/>
                          <w:kern w:val="24"/>
                        </w:rPr>
                      </w:pPr>
                      <w:r>
                        <w:rPr>
                          <w:color w:val="000000"/>
                          <w:kern w:val="24"/>
                        </w:rPr>
                        <w:t>18%</w:t>
                      </w:r>
                    </w:p>
                  </w:txbxContent>
                </v:textbox>
              </v:shape>
            </w:pict>
          </mc:Fallback>
        </mc:AlternateContent>
      </w:r>
      <w:r w:rsidRPr="00224E0C">
        <w:rPr>
          <w:noProof/>
          <w:color w:val="2B579A"/>
          <w:shd w:val="clear" w:color="auto" w:fill="E6E6E6"/>
        </w:rPr>
        <w:drawing>
          <wp:inline distT="0" distB="0" distL="0" distR="0" wp14:anchorId="7BDB0DD2" wp14:editId="1DAE32B1">
            <wp:extent cx="6623436" cy="2893695"/>
            <wp:effectExtent l="0" t="0" r="6350" b="1905"/>
            <wp:docPr id="41" name="Chart 41">
              <a:extLst xmlns:a="http://schemas.openxmlformats.org/drawingml/2006/main">
                <a:ext uri="{FF2B5EF4-FFF2-40B4-BE49-F238E27FC236}">
                  <a16:creationId xmlns:a16="http://schemas.microsoft.com/office/drawing/2014/main" id="{00000000-0008-0000-03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2C069E4" w14:textId="1779A626" w:rsidR="004924E5" w:rsidRDefault="00AC4C6D" w:rsidP="00AC4C6D">
      <w:pPr>
        <w:pStyle w:val="Caption"/>
      </w:pPr>
      <w:r>
        <w:lastRenderedPageBreak/>
        <w:t xml:space="preserve">Figure </w:t>
      </w:r>
      <w:r>
        <w:fldChar w:fldCharType="begin"/>
      </w:r>
      <w:r>
        <w:instrText>SEQ Figure \* ARABIC</w:instrText>
      </w:r>
      <w:r>
        <w:fldChar w:fldCharType="separate"/>
      </w:r>
      <w:r w:rsidR="006553F7">
        <w:rPr>
          <w:noProof/>
        </w:rPr>
        <w:t>46</w:t>
      </w:r>
      <w:r>
        <w:fldChar w:fldCharType="end"/>
      </w:r>
      <w:r>
        <w:t>: Answers to the question “Did the advice offered meet your needs?”</w:t>
      </w:r>
    </w:p>
    <w:p w14:paraId="2AAAF24C" w14:textId="549616EE" w:rsidR="004924E5" w:rsidRDefault="004924E5" w:rsidP="004924E5">
      <w:r>
        <w:t xml:space="preserve">In total, 90% of respondents felt the advice they received from their Pharmacy met or exceeded their expectations. </w:t>
      </w:r>
    </w:p>
    <w:p w14:paraId="211E7AFB" w14:textId="08FE257E" w:rsidR="00C46A3C" w:rsidRDefault="00C46A3C" w:rsidP="002A4EE4">
      <w:pPr>
        <w:spacing w:before="200" w:after="200" w:line="276" w:lineRule="auto"/>
      </w:pPr>
    </w:p>
    <w:p w14:paraId="26CD1B0E" w14:textId="549616EE" w:rsidR="00C27EC8" w:rsidRDefault="00C27EC8" w:rsidP="00C27EC8">
      <w:pPr>
        <w:pStyle w:val="Heading2"/>
      </w:pPr>
      <w:bookmarkStart w:id="64" w:name="_Toc113628621"/>
      <w:r>
        <w:t xml:space="preserve">Appendix 3 </w:t>
      </w:r>
      <w:r w:rsidR="00983FE7">
        <w:t>–</w:t>
      </w:r>
      <w:r>
        <w:t xml:space="preserve"> </w:t>
      </w:r>
      <w:r w:rsidR="00983FE7">
        <w:t>Public Survey Question Feedback</w:t>
      </w:r>
      <w:bookmarkEnd w:id="64"/>
    </w:p>
    <w:p w14:paraId="71EC9C7D" w14:textId="3D7C5AAC" w:rsidR="0042684D" w:rsidRPr="009A27CE" w:rsidRDefault="0042684D" w:rsidP="0042684D">
      <w:pPr>
        <w:spacing w:before="0" w:after="0" w:line="240" w:lineRule="auto"/>
        <w:textAlignment w:val="baseline"/>
        <w:rPr>
          <w:rFonts w:eastAsia="Times New Roman" w:cs="Arial"/>
          <w:b/>
          <w:bCs/>
          <w:color w:val="477CBF"/>
          <w:szCs w:val="24"/>
          <w:shd w:val="clear" w:color="auto" w:fill="FFFFFF"/>
        </w:rPr>
      </w:pPr>
      <w:r w:rsidRPr="0097277F">
        <w:rPr>
          <w:rFonts w:eastAsia="Times New Roman" w:cs="Arial"/>
          <w:color w:val="477CBF"/>
          <w:szCs w:val="24"/>
          <w:shd w:val="clear" w:color="auto" w:fill="FFFFFF"/>
        </w:rPr>
        <w:t>Introduction</w:t>
      </w:r>
    </w:p>
    <w:p w14:paraId="4B66FC09" w14:textId="77777777" w:rsidR="0042684D" w:rsidRDefault="0042684D" w:rsidP="0042684D">
      <w:pPr>
        <w:spacing w:before="0" w:after="0" w:line="240" w:lineRule="auto"/>
        <w:textAlignment w:val="baseline"/>
        <w:rPr>
          <w:rFonts w:eastAsia="Times New Roman" w:cs="Arial"/>
          <w:color w:val="000000"/>
          <w:szCs w:val="24"/>
          <w:shd w:val="clear" w:color="auto" w:fill="FFFFFF"/>
        </w:rPr>
      </w:pPr>
    </w:p>
    <w:p w14:paraId="1C95596D" w14:textId="77777777" w:rsidR="00AC4C6D" w:rsidRDefault="0042684D" w:rsidP="0042684D">
      <w:pPr>
        <w:spacing w:before="0" w:after="0" w:line="240" w:lineRule="auto"/>
        <w:textAlignment w:val="baseline"/>
        <w:rPr>
          <w:rFonts w:eastAsia="Times New Roman" w:cs="Arial"/>
          <w:color w:val="000000"/>
          <w:szCs w:val="24"/>
          <w:shd w:val="clear" w:color="auto" w:fill="FFFFFF"/>
        </w:rPr>
      </w:pPr>
      <w:r w:rsidRPr="0042684D">
        <w:rPr>
          <w:rFonts w:eastAsia="Times New Roman" w:cs="Arial"/>
          <w:color w:val="000000"/>
          <w:szCs w:val="24"/>
          <w:shd w:val="clear" w:color="auto" w:fill="FFFFFF"/>
        </w:rPr>
        <w:t>The final open ended question of the pharmacy needs assessment survey recorded 564 comments. Using Nvivo software, comments were coded and themed and are presented below. They reflect a mixture of positive, negative, and more neutral statements or suggestions made by participants. Sentiment analysis using Nvivo indicated there was a broadly similar number of comments coded as ‘positive’ to those coded ‘negative’.</w:t>
      </w:r>
    </w:p>
    <w:p w14:paraId="5E890CC8" w14:textId="440F5DFC"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shd w:val="clear" w:color="auto" w:fill="FFFFFF"/>
        </w:rPr>
        <w:t> </w:t>
      </w:r>
      <w:r w:rsidR="00AC4C6D" w:rsidRPr="0042684D">
        <w:rPr>
          <w:rFonts w:cs="Arial"/>
          <w:noProof/>
          <w:szCs w:val="24"/>
        </w:rPr>
        <w:drawing>
          <wp:inline distT="0" distB="0" distL="0" distR="0" wp14:anchorId="79C2C95F" wp14:editId="40B43341">
            <wp:extent cx="4021455" cy="2322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21455" cy="2322830"/>
                    </a:xfrm>
                    <a:prstGeom prst="rect">
                      <a:avLst/>
                    </a:prstGeom>
                    <a:noFill/>
                    <a:ln>
                      <a:noFill/>
                    </a:ln>
                  </pic:spPr>
                </pic:pic>
              </a:graphicData>
            </a:graphic>
          </wp:inline>
        </w:drawing>
      </w:r>
      <w:r w:rsidRPr="0042684D">
        <w:rPr>
          <w:rFonts w:eastAsia="Times New Roman" w:cs="Arial"/>
          <w:color w:val="000000"/>
          <w:szCs w:val="24"/>
        </w:rPr>
        <w:t> </w:t>
      </w:r>
    </w:p>
    <w:p w14:paraId="479EAFDB" w14:textId="610789D9" w:rsidR="0042684D" w:rsidRPr="0042684D" w:rsidRDefault="00AC4C6D" w:rsidP="00AD10B5">
      <w:pPr>
        <w:pStyle w:val="Caption"/>
        <w:rPr>
          <w:rFonts w:eastAsia="Times New Roman" w:cs="Arial"/>
          <w:color w:val="000000"/>
          <w:szCs w:val="24"/>
        </w:rPr>
      </w:pPr>
      <w:r>
        <w:t xml:space="preserve">Figure </w:t>
      </w:r>
      <w:r>
        <w:fldChar w:fldCharType="begin"/>
      </w:r>
      <w:r>
        <w:instrText>SEQ Figure \* ARABIC</w:instrText>
      </w:r>
      <w:r>
        <w:fldChar w:fldCharType="separate"/>
      </w:r>
      <w:r w:rsidR="006553F7">
        <w:rPr>
          <w:noProof/>
        </w:rPr>
        <w:t>47</w:t>
      </w:r>
      <w:r>
        <w:fldChar w:fldCharType="end"/>
      </w:r>
      <w:r>
        <w:t>: Sentiment analysis (using N</w:t>
      </w:r>
      <w:r w:rsidR="00AD10B5">
        <w:t>vivo) ‘Is there anything else you want to tell us about your recent experience of using pharmacies</w:t>
      </w:r>
      <w:r w:rsidR="0042684D" w:rsidRPr="0042684D">
        <w:rPr>
          <w:rFonts w:eastAsia="Times New Roman" w:cs="Arial"/>
          <w:color w:val="000000"/>
          <w:szCs w:val="24"/>
        </w:rPr>
        <w:t> </w:t>
      </w:r>
    </w:p>
    <w:p w14:paraId="2DCD32B6" w14:textId="77777777" w:rsidR="0042684D" w:rsidRPr="0042684D" w:rsidRDefault="0042684D" w:rsidP="0042684D">
      <w:pPr>
        <w:spacing w:before="0" w:after="0" w:line="240" w:lineRule="auto"/>
        <w:ind w:left="360"/>
        <w:jc w:val="both"/>
        <w:textAlignment w:val="baseline"/>
        <w:rPr>
          <w:rFonts w:eastAsia="Times New Roman" w:cs="Arial"/>
          <w:color w:val="000000"/>
          <w:szCs w:val="24"/>
        </w:rPr>
      </w:pPr>
      <w:r w:rsidRPr="0042684D">
        <w:rPr>
          <w:rFonts w:eastAsia="Times New Roman" w:cs="Arial"/>
          <w:color w:val="000000"/>
          <w:szCs w:val="24"/>
        </w:rPr>
        <w:t> </w:t>
      </w:r>
    </w:p>
    <w:p w14:paraId="341F34E7" w14:textId="516567E8" w:rsidR="0042684D" w:rsidRPr="00080EFD" w:rsidRDefault="0042684D" w:rsidP="0042684D">
      <w:pPr>
        <w:spacing w:before="0" w:after="0" w:line="240" w:lineRule="auto"/>
        <w:jc w:val="both"/>
        <w:textAlignment w:val="baseline"/>
        <w:rPr>
          <w:rFonts w:eastAsia="Times New Roman" w:cs="Arial"/>
          <w:color w:val="477CBF"/>
          <w:szCs w:val="24"/>
        </w:rPr>
      </w:pPr>
      <w:r w:rsidRPr="00080EFD">
        <w:rPr>
          <w:rFonts w:eastAsia="Times New Roman" w:cs="Arial"/>
          <w:color w:val="477CBF"/>
          <w:szCs w:val="24"/>
          <w:shd w:val="clear" w:color="auto" w:fill="FFFFFF"/>
        </w:rPr>
        <w:t>S</w:t>
      </w:r>
      <w:r w:rsidR="00080EFD">
        <w:rPr>
          <w:rFonts w:eastAsia="Times New Roman" w:cs="Arial"/>
          <w:color w:val="477CBF"/>
          <w:szCs w:val="24"/>
          <w:shd w:val="clear" w:color="auto" w:fill="FFFFFF"/>
        </w:rPr>
        <w:t>ummary</w:t>
      </w:r>
      <w:r w:rsidRPr="00080EFD">
        <w:rPr>
          <w:rFonts w:eastAsia="Times New Roman" w:cs="Arial"/>
          <w:color w:val="477CBF"/>
          <w:szCs w:val="24"/>
        </w:rPr>
        <w:t> </w:t>
      </w:r>
    </w:p>
    <w:p w14:paraId="2C3D5205"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shd w:val="clear" w:color="auto" w:fill="FFFFFF"/>
        </w:rPr>
        <w:t>In general, the things people liked and valued about their local pharmacy included;</w:t>
      </w:r>
      <w:r w:rsidRPr="0042684D">
        <w:rPr>
          <w:rFonts w:eastAsia="Times New Roman" w:cs="Arial"/>
          <w:color w:val="000000"/>
          <w:szCs w:val="24"/>
        </w:rPr>
        <w:t> </w:t>
      </w:r>
    </w:p>
    <w:p w14:paraId="0425160B" w14:textId="77777777" w:rsidR="0040496E" w:rsidRDefault="0042684D" w:rsidP="0040496E">
      <w:pPr>
        <w:pStyle w:val="ListParagraph"/>
        <w:numPr>
          <w:ilvl w:val="0"/>
          <w:numId w:val="2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Good customer service – friendly and knowledgeable staff – for some this included the time to get to know customers and their needs and continuity of staff.</w:t>
      </w:r>
      <w:r w:rsidRPr="0040496E">
        <w:rPr>
          <w:rFonts w:eastAsia="Times New Roman" w:cs="Arial"/>
          <w:color w:val="000000"/>
          <w:szCs w:val="24"/>
        </w:rPr>
        <w:t> </w:t>
      </w:r>
    </w:p>
    <w:p w14:paraId="0F13DD16" w14:textId="77777777" w:rsidR="0040496E" w:rsidRDefault="0042684D" w:rsidP="0040496E">
      <w:pPr>
        <w:pStyle w:val="ListParagraph"/>
        <w:numPr>
          <w:ilvl w:val="0"/>
          <w:numId w:val="2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Efficiency in handling prescriptions (including repeat prescription systems) was appreciated. Respondents liked systems that were streamlined and worked around their different needs e.g., prescriptions being ready to collect or a reliable delivery service if that wanted that. Easy to use repeat prescription arrangements were also valued. </w:t>
      </w:r>
      <w:r w:rsidRPr="0040496E">
        <w:rPr>
          <w:rFonts w:eastAsia="Times New Roman" w:cs="Arial"/>
          <w:color w:val="000000"/>
          <w:szCs w:val="24"/>
        </w:rPr>
        <w:t> </w:t>
      </w:r>
    </w:p>
    <w:p w14:paraId="54253C95" w14:textId="77777777" w:rsidR="0040496E" w:rsidRDefault="0042684D" w:rsidP="0040496E">
      <w:pPr>
        <w:pStyle w:val="ListParagraph"/>
        <w:numPr>
          <w:ilvl w:val="0"/>
          <w:numId w:val="2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Pharmacists were for some viewed as a positive alternative to making GP appointments. They were valued for their knowledge relating to medication queries and wider health issues.</w:t>
      </w:r>
      <w:r w:rsidRPr="0040496E">
        <w:rPr>
          <w:rFonts w:eastAsia="Times New Roman" w:cs="Arial"/>
          <w:color w:val="000000"/>
          <w:szCs w:val="24"/>
        </w:rPr>
        <w:t> </w:t>
      </w:r>
    </w:p>
    <w:p w14:paraId="19E9E81D" w14:textId="0EC91B33" w:rsidR="0042684D" w:rsidRDefault="0042684D" w:rsidP="0040496E">
      <w:pPr>
        <w:pStyle w:val="ListParagraph"/>
        <w:numPr>
          <w:ilvl w:val="0"/>
          <w:numId w:val="2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The availability of other services like blood tests and vaccines was also helpful to some respondents.</w:t>
      </w:r>
      <w:r w:rsidRPr="0040496E">
        <w:rPr>
          <w:rFonts w:eastAsia="Times New Roman" w:cs="Arial"/>
          <w:color w:val="000000"/>
          <w:szCs w:val="24"/>
        </w:rPr>
        <w:t> </w:t>
      </w:r>
    </w:p>
    <w:p w14:paraId="02C20A2D" w14:textId="77777777" w:rsidR="0040496E" w:rsidRPr="0040496E" w:rsidRDefault="0040496E" w:rsidP="0040496E">
      <w:pPr>
        <w:spacing w:before="0" w:after="0" w:line="240" w:lineRule="auto"/>
        <w:jc w:val="both"/>
        <w:textAlignment w:val="baseline"/>
        <w:rPr>
          <w:rFonts w:eastAsia="Times New Roman" w:cs="Arial"/>
          <w:color w:val="000000"/>
          <w:szCs w:val="24"/>
        </w:rPr>
      </w:pPr>
    </w:p>
    <w:p w14:paraId="3D7A65C5"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shd w:val="clear" w:color="auto" w:fill="FFFFFF"/>
        </w:rPr>
        <w:t>On the flipside, it was largely when the above didn’t happen that respondents raised concerns about the service of their local pharmacy. These typically were as follows;</w:t>
      </w:r>
      <w:r w:rsidRPr="0042684D">
        <w:rPr>
          <w:rFonts w:eastAsia="Times New Roman" w:cs="Arial"/>
          <w:color w:val="000000"/>
          <w:szCs w:val="24"/>
        </w:rPr>
        <w:t> </w:t>
      </w:r>
    </w:p>
    <w:p w14:paraId="3A2A4A61" w14:textId="25627FE3" w:rsid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Prescription handling problems – these included issues at all stages of the prescription journey from ordering repeats to collection/delivery. A frequent concern was that prescriptions were not ready for collection or had items out of stock. This caused long waits or necessitated return visits to complete the prescription which respondents found frustrating. </w:t>
      </w:r>
      <w:r w:rsidR="00DE1B5C">
        <w:rPr>
          <w:rFonts w:eastAsia="Times New Roman" w:cs="Arial"/>
          <w:color w:val="000000"/>
          <w:szCs w:val="24"/>
        </w:rPr>
        <w:t xml:space="preserve">It is important to note on this that pharmacies </w:t>
      </w:r>
      <w:r w:rsidR="00455C52">
        <w:rPr>
          <w:rFonts w:eastAsia="Times New Roman" w:cs="Arial"/>
          <w:color w:val="000000"/>
          <w:szCs w:val="24"/>
        </w:rPr>
        <w:t xml:space="preserve">do not order the script or deliver it, and any stock issues are beyond pharmacy control. </w:t>
      </w:r>
    </w:p>
    <w:p w14:paraId="6C7EA1D2" w14:textId="77777777" w:rsid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There seemed considerable variation in the way prescriptions, including repeats, were handled (e.g., some notified ‘prescription ready’ others did not, some delivered others did not). It was not always clear people were using, or aware of,  the method that would best suit their needs.  </w:t>
      </w:r>
      <w:r w:rsidRPr="0040496E">
        <w:rPr>
          <w:rFonts w:eastAsia="Times New Roman" w:cs="Arial"/>
          <w:color w:val="000000"/>
          <w:szCs w:val="24"/>
        </w:rPr>
        <w:t> </w:t>
      </w:r>
    </w:p>
    <w:p w14:paraId="62DA1941" w14:textId="77777777" w:rsid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Experiencing staff as rude, dismissive, or feeling like an inconvenience to them.</w:t>
      </w:r>
      <w:r w:rsidRPr="0040496E">
        <w:rPr>
          <w:rFonts w:eastAsia="Times New Roman" w:cs="Arial"/>
          <w:color w:val="000000"/>
          <w:szCs w:val="24"/>
        </w:rPr>
        <w:t> </w:t>
      </w:r>
    </w:p>
    <w:p w14:paraId="758ABCE4" w14:textId="157CBD48" w:rsid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Opening times did not always meet customer needs. Respondents sometimes found routine (e.g., lunchtime) and random closures (due to staff shortages) frustrating.</w:t>
      </w:r>
      <w:r w:rsidRPr="0040496E">
        <w:rPr>
          <w:rFonts w:eastAsia="Times New Roman" w:cs="Arial"/>
          <w:color w:val="000000"/>
          <w:szCs w:val="24"/>
        </w:rPr>
        <w:t> </w:t>
      </w:r>
      <w:r w:rsidR="003B454C">
        <w:rPr>
          <w:rFonts w:eastAsia="Times New Roman" w:cs="Arial"/>
          <w:color w:val="000000"/>
          <w:szCs w:val="24"/>
        </w:rPr>
        <w:t>This is reflected within the pharmacy pressures section of the Pharmacy Provisions and Access chapter</w:t>
      </w:r>
      <w:r w:rsidR="0043230C">
        <w:rPr>
          <w:rFonts w:eastAsia="Times New Roman" w:cs="Arial"/>
          <w:color w:val="000000"/>
          <w:szCs w:val="24"/>
        </w:rPr>
        <w:t xml:space="preserve"> as a direct impact from increased pressures on pharmacies. </w:t>
      </w:r>
    </w:p>
    <w:p w14:paraId="0C16BF94" w14:textId="77777777" w:rsid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Respondents observed how busy some of their local pharmacies were and felt there was a lack of capacity in some areas where demand from the local population had increased. Access to the pharmacist was not always possible.</w:t>
      </w:r>
      <w:r w:rsidRPr="0040496E">
        <w:rPr>
          <w:rFonts w:eastAsia="Times New Roman" w:cs="Arial"/>
          <w:color w:val="000000"/>
          <w:szCs w:val="24"/>
        </w:rPr>
        <w:t> </w:t>
      </w:r>
    </w:p>
    <w:p w14:paraId="0CCC9139" w14:textId="03F5E9CB" w:rsidR="0042684D" w:rsidRPr="0040496E" w:rsidRDefault="0042684D" w:rsidP="0040496E">
      <w:pPr>
        <w:pStyle w:val="ListParagraph"/>
        <w:numPr>
          <w:ilvl w:val="0"/>
          <w:numId w:val="73"/>
        </w:numPr>
        <w:spacing w:before="0" w:after="0" w:line="240" w:lineRule="auto"/>
        <w:jc w:val="both"/>
        <w:textAlignment w:val="baseline"/>
        <w:rPr>
          <w:rFonts w:eastAsia="Times New Roman" w:cs="Arial"/>
          <w:color w:val="000000"/>
          <w:szCs w:val="24"/>
        </w:rPr>
      </w:pPr>
      <w:r w:rsidRPr="0040496E">
        <w:rPr>
          <w:rFonts w:eastAsia="Times New Roman" w:cs="Arial"/>
          <w:color w:val="000000"/>
          <w:szCs w:val="24"/>
          <w:shd w:val="clear" w:color="auto" w:fill="FFFFFF"/>
        </w:rPr>
        <w:t>Respondents sometimes reported that when they sought additional health advice as per NHS recommended pathway to self-care, staff including pharmacists were unwilling to offer advice preferring instead to refer to GP services. </w:t>
      </w:r>
      <w:r w:rsidRPr="0040496E">
        <w:rPr>
          <w:rFonts w:eastAsia="Times New Roman" w:cs="Arial"/>
          <w:color w:val="000000"/>
          <w:szCs w:val="24"/>
        </w:rPr>
        <w:t> </w:t>
      </w:r>
    </w:p>
    <w:p w14:paraId="50752C04" w14:textId="77777777" w:rsidR="0042684D" w:rsidRDefault="0042684D" w:rsidP="0042684D">
      <w:pPr>
        <w:spacing w:before="0" w:after="0" w:line="240" w:lineRule="auto"/>
        <w:jc w:val="both"/>
        <w:textAlignment w:val="baseline"/>
        <w:rPr>
          <w:rFonts w:eastAsia="Times New Roman" w:cs="Arial"/>
          <w:color w:val="000000"/>
          <w:szCs w:val="24"/>
          <w:shd w:val="clear" w:color="auto" w:fill="FFFFFF"/>
        </w:rPr>
      </w:pPr>
    </w:p>
    <w:p w14:paraId="1EEBF54D" w14:textId="7C547E10"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shd w:val="clear" w:color="auto" w:fill="FFFFFF"/>
        </w:rPr>
        <w:t>The following table provides more detailed information about the comments made in relation to this question including identified themes and sample quotations for illustration.</w:t>
      </w:r>
      <w:r w:rsidRPr="0042684D">
        <w:rPr>
          <w:rFonts w:eastAsia="Times New Roman" w:cs="Arial"/>
          <w:color w:val="000000"/>
          <w:szCs w:val="24"/>
        </w:rPr>
        <w:t> </w:t>
      </w:r>
    </w:p>
    <w:p w14:paraId="5D2E55C9"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p w14:paraId="559DFB2A" w14:textId="14589FB7" w:rsidR="0042684D" w:rsidRPr="0042684D" w:rsidRDefault="0042684D" w:rsidP="0042684D">
      <w:pPr>
        <w:spacing w:before="0" w:after="0" w:line="240" w:lineRule="auto"/>
        <w:textAlignment w:val="baseline"/>
        <w:rPr>
          <w:rFonts w:eastAsia="Times New Roman" w:cs="Arial"/>
          <w:color w:val="000000"/>
          <w:szCs w:val="24"/>
        </w:rPr>
      </w:pPr>
    </w:p>
    <w:tbl>
      <w:tblPr>
        <w:tblW w:w="9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0"/>
        <w:gridCol w:w="4583"/>
        <w:gridCol w:w="2935"/>
      </w:tblGrid>
      <w:tr w:rsidR="0042684D" w:rsidRPr="0042684D" w14:paraId="12FA7ABA" w14:textId="77777777" w:rsidTr="00AD10B5">
        <w:tc>
          <w:tcPr>
            <w:tcW w:w="2470" w:type="dxa"/>
            <w:tcBorders>
              <w:top w:val="single" w:sz="6" w:space="0" w:color="auto"/>
              <w:left w:val="single" w:sz="6" w:space="0" w:color="auto"/>
              <w:bottom w:val="single" w:sz="6" w:space="0" w:color="auto"/>
              <w:right w:val="single" w:sz="6" w:space="0" w:color="auto"/>
            </w:tcBorders>
            <w:shd w:val="clear" w:color="auto" w:fill="477CBF"/>
            <w:hideMark/>
          </w:tcPr>
          <w:p w14:paraId="28B95513"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FFFFFF"/>
                <w:szCs w:val="24"/>
              </w:rPr>
              <w:t>Theme</w:t>
            </w:r>
            <w:r w:rsidRPr="0042684D">
              <w:rPr>
                <w:rFonts w:eastAsia="Times New Roman" w:cs="Arial"/>
                <w:color w:val="FFFFFF"/>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477CBF"/>
            <w:hideMark/>
          </w:tcPr>
          <w:p w14:paraId="69017312" w14:textId="77777777" w:rsidR="0042684D" w:rsidRPr="0042684D" w:rsidRDefault="0042684D" w:rsidP="0042684D">
            <w:pPr>
              <w:spacing w:before="0" w:after="0" w:line="240" w:lineRule="auto"/>
              <w:jc w:val="center"/>
              <w:textAlignment w:val="baseline"/>
              <w:rPr>
                <w:rFonts w:eastAsia="Times New Roman" w:cs="Arial"/>
                <w:color w:val="000000"/>
                <w:szCs w:val="24"/>
              </w:rPr>
            </w:pPr>
            <w:r w:rsidRPr="0042684D">
              <w:rPr>
                <w:rFonts w:eastAsia="Times New Roman" w:cs="Arial"/>
                <w:b/>
                <w:bCs/>
                <w:color w:val="FFFFFF"/>
                <w:szCs w:val="24"/>
              </w:rPr>
              <w:t>Explanation</w:t>
            </w:r>
            <w:r w:rsidRPr="0042684D">
              <w:rPr>
                <w:rFonts w:eastAsia="Times New Roman" w:cs="Arial"/>
                <w:color w:val="FFFFFF"/>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477CBF"/>
            <w:hideMark/>
          </w:tcPr>
          <w:p w14:paraId="77A86A14" w14:textId="77777777" w:rsidR="0042684D" w:rsidRPr="0042684D" w:rsidRDefault="0042684D" w:rsidP="0042684D">
            <w:pPr>
              <w:spacing w:before="0" w:after="0" w:line="240" w:lineRule="auto"/>
              <w:jc w:val="center"/>
              <w:textAlignment w:val="baseline"/>
              <w:rPr>
                <w:rFonts w:eastAsia="Times New Roman" w:cs="Arial"/>
                <w:color w:val="000000"/>
                <w:szCs w:val="24"/>
              </w:rPr>
            </w:pPr>
            <w:r w:rsidRPr="0042684D">
              <w:rPr>
                <w:rFonts w:eastAsia="Times New Roman" w:cs="Arial"/>
                <w:b/>
                <w:bCs/>
                <w:color w:val="FFFFFF"/>
                <w:szCs w:val="24"/>
              </w:rPr>
              <w:t>Examples for illustration</w:t>
            </w:r>
            <w:r w:rsidRPr="0042684D">
              <w:rPr>
                <w:rFonts w:eastAsia="Times New Roman" w:cs="Arial"/>
                <w:color w:val="FFFFFF"/>
                <w:szCs w:val="24"/>
              </w:rPr>
              <w:t> </w:t>
            </w:r>
          </w:p>
        </w:tc>
      </w:tr>
      <w:tr w:rsidR="0042684D" w:rsidRPr="0042684D" w14:paraId="1404F058" w14:textId="77777777" w:rsidTr="00AD10B5">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2E42F5FB"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t>Generic positive experiences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59E371CD"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There were many positive comments relating to the general experience of pharmacies. People liked; </w:t>
            </w:r>
          </w:p>
          <w:p w14:paraId="0591BA97"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Friendly, knowledgeable staff. </w:t>
            </w:r>
          </w:p>
          <w:p w14:paraId="42AFE2A9"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The local nature of a pharmacy was helpful to some as was staff who knew them and their health. </w:t>
            </w:r>
          </w:p>
          <w:p w14:paraId="709742E3"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Continuity of staff mattered to some respondents. </w:t>
            </w:r>
          </w:p>
          <w:p w14:paraId="75EDE1F7"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Advice about medication and wider health issues was welcomed and sometimes seen as an alternative to seeking a GP appointment. </w:t>
            </w:r>
          </w:p>
          <w:p w14:paraId="4202C953"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 xml:space="preserve">Efficiency in prescription </w:t>
            </w:r>
            <w:r w:rsidRPr="0042684D">
              <w:rPr>
                <w:rFonts w:eastAsia="Times New Roman" w:cs="Arial"/>
                <w:color w:val="000000"/>
                <w:szCs w:val="24"/>
              </w:rPr>
              <w:lastRenderedPageBreak/>
              <w:t>handling including ready for collection and notification that it was ready e.g., text was valued. </w:t>
            </w:r>
          </w:p>
          <w:p w14:paraId="7FF25415" w14:textId="77777777" w:rsidR="0042684D" w:rsidRPr="0042684D" w:rsidRDefault="0042684D" w:rsidP="008D3B10">
            <w:pPr>
              <w:numPr>
                <w:ilvl w:val="0"/>
                <w:numId w:val="4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Good communication with GP was appreciated </w:t>
            </w:r>
          </w:p>
          <w:p w14:paraId="0E90AF28"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Some of the above are expanded in the themes set out below.  </w:t>
            </w:r>
          </w:p>
          <w:p w14:paraId="5F9C3904"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744441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“Fantastic, really friendly knowledgeable staff, I get reminders for reordering my prescriptions and notifications that they are ready to collect. When I have a new medicine prescribed the member of staff double checks with me that I understand the dosage and that the Dr has explained the reason for the new/ changed medicine. They are 1st class”</w:t>
            </w:r>
            <w:r w:rsidRPr="0042684D">
              <w:rPr>
                <w:rFonts w:eastAsia="Times New Roman" w:cs="Arial"/>
                <w:color w:val="000000"/>
                <w:szCs w:val="24"/>
              </w:rPr>
              <w:t> </w:t>
            </w:r>
          </w:p>
          <w:p w14:paraId="60F506F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318043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 xml:space="preserve">“As a disabled person, with </w:t>
            </w:r>
            <w:r w:rsidRPr="0042684D">
              <w:rPr>
                <w:rFonts w:eastAsia="Times New Roman" w:cs="Arial"/>
                <w:i/>
                <w:iCs/>
                <w:color w:val="000000"/>
                <w:szCs w:val="24"/>
              </w:rPr>
              <w:lastRenderedPageBreak/>
              <w:t>numerous health issues, my local pharmacy is literally a life line”</w:t>
            </w:r>
            <w:r w:rsidRPr="0042684D">
              <w:rPr>
                <w:rFonts w:eastAsia="Times New Roman" w:cs="Arial"/>
                <w:color w:val="000000"/>
                <w:szCs w:val="24"/>
              </w:rPr>
              <w:t> </w:t>
            </w:r>
          </w:p>
          <w:p w14:paraId="3B65D84B"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D277ED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“Excellent Customer Service and Satisfaction Over a Good Number of Years.”</w:t>
            </w:r>
            <w:r w:rsidRPr="0042684D">
              <w:rPr>
                <w:rFonts w:eastAsia="Times New Roman" w:cs="Arial"/>
                <w:color w:val="000000"/>
                <w:szCs w:val="24"/>
              </w:rPr>
              <w:t> </w:t>
            </w:r>
          </w:p>
          <w:p w14:paraId="7F394CB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544160D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“Extremely helpful and easier and quicker to access than making a GP appointment.”</w:t>
            </w:r>
            <w:r w:rsidRPr="0042684D">
              <w:rPr>
                <w:rFonts w:eastAsia="Times New Roman" w:cs="Arial"/>
                <w:color w:val="000000"/>
                <w:szCs w:val="24"/>
              </w:rPr>
              <w:t> </w:t>
            </w:r>
          </w:p>
          <w:p w14:paraId="6B2E3B0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79B6A9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“Friendly, knowledgeable and is a quick alternative to a GP</w:t>
            </w:r>
            <w:r w:rsidRPr="0042684D">
              <w:rPr>
                <w:rFonts w:eastAsia="Times New Roman" w:cs="Arial"/>
                <w:color w:val="000000"/>
                <w:szCs w:val="24"/>
              </w:rPr>
              <w:t> </w:t>
            </w:r>
          </w:p>
          <w:p w14:paraId="5054DDD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am very happy with my pharmacist &amp; team.” </w:t>
            </w:r>
            <w:r w:rsidRPr="0042684D">
              <w:rPr>
                <w:rFonts w:eastAsia="Times New Roman" w:cs="Arial"/>
                <w:color w:val="000000"/>
                <w:szCs w:val="24"/>
              </w:rPr>
              <w:t> </w:t>
            </w:r>
          </w:p>
          <w:p w14:paraId="62CEBF9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099F3A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prefer to go to the local pharmacy, as it is more personal than a large city-centre chain store, and it is near where I live. I really value the local service”</w:t>
            </w:r>
            <w:r w:rsidRPr="0042684D">
              <w:rPr>
                <w:rFonts w:eastAsia="Times New Roman" w:cs="Arial"/>
                <w:color w:val="000000"/>
                <w:szCs w:val="24"/>
              </w:rPr>
              <w:t> </w:t>
            </w:r>
          </w:p>
          <w:p w14:paraId="1D26278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5BC79DF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receive a very efficient and helpful service from my local pharmacy.”</w:t>
            </w:r>
            <w:r w:rsidRPr="0042684D">
              <w:rPr>
                <w:rFonts w:eastAsia="Times New Roman" w:cs="Arial"/>
                <w:color w:val="000000"/>
                <w:szCs w:val="24"/>
              </w:rPr>
              <w:t> </w:t>
            </w:r>
          </w:p>
        </w:tc>
      </w:tr>
      <w:tr w:rsidR="0042684D" w:rsidRPr="0042684D" w14:paraId="59D27933" w14:textId="77777777" w:rsidTr="00AD10B5">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1C8515FF"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Prescription handling issues</w:t>
            </w:r>
            <w:r w:rsidRPr="0042684D">
              <w:rPr>
                <w:rFonts w:eastAsia="Times New Roman" w:cs="Arial"/>
                <w:color w:val="000000"/>
                <w:szCs w:val="24"/>
              </w:rPr>
              <w:t> </w:t>
            </w:r>
          </w:p>
          <w:p w14:paraId="38A989B1"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5B140BAA"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Issues identified by respondents about how the pharmacy handles prescriptions, included: </w:t>
            </w:r>
          </w:p>
          <w:p w14:paraId="2B1053B9"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The length of time between ordering medicines and prescription being available – some respondents reported increases in more recent months </w:t>
            </w:r>
          </w:p>
          <w:p w14:paraId="2C68A751"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 A key issue was prescriptions not ready for collection leading to long queues or necessitating return visits to the pharmacy. </w:t>
            </w:r>
          </w:p>
          <w:p w14:paraId="45E7905D"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Items not stocked or missing – return visits required. </w:t>
            </w:r>
          </w:p>
          <w:p w14:paraId="5F9A13A1"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 xml:space="preserve">Wrong items/out of date </w:t>
            </w:r>
            <w:r w:rsidRPr="0042684D">
              <w:rPr>
                <w:rFonts w:eastAsia="Times New Roman" w:cs="Arial"/>
                <w:color w:val="000000"/>
                <w:szCs w:val="24"/>
              </w:rPr>
              <w:lastRenderedPageBreak/>
              <w:t>medication. </w:t>
            </w:r>
          </w:p>
          <w:p w14:paraId="34EFEB25"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System for finding prescriptions disorganised. </w:t>
            </w:r>
          </w:p>
          <w:p w14:paraId="731CB43E"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Respondents liked measures that saved them time e.g., prescription ready notifications, good communication between GPs and pharmacies, delivery services if desired. </w:t>
            </w:r>
          </w:p>
          <w:p w14:paraId="2F3BAB81" w14:textId="77777777" w:rsidR="0042684D" w:rsidRPr="0042684D" w:rsidRDefault="0042684D" w:rsidP="008D3B10">
            <w:pPr>
              <w:numPr>
                <w:ilvl w:val="0"/>
                <w:numId w:val="4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Communication issues between GP and pharmacy</w:t>
            </w:r>
            <w:r w:rsidRPr="0042684D">
              <w:rPr>
                <w:rFonts w:eastAsia="Times New Roman" w:cs="Arial"/>
                <w:b/>
                <w:bCs/>
                <w:color w:val="000000"/>
                <w:szCs w:val="24"/>
              </w:rPr>
              <w:t xml:space="preserve"> </w:t>
            </w:r>
            <w:r w:rsidRPr="0042684D">
              <w:rPr>
                <w:rFonts w:eastAsia="Times New Roman" w:cs="Arial"/>
                <w:color w:val="000000"/>
                <w:szCs w:val="24"/>
              </w:rPr>
              <w:t>(see repeat prescription theme).  </w:t>
            </w:r>
          </w:p>
          <w:p w14:paraId="1F2F4CCE" w14:textId="77777777" w:rsidR="0042684D" w:rsidRPr="0042684D" w:rsidRDefault="0042684D" w:rsidP="0042684D">
            <w:pPr>
              <w:spacing w:before="0" w:after="0" w:line="240" w:lineRule="auto"/>
              <w:ind w:left="720"/>
              <w:jc w:val="both"/>
              <w:textAlignment w:val="baseline"/>
              <w:rPr>
                <w:rFonts w:eastAsia="Times New Roman" w:cs="Arial"/>
                <w:color w:val="000000"/>
                <w:szCs w:val="24"/>
              </w:rPr>
            </w:pPr>
            <w:r w:rsidRPr="0042684D">
              <w:rPr>
                <w:rFonts w:eastAsia="Times New Roman" w:cs="Arial"/>
                <w:color w:val="000000"/>
                <w:szCs w:val="24"/>
              </w:rPr>
              <w:t> </w:t>
            </w:r>
          </w:p>
          <w:p w14:paraId="74A2459D" w14:textId="77777777" w:rsidR="0042684D" w:rsidRPr="0042684D" w:rsidRDefault="0042684D" w:rsidP="0042684D">
            <w:pPr>
              <w:spacing w:before="0" w:after="0" w:line="240" w:lineRule="auto"/>
              <w:ind w:left="720"/>
              <w:jc w:val="both"/>
              <w:textAlignment w:val="baseline"/>
              <w:rPr>
                <w:rFonts w:eastAsia="Times New Roman" w:cs="Arial"/>
                <w:color w:val="000000"/>
                <w:szCs w:val="24"/>
              </w:rPr>
            </w:pPr>
            <w:r w:rsidRPr="0042684D">
              <w:rPr>
                <w:rFonts w:eastAsia="Times New Roman" w:cs="Arial"/>
                <w:color w:val="000000"/>
                <w:szCs w:val="24"/>
              </w:rPr>
              <w:t> </w:t>
            </w:r>
          </w:p>
          <w:p w14:paraId="10557C84"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A969DC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“It can take up to 7 days from the time the pharmacy receives the script to being able to collect medication”</w:t>
            </w:r>
            <w:r w:rsidRPr="0042684D">
              <w:rPr>
                <w:rFonts w:eastAsia="Times New Roman" w:cs="Arial"/>
                <w:color w:val="000000"/>
                <w:szCs w:val="24"/>
              </w:rPr>
              <w:t> </w:t>
            </w:r>
          </w:p>
          <w:p w14:paraId="3F2EF21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70A5BA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“Always have to wait for the prescription to be filled even when ordered 5 days before”</w:t>
            </w:r>
            <w:r w:rsidRPr="0042684D">
              <w:rPr>
                <w:rFonts w:eastAsia="Times New Roman" w:cs="Arial"/>
                <w:color w:val="000000"/>
                <w:szCs w:val="24"/>
              </w:rPr>
              <w:t> </w:t>
            </w:r>
          </w:p>
          <w:p w14:paraId="336B2D2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1B0D57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“Doesn’t matter how far in advance you order medications they are never ready when you go to collect”</w:t>
            </w:r>
            <w:r w:rsidRPr="0042684D">
              <w:rPr>
                <w:rFonts w:eastAsia="Times New Roman" w:cs="Arial"/>
                <w:color w:val="000000"/>
                <w:szCs w:val="24"/>
              </w:rPr>
              <w:t> </w:t>
            </w:r>
          </w:p>
          <w:p w14:paraId="67F9FFF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CDD500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“Long queues outside chemist ,lack of supplies a big issue  repeat prescriptions so  we have to go back several times to collect”</w:t>
            </w:r>
            <w:r w:rsidRPr="0042684D">
              <w:rPr>
                <w:rFonts w:eastAsia="Times New Roman" w:cs="Arial"/>
                <w:color w:val="000000"/>
                <w:szCs w:val="24"/>
              </w:rPr>
              <w:t> </w:t>
            </w:r>
          </w:p>
          <w:p w14:paraId="5153868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C5C408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“Don’t always have the tablets in stock”</w:t>
            </w:r>
            <w:r w:rsidRPr="0042684D">
              <w:rPr>
                <w:rFonts w:eastAsia="Times New Roman" w:cs="Arial"/>
                <w:color w:val="000000"/>
                <w:szCs w:val="24"/>
              </w:rPr>
              <w:t> </w:t>
            </w:r>
          </w:p>
          <w:p w14:paraId="4A238AC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5090B09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“Seem to take ages finding my prescriptions (which had been sent directly to them from the GP) have a muddled system to find things”</w:t>
            </w:r>
            <w:r w:rsidRPr="0042684D">
              <w:rPr>
                <w:rFonts w:eastAsia="Times New Roman" w:cs="Arial"/>
                <w:color w:val="000000"/>
                <w:szCs w:val="24"/>
              </w:rPr>
              <w:t> </w:t>
            </w:r>
          </w:p>
        </w:tc>
      </w:tr>
      <w:tr w:rsidR="0042684D" w:rsidRPr="0042684D" w14:paraId="28D20D80" w14:textId="77777777" w:rsidTr="00AD10B5">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7A808126"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Repeat prescription process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2EE79707"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There appeared to be a range of ways in which respondents and pharmacies dealt with repeat prescriptions e.g., through the GP, a pharmacy or ‘pharmacy to my door’ arrangements. There were also different methods to arrange these e.g., online/telephone/automated. Some pharmacies delivered while some did not. There was a sense some respondents didn’t always know if there were alternatives to their current arrangements that might work better for them (e.g., a delivery service) </w:t>
            </w:r>
          </w:p>
          <w:p w14:paraId="0599A3B7"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Both positive and negative  comments were made; </w:t>
            </w:r>
          </w:p>
          <w:p w14:paraId="722A517C" w14:textId="77777777" w:rsidR="0042684D" w:rsidRPr="0042684D" w:rsidRDefault="0042684D" w:rsidP="008D3B10">
            <w:pPr>
              <w:numPr>
                <w:ilvl w:val="0"/>
                <w:numId w:val="45"/>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As above, respondents valued more streamlined processes where the system worked on time and without errors. </w:t>
            </w:r>
          </w:p>
          <w:p w14:paraId="5C84F01D" w14:textId="77777777" w:rsidR="0042684D" w:rsidRPr="0042684D" w:rsidRDefault="0042684D" w:rsidP="008D3B10">
            <w:pPr>
              <w:numPr>
                <w:ilvl w:val="0"/>
                <w:numId w:val="45"/>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Communication differences between GP and pharmacy were highlighted but good communication was appreciated. </w:t>
            </w:r>
          </w:p>
          <w:p w14:paraId="72FC824A" w14:textId="77777777" w:rsidR="0042684D" w:rsidRPr="0042684D" w:rsidRDefault="0042684D" w:rsidP="008D3B10">
            <w:pPr>
              <w:numPr>
                <w:ilvl w:val="0"/>
                <w:numId w:val="45"/>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Problems with the POD service were also noted by some respondents.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C1F577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get reminders for reordering my prescriptions and notifications that they are ready to collect.”</w:t>
            </w:r>
            <w:r w:rsidRPr="0042684D">
              <w:rPr>
                <w:rFonts w:eastAsia="Times New Roman" w:cs="Arial"/>
                <w:color w:val="000000"/>
                <w:szCs w:val="24"/>
              </w:rPr>
              <w:t> </w:t>
            </w:r>
          </w:p>
          <w:p w14:paraId="396ADFA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54139DD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really appreciate my pharmacy's arrangement for ordering repeat prescriptions online and then having them delivered within 1 or 2 days.”</w:t>
            </w:r>
            <w:r w:rsidRPr="0042684D">
              <w:rPr>
                <w:rFonts w:eastAsia="Times New Roman" w:cs="Arial"/>
                <w:color w:val="000000"/>
                <w:szCs w:val="24"/>
              </w:rPr>
              <w:t> </w:t>
            </w:r>
          </w:p>
          <w:p w14:paraId="0F9BA24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0ACDE0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prefer to get prescriptions delivered to my home and like this service. I would like my GP surgery to allow prescription reordering online (and more communication generally by email. Phones aren't accessible for everyone).”</w:t>
            </w:r>
            <w:r w:rsidRPr="0042684D">
              <w:rPr>
                <w:rFonts w:eastAsia="Times New Roman" w:cs="Arial"/>
                <w:color w:val="000000"/>
                <w:szCs w:val="24"/>
              </w:rPr>
              <w:t> </w:t>
            </w:r>
          </w:p>
          <w:p w14:paraId="62CE656B"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315A08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“Pharmacy used to reorder prescription when needed, now have to spend 30 mins + phoning pod every month totally pointless system.”</w:t>
            </w:r>
            <w:r w:rsidRPr="0042684D">
              <w:rPr>
                <w:rFonts w:eastAsia="Times New Roman" w:cs="Arial"/>
                <w:color w:val="000000"/>
                <w:szCs w:val="24"/>
              </w:rPr>
              <w:t> </w:t>
            </w:r>
          </w:p>
          <w:p w14:paraId="0FBC08A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BA5A01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 xml:space="preserve">“Endless problems </w:t>
            </w:r>
            <w:r w:rsidRPr="0042684D">
              <w:rPr>
                <w:rFonts w:eastAsia="Times New Roman" w:cs="Arial"/>
                <w:i/>
                <w:iCs/>
                <w:color w:val="000000"/>
                <w:szCs w:val="24"/>
              </w:rPr>
              <w:lastRenderedPageBreak/>
              <w:t>between pharmacy and GP regarding repeat prescriptions, each accusing the other of failures.”</w:t>
            </w:r>
            <w:r w:rsidRPr="0042684D">
              <w:rPr>
                <w:rFonts w:eastAsia="Times New Roman" w:cs="Arial"/>
                <w:color w:val="000000"/>
                <w:szCs w:val="24"/>
              </w:rPr>
              <w:t> </w:t>
            </w:r>
          </w:p>
          <w:p w14:paraId="5BFAE0D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28FFC6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“Contradictory advise about prescriptions and when they can be on repeat and collected”</w:t>
            </w:r>
            <w:r w:rsidRPr="0042684D">
              <w:rPr>
                <w:rFonts w:eastAsia="Times New Roman" w:cs="Arial"/>
                <w:color w:val="000000"/>
                <w:szCs w:val="24"/>
              </w:rPr>
              <w:t> </w:t>
            </w:r>
          </w:p>
        </w:tc>
      </w:tr>
      <w:tr w:rsidR="0042684D" w:rsidRPr="0042684D" w14:paraId="0F7F2E97" w14:textId="77777777" w:rsidTr="00AD10B5">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1D5CAF6F"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Staff capacity</w:t>
            </w:r>
            <w:r w:rsidRPr="0042684D">
              <w:rPr>
                <w:rFonts w:eastAsia="Times New Roman" w:cs="Arial"/>
                <w:color w:val="000000"/>
                <w:szCs w:val="24"/>
              </w:rPr>
              <w:t> </w:t>
            </w:r>
          </w:p>
          <w:p w14:paraId="07C2F731"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5D91B950"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Some respondents reported how busy their pharmacy always seemed to be </w:t>
            </w:r>
          </w:p>
          <w:p w14:paraId="3A7F19D7"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Understaffing especially at busy times resulting in long queues. </w:t>
            </w:r>
          </w:p>
          <w:p w14:paraId="390F1689"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Difficult to ‘pop in’ in to pharmacy if time was limited – ended up in repeat visits. </w:t>
            </w:r>
          </w:p>
          <w:p w14:paraId="12E05FE9"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Some noted increases in this more recently and linked it to housing growth in the area. </w:t>
            </w:r>
          </w:p>
          <w:p w14:paraId="44CC34D4"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Impromptu or random pharmacy closure due to staff shortages including pharmacist.   </w:t>
            </w:r>
          </w:p>
          <w:p w14:paraId="691371EB"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Unable to dispense if pharmacist is not present (e.g., lunch or absent). </w:t>
            </w:r>
          </w:p>
          <w:p w14:paraId="2A063A76" w14:textId="77777777" w:rsidR="0042684D" w:rsidRPr="0042684D" w:rsidRDefault="0042684D" w:rsidP="008D3B10">
            <w:pPr>
              <w:numPr>
                <w:ilvl w:val="0"/>
                <w:numId w:val="46"/>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Access to confidential space was sometimes compromised. Respondents reported being less confident to ask for pharmacy advice in busy periods. </w:t>
            </w:r>
          </w:p>
          <w:p w14:paraId="4BFD7E88" w14:textId="77777777" w:rsidR="0042684D" w:rsidRPr="0042684D" w:rsidRDefault="0042684D" w:rsidP="0042684D">
            <w:pPr>
              <w:spacing w:before="0" w:after="0" w:line="240" w:lineRule="auto"/>
              <w:ind w:left="720"/>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6EC140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“Queues seem longer these days”</w:t>
            </w:r>
            <w:r w:rsidRPr="0042684D">
              <w:rPr>
                <w:rFonts w:eastAsia="Times New Roman" w:cs="Arial"/>
                <w:color w:val="000000"/>
                <w:szCs w:val="24"/>
              </w:rPr>
              <w:t> </w:t>
            </w:r>
          </w:p>
          <w:p w14:paraId="39CA1F1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1A17DCE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“My chemist is always very busy.  For an area like Earlsdon it is not enough.”</w:t>
            </w:r>
            <w:r w:rsidRPr="0042684D">
              <w:rPr>
                <w:rFonts w:eastAsia="Times New Roman" w:cs="Arial"/>
                <w:color w:val="000000"/>
                <w:szCs w:val="24"/>
              </w:rPr>
              <w:t> </w:t>
            </w:r>
          </w:p>
          <w:p w14:paraId="20821CB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A94D5C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 Boots chemist in Shipston on Stour is inadequate in its size to support the present population and will only get worse as the population grows.”</w:t>
            </w:r>
            <w:r w:rsidRPr="0042684D">
              <w:rPr>
                <w:rFonts w:eastAsia="Times New Roman" w:cs="Arial"/>
                <w:color w:val="000000"/>
                <w:szCs w:val="24"/>
              </w:rPr>
              <w:t> </w:t>
            </w:r>
          </w:p>
          <w:p w14:paraId="7AD8F9D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0F5BE2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“have noticed they have got much busier over the last few years due to increase of new estates in the area”</w:t>
            </w:r>
            <w:r w:rsidRPr="0042684D">
              <w:rPr>
                <w:rFonts w:eastAsia="Times New Roman" w:cs="Arial"/>
                <w:color w:val="000000"/>
                <w:szCs w:val="24"/>
              </w:rPr>
              <w:t> </w:t>
            </w:r>
          </w:p>
          <w:p w14:paraId="1E8D444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C81046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“Very understaffed with long wait times. Have to visit in lunch hour so sometimes takes my whole lunch break”</w:t>
            </w:r>
            <w:r w:rsidRPr="0042684D">
              <w:rPr>
                <w:rFonts w:eastAsia="Times New Roman" w:cs="Arial"/>
                <w:color w:val="000000"/>
                <w:szCs w:val="24"/>
              </w:rPr>
              <w:t> </w:t>
            </w:r>
          </w:p>
          <w:p w14:paraId="6C91B3A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CA5491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“Recently been closed for time during day or all day as not enough staff”</w:t>
            </w:r>
            <w:r w:rsidRPr="0042684D">
              <w:rPr>
                <w:rFonts w:eastAsia="Times New Roman" w:cs="Arial"/>
                <w:color w:val="000000"/>
                <w:szCs w:val="24"/>
              </w:rPr>
              <w:t> </w:t>
            </w:r>
          </w:p>
          <w:p w14:paraId="5BF2895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28CBEF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“Pharmacist leaves the premises and staff are unable to give out prescriptions or sell things like lem sip”</w:t>
            </w:r>
            <w:r w:rsidRPr="0042684D">
              <w:rPr>
                <w:rFonts w:eastAsia="Times New Roman" w:cs="Arial"/>
                <w:color w:val="000000"/>
                <w:szCs w:val="24"/>
              </w:rPr>
              <w:t> </w:t>
            </w:r>
          </w:p>
          <w:p w14:paraId="6C866E6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C4573F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“My pharmacy is usually very busy which can make it feel uncomfortable to ask for any additional time from the staff (with questions or for advice) as they are clearly under a lot of pressure”</w:t>
            </w:r>
            <w:r w:rsidRPr="0042684D">
              <w:rPr>
                <w:rFonts w:eastAsia="Times New Roman" w:cs="Arial"/>
                <w:color w:val="000000"/>
                <w:szCs w:val="24"/>
              </w:rPr>
              <w:t> </w:t>
            </w:r>
          </w:p>
        </w:tc>
      </w:tr>
      <w:tr w:rsidR="0042684D" w:rsidRPr="0042684D" w14:paraId="1278D354"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1D2B1892"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Routine opening times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195A57FB"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Respondents reported issues relating to accessing services outside of standard week-day opening: </w:t>
            </w:r>
          </w:p>
          <w:p w14:paraId="39EE01D7" w14:textId="77777777" w:rsidR="0042684D" w:rsidRPr="0042684D" w:rsidRDefault="0042684D" w:rsidP="008D3B10">
            <w:pPr>
              <w:numPr>
                <w:ilvl w:val="0"/>
                <w:numId w:val="47"/>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Lack of week-end or ‘out of hours’ services locally </w:t>
            </w:r>
          </w:p>
          <w:p w14:paraId="7AC95DC8" w14:textId="77777777" w:rsidR="0042684D" w:rsidRPr="0042684D" w:rsidRDefault="0042684D" w:rsidP="008D3B10">
            <w:pPr>
              <w:numPr>
                <w:ilvl w:val="0"/>
                <w:numId w:val="47"/>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Routine lunchtime/weekday closure was inconvenient for some respondents </w:t>
            </w:r>
          </w:p>
          <w:p w14:paraId="1A1FC934" w14:textId="77777777" w:rsidR="0042684D" w:rsidRPr="0042684D" w:rsidRDefault="0042684D" w:rsidP="0042684D">
            <w:pPr>
              <w:spacing w:before="0" w:after="0" w:line="240" w:lineRule="auto"/>
              <w:ind w:left="720"/>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07699F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“My usual and nearest pharmacy is not open at weekends.”</w:t>
            </w:r>
            <w:r w:rsidRPr="0042684D">
              <w:rPr>
                <w:rFonts w:eastAsia="Times New Roman" w:cs="Arial"/>
                <w:color w:val="000000"/>
                <w:szCs w:val="24"/>
              </w:rPr>
              <w:t> </w:t>
            </w:r>
          </w:p>
          <w:p w14:paraId="70FE97C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21102A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“Closest pharmacy closed on a Saturday and had to get prescriptions resent to another pharmacy for collection”</w:t>
            </w:r>
            <w:r w:rsidRPr="0042684D">
              <w:rPr>
                <w:rFonts w:eastAsia="Times New Roman" w:cs="Arial"/>
                <w:color w:val="000000"/>
                <w:szCs w:val="24"/>
              </w:rPr>
              <w:t> </w:t>
            </w:r>
          </w:p>
          <w:p w14:paraId="119FD9C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C7151D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“Only issue is limited weekend and no late night access.”</w:t>
            </w:r>
            <w:r w:rsidRPr="0042684D">
              <w:rPr>
                <w:rFonts w:eastAsia="Times New Roman" w:cs="Arial"/>
                <w:color w:val="000000"/>
                <w:szCs w:val="24"/>
              </w:rPr>
              <w:t> </w:t>
            </w:r>
          </w:p>
          <w:p w14:paraId="625CD28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1E05A52B"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“My local pharmacy closes for lunch every day - this can sometimes be inconvenient and results in a second journey.”</w:t>
            </w:r>
            <w:r w:rsidRPr="0042684D">
              <w:rPr>
                <w:rFonts w:eastAsia="Times New Roman" w:cs="Arial"/>
                <w:color w:val="000000"/>
                <w:szCs w:val="24"/>
              </w:rPr>
              <w:t> </w:t>
            </w:r>
          </w:p>
          <w:p w14:paraId="599E1C7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1B6E3C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“My local Lloyds pharmacy has limited opening hours so I travel into town to collect my prescriptions from boots which is 3mile drive rather than a 5min walk.”</w:t>
            </w:r>
            <w:r w:rsidRPr="0042684D">
              <w:rPr>
                <w:rFonts w:eastAsia="Times New Roman" w:cs="Arial"/>
                <w:color w:val="000000"/>
                <w:szCs w:val="24"/>
              </w:rPr>
              <w:t> </w:t>
            </w:r>
          </w:p>
          <w:p w14:paraId="004C843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 biggest issue for me is the convenience of being able to pick up prescriptions outside working hours.”</w:t>
            </w:r>
            <w:r w:rsidRPr="0042684D">
              <w:rPr>
                <w:rFonts w:eastAsia="Times New Roman" w:cs="Arial"/>
                <w:color w:val="000000"/>
                <w:szCs w:val="24"/>
              </w:rPr>
              <w:t> </w:t>
            </w:r>
          </w:p>
        </w:tc>
      </w:tr>
      <w:tr w:rsidR="0042684D" w:rsidRPr="0042684D" w14:paraId="28149D8B"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404FEA79"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t>Customer service/staff attitudes/availability of pharmacist</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54E30B90"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These included both positive (as noted above) and negative experiences of staff in pharmacies; </w:t>
            </w:r>
          </w:p>
          <w:p w14:paraId="253F7D0A" w14:textId="77777777" w:rsidR="0042684D" w:rsidRPr="0042684D" w:rsidRDefault="0042684D" w:rsidP="008D3B10">
            <w:pPr>
              <w:numPr>
                <w:ilvl w:val="0"/>
                <w:numId w:val="48"/>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Many respondents valued the friendly and efficient manner of the staff with which they had contact. </w:t>
            </w:r>
          </w:p>
          <w:p w14:paraId="0FACA76D" w14:textId="77777777" w:rsidR="0042684D" w:rsidRPr="0042684D" w:rsidRDefault="0042684D" w:rsidP="008D3B10">
            <w:pPr>
              <w:numPr>
                <w:ilvl w:val="0"/>
                <w:numId w:val="48"/>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lastRenderedPageBreak/>
              <w:t>Continuity of staff was mentioned and/or time to get to know customers. </w:t>
            </w:r>
          </w:p>
          <w:p w14:paraId="6D9FBC50" w14:textId="77777777" w:rsidR="0042684D" w:rsidRPr="0042684D" w:rsidRDefault="0042684D" w:rsidP="008D3B10">
            <w:pPr>
              <w:numPr>
                <w:ilvl w:val="0"/>
                <w:numId w:val="48"/>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Respondents sometimes experienced staff as rude and/or unhelpful in some outlets. </w:t>
            </w:r>
          </w:p>
          <w:p w14:paraId="2408405A" w14:textId="77777777" w:rsidR="0042684D" w:rsidRPr="0042684D" w:rsidRDefault="0042684D" w:rsidP="008D3B10">
            <w:pPr>
              <w:numPr>
                <w:ilvl w:val="0"/>
                <w:numId w:val="48"/>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Specifically, access to the pharmacist was valued but not always possible – they were sometimes either absent due to staffing issues or tended to remain behind the scenes. </w:t>
            </w:r>
          </w:p>
          <w:p w14:paraId="6B9976C3" w14:textId="77777777" w:rsidR="0042684D" w:rsidRPr="0042684D" w:rsidRDefault="0042684D" w:rsidP="008D3B10">
            <w:pPr>
              <w:numPr>
                <w:ilvl w:val="0"/>
                <w:numId w:val="48"/>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Where the pharmacy had a dedicated phone line, this was not always staffed, and respondents reported issues getting through causing frustration with the service.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6E0E4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“I am very happy with my pharmacist &amp; team.”</w:t>
            </w:r>
            <w:r w:rsidRPr="0042684D">
              <w:rPr>
                <w:rFonts w:eastAsia="Times New Roman" w:cs="Arial"/>
                <w:color w:val="000000"/>
                <w:szCs w:val="24"/>
              </w:rPr>
              <w:t> </w:t>
            </w:r>
          </w:p>
          <w:p w14:paraId="0E2681F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6541E1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 team are lovely, helpful, efficient, caring and the service has always been absolutely brilliant.”</w:t>
            </w:r>
            <w:r w:rsidRPr="0042684D">
              <w:rPr>
                <w:rFonts w:eastAsia="Times New Roman" w:cs="Arial"/>
                <w:color w:val="000000"/>
                <w:szCs w:val="24"/>
              </w:rPr>
              <w:t> </w:t>
            </w:r>
          </w:p>
          <w:p w14:paraId="141452B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lastRenderedPageBreak/>
              <w:t> </w:t>
            </w:r>
          </w:p>
          <w:p w14:paraId="6AB727F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“Having a pharmacy that knows my family makes things so much easier. They know our needs and I trust them.”</w:t>
            </w:r>
            <w:r w:rsidRPr="0042684D">
              <w:rPr>
                <w:rFonts w:eastAsia="Times New Roman" w:cs="Arial"/>
                <w:color w:val="000000"/>
                <w:szCs w:val="24"/>
              </w:rPr>
              <w:t> </w:t>
            </w:r>
          </w:p>
          <w:p w14:paraId="0F8488D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A81973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have confidence in the team at my local pharmacy and that is priceless”</w:t>
            </w:r>
            <w:r w:rsidRPr="0042684D">
              <w:rPr>
                <w:rFonts w:eastAsia="Times New Roman" w:cs="Arial"/>
                <w:color w:val="000000"/>
                <w:szCs w:val="24"/>
              </w:rPr>
              <w:t> </w:t>
            </w:r>
          </w:p>
          <w:p w14:paraId="0892D1E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38C4CB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“Lacking in customer service skills at times.”</w:t>
            </w:r>
            <w:r w:rsidRPr="0042684D">
              <w:rPr>
                <w:rFonts w:eastAsia="Times New Roman" w:cs="Arial"/>
                <w:color w:val="000000"/>
                <w:szCs w:val="24"/>
              </w:rPr>
              <w:t> </w:t>
            </w:r>
          </w:p>
          <w:p w14:paraId="3868A7C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1F880B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wish they were friendly like they used to be...”</w:t>
            </w:r>
            <w:r w:rsidRPr="0042684D">
              <w:rPr>
                <w:rFonts w:eastAsia="Times New Roman" w:cs="Arial"/>
                <w:color w:val="000000"/>
                <w:szCs w:val="24"/>
              </w:rPr>
              <w:t> </w:t>
            </w:r>
          </w:p>
          <w:p w14:paraId="556DB72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D183D7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“Pharmacies near to me forget they are there to provide a services, customers seem to get in their way”</w:t>
            </w:r>
            <w:r w:rsidRPr="0042684D">
              <w:rPr>
                <w:rFonts w:eastAsia="Times New Roman" w:cs="Arial"/>
                <w:color w:val="000000"/>
                <w:szCs w:val="24"/>
              </w:rPr>
              <w:t> </w:t>
            </w:r>
          </w:p>
          <w:p w14:paraId="55FBDAF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A0B5D8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“There appears to be no permanent pharmacist: the pharmacist changes from day to day.”</w:t>
            </w:r>
            <w:r w:rsidRPr="0042684D">
              <w:rPr>
                <w:rFonts w:eastAsia="Times New Roman" w:cs="Arial"/>
                <w:color w:val="000000"/>
                <w:szCs w:val="24"/>
              </w:rPr>
              <w:t> </w:t>
            </w:r>
          </w:p>
          <w:p w14:paraId="611058F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w:t>
            </w:r>
            <w:r w:rsidRPr="0042684D">
              <w:rPr>
                <w:rFonts w:eastAsia="Times New Roman" w:cs="Arial"/>
                <w:color w:val="000000"/>
                <w:szCs w:val="24"/>
              </w:rPr>
              <w:t> </w:t>
            </w:r>
          </w:p>
          <w:p w14:paraId="4B32C44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“Closes randomly without notice due to lack of pharmacists. Do not answer phone.”</w:t>
            </w:r>
            <w:r w:rsidRPr="0042684D">
              <w:rPr>
                <w:rFonts w:eastAsia="Times New Roman" w:cs="Arial"/>
                <w:color w:val="000000"/>
                <w:szCs w:val="24"/>
              </w:rPr>
              <w:t> </w:t>
            </w:r>
          </w:p>
          <w:p w14:paraId="75A137A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4E1DE2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“Trying to ring the pharmacy to request my prescription delivery is frustrating. They rarely answer the phone and my husband a cancer patient has to walk up to the pharmacy to order our medication. I am disabled and find it difficult to go there.”</w:t>
            </w:r>
            <w:r w:rsidRPr="0042684D">
              <w:rPr>
                <w:rFonts w:eastAsia="Times New Roman" w:cs="Arial"/>
                <w:color w:val="000000"/>
                <w:szCs w:val="24"/>
              </w:rPr>
              <w:t> </w:t>
            </w:r>
          </w:p>
        </w:tc>
      </w:tr>
      <w:tr w:rsidR="0042684D" w:rsidRPr="0042684D" w14:paraId="581CD4ED"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39EC9E62"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Medication and health advice offered in pharmacies</w:t>
            </w:r>
            <w:r w:rsidRPr="0042684D">
              <w:rPr>
                <w:rFonts w:eastAsia="Times New Roman" w:cs="Arial"/>
                <w:color w:val="000000"/>
                <w:szCs w:val="24"/>
              </w:rPr>
              <w:t> </w:t>
            </w:r>
          </w:p>
          <w:p w14:paraId="4584FAFB"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199D3FCF"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Respondents made several points relating to medication and health advice; </w:t>
            </w:r>
          </w:p>
          <w:p w14:paraId="40A5ACC2" w14:textId="77777777" w:rsidR="0042684D" w:rsidRPr="0042684D" w:rsidRDefault="0042684D" w:rsidP="008D3B10">
            <w:pPr>
              <w:numPr>
                <w:ilvl w:val="0"/>
                <w:numId w:val="49"/>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Valued dealing with medication queries including liaison with GP. </w:t>
            </w:r>
          </w:p>
          <w:p w14:paraId="2EE17009" w14:textId="77777777" w:rsidR="0042684D" w:rsidRPr="0042684D" w:rsidRDefault="0042684D" w:rsidP="008D3B10">
            <w:pPr>
              <w:numPr>
                <w:ilvl w:val="0"/>
                <w:numId w:val="49"/>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Medication review service was helpful. </w:t>
            </w:r>
          </w:p>
          <w:p w14:paraId="1993CFC8" w14:textId="77777777" w:rsidR="0042684D" w:rsidRPr="0042684D" w:rsidRDefault="0042684D" w:rsidP="008D3B10">
            <w:pPr>
              <w:numPr>
                <w:ilvl w:val="0"/>
                <w:numId w:val="49"/>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Useful and seen as an alternative to GP and trusted source of information and advice. </w:t>
            </w:r>
          </w:p>
          <w:p w14:paraId="5696DC35"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However, respondents  sometimes experienced an unwillingness of some pharmacists  to give actual advice, or they lacked the time or were not visible to do this.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8AD21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“He has been very helpful and professional about my questions and requests for guidance”</w:t>
            </w:r>
            <w:r w:rsidRPr="0042684D">
              <w:rPr>
                <w:rFonts w:eastAsia="Times New Roman" w:cs="Arial"/>
                <w:color w:val="000000"/>
                <w:szCs w:val="24"/>
              </w:rPr>
              <w:t> </w:t>
            </w:r>
          </w:p>
          <w:p w14:paraId="0CA9B6D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5D7EF8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“Happy with my pharmacist especially regarding medication queries”</w:t>
            </w:r>
            <w:r w:rsidRPr="0042684D">
              <w:rPr>
                <w:rFonts w:eastAsia="Times New Roman" w:cs="Arial"/>
                <w:color w:val="000000"/>
                <w:szCs w:val="24"/>
              </w:rPr>
              <w:t> </w:t>
            </w:r>
          </w:p>
          <w:p w14:paraId="280C17C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2FA21E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use the pharmacy more than my GP as they are more approachable.”</w:t>
            </w:r>
            <w:r w:rsidRPr="0042684D">
              <w:rPr>
                <w:rFonts w:eastAsia="Times New Roman" w:cs="Arial"/>
                <w:color w:val="000000"/>
                <w:szCs w:val="24"/>
              </w:rPr>
              <w:t> </w:t>
            </w:r>
          </w:p>
          <w:p w14:paraId="00F3CCF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40A4FE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was able to get immediate and effective advice from the Pharmacist at a time when there were no available appointments to see my GP”</w:t>
            </w:r>
            <w:r w:rsidRPr="0042684D">
              <w:rPr>
                <w:rFonts w:eastAsia="Times New Roman" w:cs="Arial"/>
                <w:color w:val="000000"/>
                <w:szCs w:val="24"/>
              </w:rPr>
              <w:t> </w:t>
            </w:r>
          </w:p>
          <w:p w14:paraId="3AA94C8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BE8DD8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“Too often the advice is to go and see the doctor”</w:t>
            </w:r>
            <w:r w:rsidRPr="0042684D">
              <w:rPr>
                <w:rFonts w:eastAsia="Times New Roman" w:cs="Arial"/>
                <w:color w:val="000000"/>
                <w:szCs w:val="24"/>
              </w:rPr>
              <w:t> </w:t>
            </w:r>
          </w:p>
          <w:p w14:paraId="7F881C9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23BD0FA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understand pharmacists aren't doctors but they are usually very unwilling to offer any medical advice and seem to default to making a doctor’s appointment. I get this hesitancy, but why offer advice when they are unwilling to give it.”</w:t>
            </w:r>
            <w:r w:rsidRPr="0042684D">
              <w:rPr>
                <w:rFonts w:eastAsia="Times New Roman" w:cs="Arial"/>
                <w:color w:val="000000"/>
                <w:szCs w:val="24"/>
              </w:rPr>
              <w:t> </w:t>
            </w:r>
          </w:p>
          <w:p w14:paraId="270DD122"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tc>
      </w:tr>
      <w:tr w:rsidR="0042684D" w:rsidRPr="0042684D" w14:paraId="3E5C6569"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65215E30"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t>Additional services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4C274C53"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Respondents highlighted several areas where they valued additional services or mentioned services they would like available; </w:t>
            </w:r>
          </w:p>
          <w:p w14:paraId="1AA7F3C8" w14:textId="77777777" w:rsidR="0042684D" w:rsidRPr="0042684D" w:rsidRDefault="0042684D" w:rsidP="008D3B10">
            <w:pPr>
              <w:numPr>
                <w:ilvl w:val="0"/>
                <w:numId w:val="50"/>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Blood tests where available  </w:t>
            </w:r>
          </w:p>
          <w:p w14:paraId="383FFB26" w14:textId="77777777" w:rsidR="0042684D" w:rsidRPr="0042684D" w:rsidRDefault="0042684D" w:rsidP="008D3B10">
            <w:pPr>
              <w:numPr>
                <w:ilvl w:val="0"/>
                <w:numId w:val="50"/>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Vaccine service especially flu and Covid </w:t>
            </w:r>
          </w:p>
          <w:p w14:paraId="0992C330" w14:textId="77777777" w:rsidR="0042684D" w:rsidRPr="0042684D" w:rsidRDefault="0042684D" w:rsidP="008D3B10">
            <w:pPr>
              <w:numPr>
                <w:ilvl w:val="0"/>
                <w:numId w:val="50"/>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Sharps drop off </w:t>
            </w:r>
          </w:p>
          <w:p w14:paraId="5E56CEDE"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Smoking cessation and weight management sessions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34B10F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“Blood test service is great”</w:t>
            </w:r>
            <w:r w:rsidRPr="0042684D">
              <w:rPr>
                <w:rFonts w:eastAsia="Times New Roman" w:cs="Arial"/>
                <w:color w:val="000000"/>
                <w:szCs w:val="24"/>
              </w:rPr>
              <w:t> </w:t>
            </w:r>
          </w:p>
          <w:p w14:paraId="31D67FF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CF6FA7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am disappointed that pharmacies do not offer a sharps drop off service”</w:t>
            </w:r>
            <w:r w:rsidRPr="0042684D">
              <w:rPr>
                <w:rFonts w:eastAsia="Times New Roman" w:cs="Arial"/>
                <w:color w:val="000000"/>
                <w:szCs w:val="24"/>
              </w:rPr>
              <w:t> </w:t>
            </w:r>
          </w:p>
          <w:p w14:paraId="79F3B717"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15C3E3F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would like to see the service of blood tests and other vaccines”</w:t>
            </w:r>
            <w:r w:rsidRPr="0042684D">
              <w:rPr>
                <w:rFonts w:eastAsia="Times New Roman" w:cs="Arial"/>
                <w:color w:val="000000"/>
                <w:szCs w:val="24"/>
              </w:rPr>
              <w:t> </w:t>
            </w:r>
          </w:p>
          <w:p w14:paraId="170D694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788B930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 xml:space="preserve">“More pharmacies should provide more NHS </w:t>
            </w:r>
            <w:r w:rsidRPr="0042684D">
              <w:rPr>
                <w:rFonts w:eastAsia="Times New Roman" w:cs="Arial"/>
                <w:i/>
                <w:iCs/>
                <w:color w:val="000000"/>
                <w:szCs w:val="24"/>
              </w:rPr>
              <w:lastRenderedPageBreak/>
              <w:t>services like tests etc.”</w:t>
            </w:r>
            <w:r w:rsidRPr="0042684D">
              <w:rPr>
                <w:rFonts w:eastAsia="Times New Roman" w:cs="Arial"/>
                <w:color w:val="000000"/>
                <w:szCs w:val="24"/>
              </w:rPr>
              <w:t> </w:t>
            </w:r>
          </w:p>
          <w:p w14:paraId="1D93E75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E1E6A7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 had a flu jab at the local pharmacy for the first time a few months ago and it was so much more convenient and easier to arrange than via a GP practice. I hadn’t previously been aware of this service via a pharmacy”</w:t>
            </w:r>
            <w:r w:rsidRPr="0042684D">
              <w:rPr>
                <w:rFonts w:eastAsia="Times New Roman" w:cs="Arial"/>
                <w:color w:val="000000"/>
                <w:szCs w:val="24"/>
              </w:rPr>
              <w:t> </w:t>
            </w:r>
          </w:p>
          <w:p w14:paraId="7FE8299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891043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“Pharmacy staff have been exceptionally helpful by setting up weekly 'weight loss' guidance &amp; monitoring sessions.”</w:t>
            </w:r>
            <w:r w:rsidRPr="0042684D">
              <w:rPr>
                <w:rFonts w:eastAsia="Times New Roman" w:cs="Arial"/>
                <w:color w:val="000000"/>
                <w:szCs w:val="24"/>
              </w:rPr>
              <w:t> </w:t>
            </w:r>
          </w:p>
        </w:tc>
      </w:tr>
      <w:tr w:rsidR="0042684D" w:rsidRPr="0042684D" w14:paraId="67B9F127"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79AB5165"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Access to a pharmacy</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3C5E913E"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Several respondents noted difficulties getting to a pharmacy including: </w:t>
            </w:r>
          </w:p>
          <w:p w14:paraId="12F6D39D"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Difficulties if you didn’t have a car </w:t>
            </w:r>
          </w:p>
          <w:p w14:paraId="2220EA94"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Relying on public transport meant access was more limited </w:t>
            </w:r>
          </w:p>
          <w:p w14:paraId="63D4009D"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Car parking issues especially for older people or those with disabilities </w:t>
            </w:r>
          </w:p>
          <w:p w14:paraId="57286080"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Physical access to the shop e.g., for pushchairs </w:t>
            </w:r>
          </w:p>
          <w:p w14:paraId="430AE3B2"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Access for hidden disabilities </w:t>
            </w:r>
          </w:p>
          <w:p w14:paraId="13CDEB4C" w14:textId="77777777" w:rsidR="0042684D" w:rsidRPr="0042684D" w:rsidRDefault="0042684D" w:rsidP="008D3B10">
            <w:pPr>
              <w:numPr>
                <w:ilvl w:val="0"/>
                <w:numId w:val="51"/>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Areas that were without a pharmacy despite sizable local population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DC88EF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“It would be useful if I could walk to a pharmacy and not have to use public transport.”</w:t>
            </w:r>
            <w:r w:rsidRPr="0042684D">
              <w:rPr>
                <w:rFonts w:eastAsia="Times New Roman" w:cs="Arial"/>
                <w:color w:val="000000"/>
                <w:szCs w:val="24"/>
              </w:rPr>
              <w:t> </w:t>
            </w:r>
          </w:p>
          <w:p w14:paraId="722150B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322D5D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“In my rural village the pharmacy is attached to the GP Surgery which is extremely convenient for all residents especially those who do not drive”</w:t>
            </w:r>
            <w:r w:rsidRPr="0042684D">
              <w:rPr>
                <w:rFonts w:eastAsia="Times New Roman" w:cs="Arial"/>
                <w:color w:val="000000"/>
                <w:szCs w:val="24"/>
              </w:rPr>
              <w:t> </w:t>
            </w:r>
          </w:p>
          <w:p w14:paraId="6A72BD6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ED9BF0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“Because it is based by a surgery the same parking is used. Access is usually difficult. There is no alternative parking nearby.”</w:t>
            </w:r>
            <w:r w:rsidRPr="0042684D">
              <w:rPr>
                <w:rFonts w:eastAsia="Times New Roman" w:cs="Arial"/>
                <w:color w:val="000000"/>
                <w:szCs w:val="24"/>
              </w:rPr>
              <w:t> </w:t>
            </w:r>
          </w:p>
          <w:p w14:paraId="1282B53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B6E6C2D"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“There is no pharmacy at all in Weddington, or Horeston Grange or any of the multiple new housing estates on the east side of Nuneaton: That is shocking !”</w:t>
            </w:r>
            <w:r w:rsidRPr="0042684D">
              <w:rPr>
                <w:rFonts w:eastAsia="Times New Roman" w:cs="Arial"/>
                <w:color w:val="000000"/>
                <w:szCs w:val="24"/>
              </w:rPr>
              <w:t> </w:t>
            </w:r>
          </w:p>
          <w:p w14:paraId="1638BD7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19CA0E4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“Not friendly for pushchairs”</w:t>
            </w:r>
            <w:r w:rsidRPr="0042684D">
              <w:rPr>
                <w:rFonts w:eastAsia="Times New Roman" w:cs="Arial"/>
                <w:color w:val="000000"/>
                <w:szCs w:val="24"/>
              </w:rPr>
              <w:t> </w:t>
            </w:r>
          </w:p>
          <w:p w14:paraId="779341B0"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74BF31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lastRenderedPageBreak/>
              <w:t>“Complete lack of understanding re hidden disabilities and access needs”</w:t>
            </w:r>
            <w:r w:rsidRPr="0042684D">
              <w:rPr>
                <w:rFonts w:eastAsia="Times New Roman" w:cs="Arial"/>
                <w:color w:val="000000"/>
                <w:szCs w:val="24"/>
              </w:rPr>
              <w:t> </w:t>
            </w:r>
          </w:p>
        </w:tc>
      </w:tr>
      <w:tr w:rsidR="0042684D" w:rsidRPr="0042684D" w14:paraId="4F622D59"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636554A9"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Young people</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416DBC06"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There were several comments both positive and negative which mentioned services for young people, particularly in relation to sexual health and emergency contraception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9D309D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“some young people have been turned away from the pharmacy or there is no one available to  support the young person.”</w:t>
            </w:r>
            <w:r w:rsidRPr="0042684D">
              <w:rPr>
                <w:rFonts w:eastAsia="Times New Roman" w:cs="Arial"/>
                <w:color w:val="000000"/>
                <w:szCs w:val="24"/>
              </w:rPr>
              <w:t> </w:t>
            </w:r>
          </w:p>
          <w:p w14:paraId="202D913E"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0F29AEF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“Botterills Pharmacy, Queens Road, Nuneaton - amazing with EHC for young people”</w:t>
            </w:r>
            <w:r w:rsidRPr="0042684D">
              <w:rPr>
                <w:rFonts w:eastAsia="Times New Roman" w:cs="Arial"/>
                <w:color w:val="000000"/>
                <w:szCs w:val="24"/>
              </w:rPr>
              <w:t> </w:t>
            </w:r>
          </w:p>
          <w:p w14:paraId="4D2A49D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A5EBC14"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“Emergency contraception for young people is often hard to access. Young people have been asked to pay when there is not a chemist working.”</w:t>
            </w:r>
            <w:r w:rsidRPr="0042684D">
              <w:rPr>
                <w:rFonts w:eastAsia="Times New Roman" w:cs="Arial"/>
                <w:color w:val="000000"/>
                <w:szCs w:val="24"/>
              </w:rPr>
              <w:t> </w:t>
            </w:r>
          </w:p>
        </w:tc>
      </w:tr>
      <w:tr w:rsidR="0042684D" w:rsidRPr="0042684D" w14:paraId="19A8FCEA"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04728042"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t>Covid-19 response</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37AF1E0C"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Reference was made to the pandemic; </w:t>
            </w:r>
          </w:p>
          <w:p w14:paraId="5420836E" w14:textId="77777777" w:rsidR="0042684D" w:rsidRPr="0042684D" w:rsidRDefault="0042684D" w:rsidP="008D3B10">
            <w:pPr>
              <w:numPr>
                <w:ilvl w:val="0"/>
                <w:numId w:val="52"/>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Pharmacies were praised for continuing to provide a service during the pandemic and adapting to requirements. </w:t>
            </w:r>
          </w:p>
          <w:p w14:paraId="7E5F0154" w14:textId="77777777" w:rsidR="0042684D" w:rsidRPr="0042684D" w:rsidRDefault="0042684D" w:rsidP="008D3B10">
            <w:pPr>
              <w:numPr>
                <w:ilvl w:val="0"/>
                <w:numId w:val="52"/>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The small nature of some outlets was sometimes a problem </w:t>
            </w:r>
          </w:p>
          <w:p w14:paraId="1DC2E2B6" w14:textId="77777777" w:rsidR="0042684D" w:rsidRPr="0042684D" w:rsidRDefault="0042684D" w:rsidP="008D3B10">
            <w:pPr>
              <w:numPr>
                <w:ilvl w:val="0"/>
                <w:numId w:val="52"/>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Queues outside of shops happened because of social distancing measures </w:t>
            </w:r>
          </w:p>
          <w:p w14:paraId="588028DF" w14:textId="77777777" w:rsidR="0042684D" w:rsidRPr="0042684D" w:rsidRDefault="0042684D" w:rsidP="008D3B10">
            <w:pPr>
              <w:numPr>
                <w:ilvl w:val="0"/>
                <w:numId w:val="52"/>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Some measures impacted on people’s ability of access the service. </w:t>
            </w:r>
          </w:p>
          <w:p w14:paraId="47ACDB29"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D60A02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“They were the only people you could see face-to-face during Covid”</w:t>
            </w:r>
            <w:r w:rsidRPr="0042684D">
              <w:rPr>
                <w:rFonts w:eastAsia="Times New Roman" w:cs="Arial"/>
                <w:color w:val="000000"/>
                <w:szCs w:val="24"/>
              </w:rPr>
              <w:t> </w:t>
            </w:r>
          </w:p>
          <w:p w14:paraId="0EED572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2356296"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“Their systems during the covid crisis made me feel safe when accessing their services.”</w:t>
            </w:r>
            <w:r w:rsidRPr="0042684D">
              <w:rPr>
                <w:rFonts w:eastAsia="Times New Roman" w:cs="Arial"/>
                <w:color w:val="000000"/>
                <w:szCs w:val="24"/>
              </w:rPr>
              <w:t> </w:t>
            </w:r>
          </w:p>
          <w:p w14:paraId="1513F228"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393D9DF5"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“The shop is rather small, this was a problem during the pandemic”</w:t>
            </w:r>
            <w:r w:rsidRPr="0042684D">
              <w:rPr>
                <w:rFonts w:eastAsia="Times New Roman" w:cs="Arial"/>
                <w:color w:val="000000"/>
                <w:szCs w:val="24"/>
              </w:rPr>
              <w:t> </w:t>
            </w:r>
          </w:p>
          <w:p w14:paraId="0BE1870A"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66064599"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i/>
                <w:iCs/>
                <w:color w:val="000000"/>
                <w:szCs w:val="24"/>
              </w:rPr>
              <w:t>“Because of social distancing they stayed well away from me, so I couldn't hear properly”</w:t>
            </w:r>
            <w:r w:rsidRPr="0042684D">
              <w:rPr>
                <w:rFonts w:eastAsia="Times New Roman" w:cs="Arial"/>
                <w:color w:val="000000"/>
                <w:szCs w:val="24"/>
              </w:rPr>
              <w:t> </w:t>
            </w:r>
          </w:p>
        </w:tc>
      </w:tr>
      <w:tr w:rsidR="0042684D" w:rsidRPr="0042684D" w14:paraId="2D48A91D"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02FB59EE"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t>Specific dispensing issue – blister packs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7FB5A66C"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Reference was made to the pandemic; </w:t>
            </w:r>
          </w:p>
          <w:p w14:paraId="76BE6875" w14:textId="77777777" w:rsidR="0042684D" w:rsidRPr="0042684D" w:rsidRDefault="0042684D" w:rsidP="008D3B10">
            <w:pPr>
              <w:numPr>
                <w:ilvl w:val="0"/>
                <w:numId w:val="5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Pharmacies were praised for continuing to provide a service during the pandemic and adapting to requirements. </w:t>
            </w:r>
          </w:p>
          <w:p w14:paraId="01BA3E94" w14:textId="77777777" w:rsidR="0042684D" w:rsidRPr="0042684D" w:rsidRDefault="0042684D" w:rsidP="008D3B10">
            <w:pPr>
              <w:numPr>
                <w:ilvl w:val="0"/>
                <w:numId w:val="5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The small nature of some outlets was sometimes a problems </w:t>
            </w:r>
          </w:p>
          <w:p w14:paraId="60FF60CC" w14:textId="77777777" w:rsidR="0042684D" w:rsidRPr="0042684D" w:rsidRDefault="0042684D" w:rsidP="008D3B10">
            <w:pPr>
              <w:numPr>
                <w:ilvl w:val="0"/>
                <w:numId w:val="5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 xml:space="preserve">Queues outside of shops </w:t>
            </w:r>
            <w:r w:rsidRPr="0042684D">
              <w:rPr>
                <w:rFonts w:eastAsia="Times New Roman" w:cs="Arial"/>
                <w:color w:val="000000"/>
                <w:szCs w:val="24"/>
              </w:rPr>
              <w:lastRenderedPageBreak/>
              <w:t>happened because of social distancing measures </w:t>
            </w:r>
          </w:p>
          <w:p w14:paraId="40315252" w14:textId="77777777" w:rsidR="0042684D" w:rsidRPr="0042684D" w:rsidRDefault="0042684D" w:rsidP="008D3B10">
            <w:pPr>
              <w:numPr>
                <w:ilvl w:val="0"/>
                <w:numId w:val="53"/>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Some measures impacted on people’s ability of access the service. </w:t>
            </w:r>
          </w:p>
          <w:p w14:paraId="3F2FE6F6"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BBC36AC"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lastRenderedPageBreak/>
              <w:t>“Pharmacy services in kenilworth have withdrawn provision of blister packs. Some care agencies will not give check controlled medications unless they are in blister packs.” </w:t>
            </w:r>
          </w:p>
          <w:p w14:paraId="6E8A2D0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5EDC5B3"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xml:space="preserve">“It's very difficult to get </w:t>
            </w:r>
            <w:r w:rsidRPr="0042684D">
              <w:rPr>
                <w:rFonts w:eastAsia="Times New Roman" w:cs="Arial"/>
                <w:color w:val="000000"/>
                <w:szCs w:val="24"/>
              </w:rPr>
              <w:lastRenderedPageBreak/>
              <w:t>blister packs or dossett boxes filled” </w:t>
            </w:r>
          </w:p>
          <w:p w14:paraId="4DC6365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p w14:paraId="4820CC41"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“Some will prescribe in blister packs, some will not, and some will deliver, and some will not. I feel that all pharmacies should have the same approach to ensure that some in the county are not left without access to services that others have.” </w:t>
            </w:r>
          </w:p>
        </w:tc>
      </w:tr>
      <w:tr w:rsidR="0042684D" w:rsidRPr="0042684D" w14:paraId="7BCF3941" w14:textId="77777777" w:rsidTr="00AD10B5">
        <w:trPr>
          <w:trHeight w:val="1230"/>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14:paraId="578C8CA9"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b/>
                <w:bCs/>
                <w:color w:val="000000"/>
                <w:szCs w:val="24"/>
              </w:rPr>
              <w:lastRenderedPageBreak/>
              <w:t>Questionnaire/survey comments</w:t>
            </w:r>
            <w:r w:rsidRPr="0042684D">
              <w:rPr>
                <w:rFonts w:eastAsia="Times New Roman" w:cs="Arial"/>
                <w:color w:val="000000"/>
                <w:szCs w:val="24"/>
              </w:rPr>
              <w:t>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45FD020A" w14:textId="77777777" w:rsidR="0042684D" w:rsidRPr="0042684D" w:rsidRDefault="0042684D" w:rsidP="0042684D">
            <w:pPr>
              <w:spacing w:before="0" w:after="0" w:line="240" w:lineRule="auto"/>
              <w:jc w:val="both"/>
              <w:textAlignment w:val="baseline"/>
              <w:rPr>
                <w:rFonts w:eastAsia="Times New Roman" w:cs="Arial"/>
                <w:color w:val="000000"/>
                <w:szCs w:val="24"/>
              </w:rPr>
            </w:pPr>
            <w:r w:rsidRPr="0042684D">
              <w:rPr>
                <w:rFonts w:eastAsia="Times New Roman" w:cs="Arial"/>
                <w:color w:val="000000"/>
                <w:szCs w:val="24"/>
              </w:rPr>
              <w:t>A small number of comments related to the survey design </w:t>
            </w:r>
          </w:p>
          <w:p w14:paraId="164420E3" w14:textId="77777777" w:rsidR="0042684D" w:rsidRPr="0042684D" w:rsidRDefault="0042684D" w:rsidP="008D3B10">
            <w:pPr>
              <w:numPr>
                <w:ilvl w:val="0"/>
                <w:numId w:val="5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Some questions did not offer the options required by respondents </w:t>
            </w:r>
          </w:p>
          <w:p w14:paraId="4EAE637B" w14:textId="77777777" w:rsidR="0042684D" w:rsidRPr="0042684D" w:rsidRDefault="0042684D" w:rsidP="008D3B10">
            <w:pPr>
              <w:numPr>
                <w:ilvl w:val="0"/>
                <w:numId w:val="54"/>
              </w:numPr>
              <w:spacing w:before="0" w:after="0" w:line="240" w:lineRule="auto"/>
              <w:ind w:left="1080" w:firstLine="0"/>
              <w:jc w:val="both"/>
              <w:textAlignment w:val="baseline"/>
              <w:rPr>
                <w:rFonts w:eastAsia="Times New Roman" w:cs="Arial"/>
                <w:color w:val="000000"/>
                <w:szCs w:val="24"/>
              </w:rPr>
            </w:pPr>
            <w:r w:rsidRPr="0042684D">
              <w:rPr>
                <w:rFonts w:eastAsia="Times New Roman" w:cs="Arial"/>
                <w:color w:val="000000"/>
                <w:szCs w:val="24"/>
              </w:rPr>
              <w:t>One comment felt questions were skewed to urban populations and did not deal with rural matters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32B364F" w14:textId="77777777" w:rsidR="0042684D" w:rsidRPr="0042684D" w:rsidRDefault="0042684D" w:rsidP="0042684D">
            <w:pPr>
              <w:spacing w:before="0" w:after="0" w:line="240" w:lineRule="auto"/>
              <w:textAlignment w:val="baseline"/>
              <w:rPr>
                <w:rFonts w:eastAsia="Times New Roman" w:cs="Arial"/>
                <w:color w:val="000000"/>
                <w:szCs w:val="24"/>
              </w:rPr>
            </w:pPr>
            <w:r w:rsidRPr="0042684D">
              <w:rPr>
                <w:rFonts w:eastAsia="Times New Roman" w:cs="Arial"/>
                <w:color w:val="000000"/>
                <w:szCs w:val="24"/>
              </w:rPr>
              <w:t> </w:t>
            </w:r>
          </w:p>
        </w:tc>
      </w:tr>
    </w:tbl>
    <w:p w14:paraId="5034E35A" w14:textId="76F4FFBA" w:rsidR="00EC5B9E" w:rsidRDefault="00AD10B5" w:rsidP="00AD10B5">
      <w:pPr>
        <w:pStyle w:val="Caption"/>
        <w:rPr>
          <w:rFonts w:cs="Arial"/>
          <w:szCs w:val="24"/>
        </w:rPr>
      </w:pPr>
      <w:r>
        <w:t xml:space="preserve">Figure </w:t>
      </w:r>
      <w:r>
        <w:fldChar w:fldCharType="begin"/>
      </w:r>
      <w:r>
        <w:instrText>SEQ Figure \* ARABIC</w:instrText>
      </w:r>
      <w:r>
        <w:fldChar w:fldCharType="separate"/>
      </w:r>
      <w:r w:rsidR="006553F7">
        <w:rPr>
          <w:noProof/>
        </w:rPr>
        <w:t>48</w:t>
      </w:r>
      <w:r>
        <w:fldChar w:fldCharType="end"/>
      </w:r>
      <w:r>
        <w:t>:</w:t>
      </w:r>
      <w:r w:rsidRPr="00AD10B5">
        <w:rPr>
          <w:rFonts w:cs="Arial"/>
          <w:szCs w:val="24"/>
        </w:rPr>
        <w:t xml:space="preserve"> Is there anything else you want to tell us about your recent experience of using pharmacies</w:t>
      </w:r>
    </w:p>
    <w:p w14:paraId="60D68B3C" w14:textId="77777777" w:rsidR="00E258A8" w:rsidRDefault="00E258A8" w:rsidP="00E258A8"/>
    <w:p w14:paraId="51DCBF37" w14:textId="4C2F7A21" w:rsidR="00E258A8" w:rsidRDefault="00E258A8" w:rsidP="00E258A8"/>
    <w:p w14:paraId="546D2997" w14:textId="77777777" w:rsidR="00E258A8" w:rsidRDefault="00E258A8">
      <w:pPr>
        <w:spacing w:before="200" w:after="200" w:line="276" w:lineRule="auto"/>
      </w:pPr>
      <w:r>
        <w:br w:type="page"/>
      </w:r>
    </w:p>
    <w:p w14:paraId="5321A122" w14:textId="0C085B94" w:rsidR="00E258A8" w:rsidRDefault="00E258A8" w:rsidP="00E258A8">
      <w:pPr>
        <w:pStyle w:val="Heading2"/>
      </w:pPr>
      <w:bookmarkStart w:id="65" w:name="_Toc113628622"/>
      <w:r>
        <w:lastRenderedPageBreak/>
        <w:t xml:space="preserve">Appendix 4 – Formal Consultation </w:t>
      </w:r>
      <w:r w:rsidR="00B35A15">
        <w:t>Feedback</w:t>
      </w:r>
      <w:bookmarkEnd w:id="65"/>
    </w:p>
    <w:p w14:paraId="00660C3B" w14:textId="77777777" w:rsidR="009C7D96" w:rsidRDefault="006A3DD1" w:rsidP="000460D5">
      <w:r>
        <w:t xml:space="preserve">As part of the PNA process </w:t>
      </w:r>
      <w:r w:rsidR="00E97C6D">
        <w:t>there is a statutory provision that requires consultation of at least 60 days to take place to e</w:t>
      </w:r>
      <w:r w:rsidR="00CB1D5E">
        <w:t xml:space="preserve">stablish if the pharmaceutical providers and services </w:t>
      </w:r>
      <w:r w:rsidR="00A12E7B">
        <w:t xml:space="preserve">supporting the population are accurately reflected in the final PNA document. </w:t>
      </w:r>
    </w:p>
    <w:p w14:paraId="3E96695D" w14:textId="7C84ED40" w:rsidR="009C7D96" w:rsidRDefault="009C7D96" w:rsidP="009C7D96">
      <w:pPr>
        <w:rPr>
          <w:rFonts w:eastAsia="MS Mincho" w:cs="Arial"/>
        </w:rPr>
      </w:pPr>
      <w:r>
        <w:rPr>
          <w:rFonts w:eastAsia="MS Mincho" w:cs="Arial"/>
        </w:rPr>
        <w:t>The regulations set out a list of bodies that must be consulted during the formal consultation.</w:t>
      </w:r>
      <w:r w:rsidR="00565C6C">
        <w:rPr>
          <w:rFonts w:eastAsia="MS Mincho" w:cs="Arial"/>
        </w:rPr>
        <w:t xml:space="preserve"> In compliance with these regulations, the following were notified on the first day of the formal consultation with an invitation to review and comment:</w:t>
      </w:r>
    </w:p>
    <w:p w14:paraId="2B54F751" w14:textId="77777777" w:rsidR="009C7D96" w:rsidRDefault="009C7D96" w:rsidP="009C7D96">
      <w:pPr>
        <w:pStyle w:val="ListParagraph"/>
        <w:numPr>
          <w:ilvl w:val="0"/>
          <w:numId w:val="9"/>
        </w:numPr>
        <w:rPr>
          <w:rFonts w:eastAsia="MS Mincho" w:cs="Arial"/>
        </w:rPr>
      </w:pPr>
      <w:r>
        <w:rPr>
          <w:rFonts w:eastAsia="MS Mincho" w:cs="Arial"/>
        </w:rPr>
        <w:t>Any Local Pharmaceutical Committee (LPC) for its area</w:t>
      </w:r>
    </w:p>
    <w:p w14:paraId="75A0B2CB" w14:textId="77777777" w:rsidR="009C7D96" w:rsidRDefault="009C7D96" w:rsidP="009C7D96">
      <w:pPr>
        <w:pStyle w:val="ListParagraph"/>
        <w:numPr>
          <w:ilvl w:val="0"/>
          <w:numId w:val="9"/>
        </w:numPr>
        <w:rPr>
          <w:rFonts w:eastAsia="MS Mincho" w:cs="Arial"/>
        </w:rPr>
      </w:pPr>
      <w:r>
        <w:rPr>
          <w:rFonts w:eastAsia="MS Mincho" w:cs="Arial"/>
        </w:rPr>
        <w:t>Any Local Medical Committees (LMC) for its area</w:t>
      </w:r>
    </w:p>
    <w:p w14:paraId="30F803D1" w14:textId="77777777" w:rsidR="009C7D96" w:rsidRDefault="009C7D96" w:rsidP="009C7D96">
      <w:pPr>
        <w:pStyle w:val="ListParagraph"/>
        <w:numPr>
          <w:ilvl w:val="0"/>
          <w:numId w:val="9"/>
        </w:numPr>
        <w:rPr>
          <w:rFonts w:eastAsia="MS Mincho" w:cs="Arial"/>
        </w:rPr>
      </w:pPr>
      <w:r>
        <w:rPr>
          <w:rFonts w:eastAsia="MS Mincho" w:cs="Arial"/>
        </w:rPr>
        <w:t>Any persons on the pharmaceutical lists and any dispensing doctors list for its area</w:t>
      </w:r>
    </w:p>
    <w:p w14:paraId="35B73C52" w14:textId="77777777" w:rsidR="009C7D96" w:rsidRDefault="009C7D96" w:rsidP="009C7D96">
      <w:pPr>
        <w:pStyle w:val="ListParagraph"/>
        <w:numPr>
          <w:ilvl w:val="0"/>
          <w:numId w:val="9"/>
        </w:numPr>
        <w:rPr>
          <w:rFonts w:eastAsia="MS Mincho" w:cs="Arial"/>
        </w:rPr>
      </w:pPr>
      <w:r>
        <w:rPr>
          <w:rFonts w:eastAsia="MS Mincho" w:cs="Arial"/>
        </w:rPr>
        <w:t>Any LPS chemist in its area</w:t>
      </w:r>
    </w:p>
    <w:p w14:paraId="5191F5FF" w14:textId="77777777" w:rsidR="009C7D96" w:rsidRDefault="009C7D96" w:rsidP="009C7D96">
      <w:pPr>
        <w:pStyle w:val="ListParagraph"/>
        <w:numPr>
          <w:ilvl w:val="0"/>
          <w:numId w:val="9"/>
        </w:numPr>
        <w:rPr>
          <w:rFonts w:eastAsia="MS Mincho" w:cs="Arial"/>
        </w:rPr>
      </w:pPr>
      <w:r>
        <w:rPr>
          <w:rFonts w:eastAsia="MS Mincho" w:cs="Arial"/>
        </w:rPr>
        <w:t>Any Local Healthwatch organisation for its area</w:t>
      </w:r>
    </w:p>
    <w:p w14:paraId="67971A2A" w14:textId="77777777" w:rsidR="009C7D96" w:rsidRDefault="009C7D96" w:rsidP="009C7D96">
      <w:pPr>
        <w:pStyle w:val="ListParagraph"/>
        <w:numPr>
          <w:ilvl w:val="0"/>
          <w:numId w:val="9"/>
        </w:numPr>
        <w:rPr>
          <w:rFonts w:eastAsia="MS Mincho" w:cs="Arial"/>
        </w:rPr>
      </w:pPr>
      <w:r>
        <w:rPr>
          <w:rFonts w:eastAsia="MS Mincho" w:cs="Arial"/>
        </w:rPr>
        <w:t>Any NHS trust or NHS foundation trust in its area</w:t>
      </w:r>
    </w:p>
    <w:p w14:paraId="3FEA6546" w14:textId="01E97436" w:rsidR="009C7D96" w:rsidRPr="009C7D96" w:rsidRDefault="009C7D96" w:rsidP="000460D5">
      <w:pPr>
        <w:pStyle w:val="ListParagraph"/>
        <w:numPr>
          <w:ilvl w:val="0"/>
          <w:numId w:val="9"/>
        </w:numPr>
        <w:rPr>
          <w:rFonts w:eastAsia="MS Mincho" w:cs="Arial"/>
          <w:szCs w:val="24"/>
        </w:rPr>
      </w:pPr>
      <w:r w:rsidRPr="00B04EA2">
        <w:rPr>
          <w:rFonts w:eastAsia="MS Mincho" w:cs="Arial"/>
        </w:rPr>
        <w:t>The National Health Service Commissioning Board (NHSCB) and any neighbouring Health and Wellbeing Boards</w:t>
      </w:r>
      <w:r>
        <w:rPr>
          <w:rFonts w:eastAsia="MS Mincho" w:cs="Arial"/>
        </w:rPr>
        <w:t>.</w:t>
      </w:r>
      <w:r w:rsidRPr="00B04EA2">
        <w:rPr>
          <w:rFonts w:eastAsia="MS Mincho" w:cs="Arial"/>
        </w:rPr>
        <w:t xml:space="preserve"> </w:t>
      </w:r>
    </w:p>
    <w:p w14:paraId="31C92A59" w14:textId="3176FFA6" w:rsidR="000460D5" w:rsidRDefault="000460D5" w:rsidP="000460D5">
      <w:r>
        <w:t>The PNA went out to formal consultation on 23</w:t>
      </w:r>
      <w:r w:rsidRPr="000460D5">
        <w:rPr>
          <w:vertAlign w:val="superscript"/>
        </w:rPr>
        <w:t>rd</w:t>
      </w:r>
      <w:r>
        <w:t xml:space="preserve"> </w:t>
      </w:r>
      <w:r w:rsidR="008560EF">
        <w:t xml:space="preserve">June </w:t>
      </w:r>
      <w:r w:rsidR="00646989">
        <w:t xml:space="preserve">and closed on </w:t>
      </w:r>
      <w:r w:rsidR="008560EF">
        <w:t>29</w:t>
      </w:r>
      <w:r w:rsidR="008560EF" w:rsidRPr="008560EF">
        <w:rPr>
          <w:vertAlign w:val="superscript"/>
        </w:rPr>
        <w:t>th</w:t>
      </w:r>
      <w:r w:rsidR="008560EF">
        <w:t xml:space="preserve"> August. </w:t>
      </w:r>
      <w:r w:rsidR="00AA57ED">
        <w:t xml:space="preserve">During this time the webpage the document was hosted on was viewed 119 times, there were 34 downloads and 5 responses. </w:t>
      </w:r>
      <w:r w:rsidR="00DB438A">
        <w:t>Whilst the response rate to the formal consultation was l</w:t>
      </w:r>
      <w:r w:rsidR="00FB7865">
        <w:t>ow</w:t>
      </w:r>
      <w:r w:rsidR="000941B9">
        <w:t xml:space="preserve"> both Health and Wellbeing Boards are happy with the sight and opportunity given during the process</w:t>
      </w:r>
      <w:r w:rsidR="00852DF6">
        <w:t xml:space="preserve"> for all key stakeholders</w:t>
      </w:r>
      <w:r w:rsidR="00077899">
        <w:t xml:space="preserve"> to comment and give thoughts</w:t>
      </w:r>
      <w:r w:rsidR="000941B9">
        <w:t xml:space="preserve">. </w:t>
      </w:r>
      <w:r w:rsidR="003A1FD8">
        <w:t>There were separate responses from the LPC that were collated during the consultation</w:t>
      </w:r>
      <w:r w:rsidR="00B6718A">
        <w:t>.</w:t>
      </w:r>
    </w:p>
    <w:p w14:paraId="576F6274" w14:textId="7C7AB894" w:rsidR="00C30004" w:rsidRDefault="00C30004" w:rsidP="000460D5">
      <w:r>
        <w:t>Of the 5</w:t>
      </w:r>
      <w:r w:rsidR="00B6718A">
        <w:t xml:space="preserve"> formal</w:t>
      </w:r>
      <w:r>
        <w:t xml:space="preserve"> responses, 3 responded in a Pharmacy Role, 1 responded as a </w:t>
      </w:r>
      <w:r w:rsidR="00DA66F8">
        <w:t>Mem</w:t>
      </w:r>
      <w:r>
        <w:t xml:space="preserve">ber of the </w:t>
      </w:r>
      <w:r w:rsidR="00DA66F8">
        <w:t>P</w:t>
      </w:r>
      <w:r>
        <w:t xml:space="preserve">ublic, and 1 responded as Other and specified Sexual Health Commissioner. </w:t>
      </w:r>
    </w:p>
    <w:p w14:paraId="285C2637" w14:textId="7C15A01C" w:rsidR="007E565F" w:rsidRDefault="00DA66F8" w:rsidP="000460D5">
      <w:r>
        <w:t>2 said the operate/live Coventry/Warwickshire wide, 1</w:t>
      </w:r>
      <w:r w:rsidR="007E565F">
        <w:t xml:space="preserve"> Warwickshire wide, 1 Nuneaton and Bedworth, and 1 Warwick District.</w:t>
      </w:r>
    </w:p>
    <w:p w14:paraId="3F011FBB" w14:textId="47D53EE4" w:rsidR="007E565F" w:rsidRDefault="008170EB" w:rsidP="000460D5">
      <w:r>
        <w:t>The questions had the following responses:</w:t>
      </w:r>
    </w:p>
    <w:tbl>
      <w:tblPr>
        <w:tblStyle w:val="GridTable4-Accent1"/>
        <w:tblW w:w="0" w:type="auto"/>
        <w:tblLook w:val="04A0" w:firstRow="1" w:lastRow="0" w:firstColumn="1" w:lastColumn="0" w:noHBand="0" w:noVBand="1"/>
      </w:tblPr>
      <w:tblGrid>
        <w:gridCol w:w="7905"/>
        <w:gridCol w:w="2283"/>
      </w:tblGrid>
      <w:tr w:rsidR="00F845B8" w14:paraId="6FAAD74E" w14:textId="77777777" w:rsidTr="00EF5D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2EAD0E21" w14:textId="5F0C7BA9" w:rsidR="00F845B8" w:rsidRDefault="00F845B8" w:rsidP="000460D5">
            <w:r>
              <w:t>Question</w:t>
            </w:r>
          </w:p>
        </w:tc>
        <w:tc>
          <w:tcPr>
            <w:tcW w:w="2283" w:type="dxa"/>
          </w:tcPr>
          <w:p w14:paraId="4003DFBB" w14:textId="36D38825" w:rsidR="00F845B8" w:rsidRDefault="00F845B8" w:rsidP="000460D5">
            <w:pPr>
              <w:cnfStyle w:val="100000000000" w:firstRow="1" w:lastRow="0" w:firstColumn="0" w:lastColumn="0" w:oddVBand="0" w:evenVBand="0" w:oddHBand="0" w:evenHBand="0" w:firstRowFirstColumn="0" w:firstRowLastColumn="0" w:lastRowFirstColumn="0" w:lastRowLastColumn="0"/>
            </w:pPr>
            <w:r>
              <w:t>Reponses</w:t>
            </w:r>
          </w:p>
        </w:tc>
      </w:tr>
      <w:tr w:rsidR="00F845B8" w14:paraId="3E474A51" w14:textId="77777777" w:rsidTr="00EF5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0812CB64" w14:textId="2F39157A" w:rsidR="00F845B8" w:rsidRDefault="00F845B8" w:rsidP="000460D5">
            <w:r>
              <w:t>Has the purpose of the pharmaceutical needs assessment been explained within this document?</w:t>
            </w:r>
          </w:p>
        </w:tc>
        <w:tc>
          <w:tcPr>
            <w:tcW w:w="2283" w:type="dxa"/>
          </w:tcPr>
          <w:p w14:paraId="54117F23" w14:textId="452142EF" w:rsidR="00F845B8" w:rsidRDefault="00F845B8" w:rsidP="000460D5">
            <w:pPr>
              <w:cnfStyle w:val="000000100000" w:firstRow="0" w:lastRow="0" w:firstColumn="0" w:lastColumn="0" w:oddVBand="0" w:evenVBand="0" w:oddHBand="1" w:evenHBand="0" w:firstRowFirstColumn="0" w:firstRowLastColumn="0" w:lastRowFirstColumn="0" w:lastRowLastColumn="0"/>
            </w:pPr>
            <w:r>
              <w:t>5/5 – Yes</w:t>
            </w:r>
          </w:p>
        </w:tc>
      </w:tr>
      <w:tr w:rsidR="00F845B8" w14:paraId="7BDC0D51" w14:textId="77777777" w:rsidTr="00EF5D91">
        <w:tc>
          <w:tcPr>
            <w:cnfStyle w:val="001000000000" w:firstRow="0" w:lastRow="0" w:firstColumn="1" w:lastColumn="0" w:oddVBand="0" w:evenVBand="0" w:oddHBand="0" w:evenHBand="0" w:firstRowFirstColumn="0" w:firstRowLastColumn="0" w:lastRowFirstColumn="0" w:lastRowLastColumn="0"/>
            <w:tcW w:w="7905" w:type="dxa"/>
          </w:tcPr>
          <w:p w14:paraId="4FFACEC8" w14:textId="3F802072" w:rsidR="00F845B8" w:rsidRDefault="00F845B8" w:rsidP="000460D5">
            <w:r>
              <w:t xml:space="preserve">Does the pharmaceutical needs assessment </w:t>
            </w:r>
            <w:r w:rsidR="000A122C">
              <w:t xml:space="preserve">reflect the current </w:t>
            </w:r>
            <w:r w:rsidR="000A122C">
              <w:lastRenderedPageBreak/>
              <w:t>provision of pharmaceutical services within your area?</w:t>
            </w:r>
          </w:p>
        </w:tc>
        <w:tc>
          <w:tcPr>
            <w:tcW w:w="2283" w:type="dxa"/>
          </w:tcPr>
          <w:p w14:paraId="63DBA1D3" w14:textId="344EDFB2" w:rsidR="00F845B8" w:rsidRDefault="000A122C" w:rsidP="000460D5">
            <w:pPr>
              <w:cnfStyle w:val="000000000000" w:firstRow="0" w:lastRow="0" w:firstColumn="0" w:lastColumn="0" w:oddVBand="0" w:evenVBand="0" w:oddHBand="0" w:evenHBand="0" w:firstRowFirstColumn="0" w:firstRowLastColumn="0" w:lastRowFirstColumn="0" w:lastRowLastColumn="0"/>
            </w:pPr>
            <w:r>
              <w:lastRenderedPageBreak/>
              <w:t>5/5 – Yes</w:t>
            </w:r>
          </w:p>
        </w:tc>
      </w:tr>
      <w:tr w:rsidR="00F845B8" w14:paraId="70E9178A" w14:textId="77777777" w:rsidTr="00EF5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43F7CB52" w14:textId="76C3DEC1" w:rsidR="00F845B8" w:rsidRDefault="000A122C" w:rsidP="000460D5">
            <w:r>
              <w:t>Does the draft pharmaceutical needs assessment reflect the needs of your area?</w:t>
            </w:r>
          </w:p>
        </w:tc>
        <w:tc>
          <w:tcPr>
            <w:tcW w:w="2283" w:type="dxa"/>
          </w:tcPr>
          <w:p w14:paraId="7E740047" w14:textId="77777777" w:rsidR="003E2F49" w:rsidRDefault="000A122C" w:rsidP="000460D5">
            <w:pPr>
              <w:cnfStyle w:val="000000100000" w:firstRow="0" w:lastRow="0" w:firstColumn="0" w:lastColumn="0" w:oddVBand="0" w:evenVBand="0" w:oddHBand="1" w:evenHBand="0" w:firstRowFirstColumn="0" w:firstRowLastColumn="0" w:lastRowFirstColumn="0" w:lastRowLastColumn="0"/>
            </w:pPr>
            <w:r>
              <w:t xml:space="preserve">4/5 – Yes, </w:t>
            </w:r>
          </w:p>
          <w:p w14:paraId="143FDC0A" w14:textId="5C0672EE" w:rsidR="00F845B8" w:rsidRDefault="000A122C" w:rsidP="000460D5">
            <w:pPr>
              <w:cnfStyle w:val="000000100000" w:firstRow="0" w:lastRow="0" w:firstColumn="0" w:lastColumn="0" w:oddVBand="0" w:evenVBand="0" w:oddHBand="1" w:evenHBand="0" w:firstRowFirstColumn="0" w:firstRowLastColumn="0" w:lastRowFirstColumn="0" w:lastRowLastColumn="0"/>
            </w:pPr>
            <w:r>
              <w:t>1/5 – No</w:t>
            </w:r>
          </w:p>
        </w:tc>
      </w:tr>
      <w:tr w:rsidR="00F845B8" w14:paraId="5203F28A" w14:textId="77777777" w:rsidTr="00EF5D91">
        <w:tc>
          <w:tcPr>
            <w:cnfStyle w:val="001000000000" w:firstRow="0" w:lastRow="0" w:firstColumn="1" w:lastColumn="0" w:oddVBand="0" w:evenVBand="0" w:oddHBand="0" w:evenHBand="0" w:firstRowFirstColumn="0" w:firstRowLastColumn="0" w:lastRowFirstColumn="0" w:lastRowLastColumn="0"/>
            <w:tcW w:w="7905" w:type="dxa"/>
          </w:tcPr>
          <w:p w14:paraId="3938F3E8" w14:textId="4E240835" w:rsidR="00F845B8" w:rsidRDefault="000A122C" w:rsidP="000460D5">
            <w:r>
              <w:t xml:space="preserve">Are there any gaps in service </w:t>
            </w:r>
            <w:r w:rsidR="008701DE">
              <w:t>i.e.</w:t>
            </w:r>
            <w:r w:rsidR="008701DE">
              <w:rPr>
                <w:b w:val="0"/>
                <w:bCs w:val="0"/>
              </w:rPr>
              <w:t>,</w:t>
            </w:r>
            <w:r>
              <w:t xml:space="preserve"> when, where and which services are available that have not been identified in the pharmaceutical needs assessment? </w:t>
            </w:r>
          </w:p>
        </w:tc>
        <w:tc>
          <w:tcPr>
            <w:tcW w:w="2283" w:type="dxa"/>
          </w:tcPr>
          <w:p w14:paraId="71563503" w14:textId="77777777" w:rsidR="00EF5D91" w:rsidRDefault="000A122C" w:rsidP="000460D5">
            <w:pPr>
              <w:cnfStyle w:val="000000000000" w:firstRow="0" w:lastRow="0" w:firstColumn="0" w:lastColumn="0" w:oddVBand="0" w:evenVBand="0" w:oddHBand="0" w:evenHBand="0" w:firstRowFirstColumn="0" w:firstRowLastColumn="0" w:lastRowFirstColumn="0" w:lastRowLastColumn="0"/>
            </w:pPr>
            <w:r>
              <w:t xml:space="preserve">4/5 – Yes </w:t>
            </w:r>
          </w:p>
          <w:p w14:paraId="58F1DEFA" w14:textId="74A176C4" w:rsidR="00F845B8" w:rsidRDefault="000A122C" w:rsidP="000460D5">
            <w:pPr>
              <w:cnfStyle w:val="000000000000" w:firstRow="0" w:lastRow="0" w:firstColumn="0" w:lastColumn="0" w:oddVBand="0" w:evenVBand="0" w:oddHBand="0" w:evenHBand="0" w:firstRowFirstColumn="0" w:firstRowLastColumn="0" w:lastRowFirstColumn="0" w:lastRowLastColumn="0"/>
            </w:pPr>
            <w:r>
              <w:t>1/5 – No</w:t>
            </w:r>
          </w:p>
        </w:tc>
      </w:tr>
      <w:tr w:rsidR="00F845B8" w14:paraId="0CDAD9E7" w14:textId="77777777" w:rsidTr="00EF5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7C7C6A2D" w14:textId="4C71514C" w:rsidR="00F845B8" w:rsidRDefault="008701DE" w:rsidP="000460D5">
            <w:r>
              <w:t>Has the pharmaceutical needs assessment provided information to inform market entry decisions i.e.</w:t>
            </w:r>
            <w:r>
              <w:rPr>
                <w:b w:val="0"/>
                <w:bCs w:val="0"/>
              </w:rPr>
              <w:t>,</w:t>
            </w:r>
            <w:r>
              <w:t xml:space="preserve"> decisions on applications for new pharmacies and dispensing appliance contractor premises? </w:t>
            </w:r>
          </w:p>
        </w:tc>
        <w:tc>
          <w:tcPr>
            <w:tcW w:w="2283" w:type="dxa"/>
          </w:tcPr>
          <w:p w14:paraId="3CFD10A5" w14:textId="53746C19" w:rsidR="00EF5D91" w:rsidRDefault="008701DE" w:rsidP="000460D5">
            <w:pPr>
              <w:cnfStyle w:val="000000100000" w:firstRow="0" w:lastRow="0" w:firstColumn="0" w:lastColumn="0" w:oddVBand="0" w:evenVBand="0" w:oddHBand="1" w:evenHBand="0" w:firstRowFirstColumn="0" w:firstRowLastColumn="0" w:lastRowFirstColumn="0" w:lastRowLastColumn="0"/>
            </w:pPr>
            <w:r>
              <w:t xml:space="preserve">3/5 – Yes </w:t>
            </w:r>
          </w:p>
          <w:p w14:paraId="4C023C94" w14:textId="074D5686" w:rsidR="00F845B8" w:rsidRDefault="008701DE" w:rsidP="000460D5">
            <w:pPr>
              <w:cnfStyle w:val="000000100000" w:firstRow="0" w:lastRow="0" w:firstColumn="0" w:lastColumn="0" w:oddVBand="0" w:evenVBand="0" w:oddHBand="1" w:evenHBand="0" w:firstRowFirstColumn="0" w:firstRowLastColumn="0" w:lastRowFirstColumn="0" w:lastRowLastColumn="0"/>
            </w:pPr>
            <w:r>
              <w:t>2/5 – Don’t know</w:t>
            </w:r>
          </w:p>
        </w:tc>
      </w:tr>
      <w:tr w:rsidR="00F845B8" w14:paraId="4D8FC6A9" w14:textId="77777777" w:rsidTr="00EF5D91">
        <w:tc>
          <w:tcPr>
            <w:cnfStyle w:val="001000000000" w:firstRow="0" w:lastRow="0" w:firstColumn="1" w:lastColumn="0" w:oddVBand="0" w:evenVBand="0" w:oddHBand="0" w:evenHBand="0" w:firstRowFirstColumn="0" w:firstRowLastColumn="0" w:lastRowFirstColumn="0" w:lastRowLastColumn="0"/>
            <w:tcW w:w="7905" w:type="dxa"/>
          </w:tcPr>
          <w:p w14:paraId="42E6281E" w14:textId="7B65EA13" w:rsidR="00F845B8" w:rsidRDefault="002E5CDF" w:rsidP="000460D5">
            <w:r>
              <w:t>Has the pharmaceutical needs assessment provided information to inform how pharmaceutical services may be commissioned in the future?</w:t>
            </w:r>
          </w:p>
        </w:tc>
        <w:tc>
          <w:tcPr>
            <w:tcW w:w="2283" w:type="dxa"/>
          </w:tcPr>
          <w:p w14:paraId="129DDF64" w14:textId="72018733" w:rsidR="00F845B8" w:rsidRDefault="002E5CDF" w:rsidP="000460D5">
            <w:pPr>
              <w:cnfStyle w:val="000000000000" w:firstRow="0" w:lastRow="0" w:firstColumn="0" w:lastColumn="0" w:oddVBand="0" w:evenVBand="0" w:oddHBand="0" w:evenHBand="0" w:firstRowFirstColumn="0" w:firstRowLastColumn="0" w:lastRowFirstColumn="0" w:lastRowLastColumn="0"/>
            </w:pPr>
            <w:r>
              <w:t>5/5 – Yes</w:t>
            </w:r>
          </w:p>
        </w:tc>
      </w:tr>
      <w:tr w:rsidR="00F845B8" w14:paraId="0F75AF5C" w14:textId="77777777" w:rsidTr="00EF5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1FC5183D" w14:textId="11E69E15" w:rsidR="00F845B8" w:rsidRDefault="002E5CDF" w:rsidP="000460D5">
            <w:r>
              <w:t>Has the pharmaceutical needs assessment provided enough information to inform future pharmaceutical services provision and plans for pharmacies and dispensing appliance contractor</w:t>
            </w:r>
            <w:r>
              <w:rPr>
                <w:b w:val="0"/>
                <w:bCs w:val="0"/>
              </w:rPr>
              <w:t>s</w:t>
            </w:r>
            <w:r>
              <w:t>?</w:t>
            </w:r>
          </w:p>
        </w:tc>
        <w:tc>
          <w:tcPr>
            <w:tcW w:w="2283" w:type="dxa"/>
          </w:tcPr>
          <w:p w14:paraId="673FA3A4" w14:textId="7E9DEB02" w:rsidR="00F845B8" w:rsidRDefault="002E5CDF" w:rsidP="000460D5">
            <w:pPr>
              <w:cnfStyle w:val="000000100000" w:firstRow="0" w:lastRow="0" w:firstColumn="0" w:lastColumn="0" w:oddVBand="0" w:evenVBand="0" w:oddHBand="1" w:evenHBand="0" w:firstRowFirstColumn="0" w:firstRowLastColumn="0" w:lastRowFirstColumn="0" w:lastRowLastColumn="0"/>
            </w:pPr>
            <w:r>
              <w:t>5/5 – Yes</w:t>
            </w:r>
          </w:p>
        </w:tc>
      </w:tr>
      <w:tr w:rsidR="002E5CDF" w14:paraId="753A0BCC" w14:textId="77777777" w:rsidTr="00EF5D91">
        <w:tc>
          <w:tcPr>
            <w:cnfStyle w:val="001000000000" w:firstRow="0" w:lastRow="0" w:firstColumn="1" w:lastColumn="0" w:oddVBand="0" w:evenVBand="0" w:oddHBand="0" w:evenHBand="0" w:firstRowFirstColumn="0" w:firstRowLastColumn="0" w:lastRowFirstColumn="0" w:lastRowLastColumn="0"/>
            <w:tcW w:w="7905" w:type="dxa"/>
          </w:tcPr>
          <w:p w14:paraId="705537DD" w14:textId="270EE525" w:rsidR="002E5CDF" w:rsidRDefault="00FA462A" w:rsidP="000460D5">
            <w:r>
              <w:t xml:space="preserve">Are there any pharmaceutical services that could be provided in the community </w:t>
            </w:r>
            <w:r w:rsidR="003E2F49">
              <w:t>pharmacy setting in the future that have not been highlighted?</w:t>
            </w:r>
          </w:p>
        </w:tc>
        <w:tc>
          <w:tcPr>
            <w:tcW w:w="2283" w:type="dxa"/>
          </w:tcPr>
          <w:p w14:paraId="06A5C960" w14:textId="77777777" w:rsidR="00EF5D91" w:rsidRDefault="003E2F49" w:rsidP="000460D5">
            <w:pPr>
              <w:cnfStyle w:val="000000000000" w:firstRow="0" w:lastRow="0" w:firstColumn="0" w:lastColumn="0" w:oddVBand="0" w:evenVBand="0" w:oddHBand="0" w:evenHBand="0" w:firstRowFirstColumn="0" w:firstRowLastColumn="0" w:lastRowFirstColumn="0" w:lastRowLastColumn="0"/>
            </w:pPr>
            <w:r>
              <w:t>4/5 – No</w:t>
            </w:r>
          </w:p>
          <w:p w14:paraId="104D015D" w14:textId="6673E1AE" w:rsidR="002E5CDF" w:rsidRDefault="003E2F49" w:rsidP="000460D5">
            <w:pPr>
              <w:cnfStyle w:val="000000000000" w:firstRow="0" w:lastRow="0" w:firstColumn="0" w:lastColumn="0" w:oddVBand="0" w:evenVBand="0" w:oddHBand="0" w:evenHBand="0" w:firstRowFirstColumn="0" w:firstRowLastColumn="0" w:lastRowFirstColumn="0" w:lastRowLastColumn="0"/>
            </w:pPr>
            <w:r>
              <w:t>1/5 – Yes</w:t>
            </w:r>
          </w:p>
        </w:tc>
      </w:tr>
      <w:tr w:rsidR="003E2F49" w14:paraId="204E3D21" w14:textId="77777777" w:rsidTr="00EF5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0B28F970" w14:textId="332C39CF" w:rsidR="003E2F49" w:rsidRDefault="003E2F49" w:rsidP="000460D5">
            <w:r>
              <w:t>Do you agree with the conclusions of the pharmaceutical needs assessment?</w:t>
            </w:r>
          </w:p>
        </w:tc>
        <w:tc>
          <w:tcPr>
            <w:tcW w:w="2283" w:type="dxa"/>
          </w:tcPr>
          <w:p w14:paraId="07BF068E" w14:textId="77777777" w:rsidR="00EF5D91" w:rsidRDefault="003E2F49" w:rsidP="000460D5">
            <w:pPr>
              <w:cnfStyle w:val="000000100000" w:firstRow="0" w:lastRow="0" w:firstColumn="0" w:lastColumn="0" w:oddVBand="0" w:evenVBand="0" w:oddHBand="1" w:evenHBand="0" w:firstRowFirstColumn="0" w:firstRowLastColumn="0" w:lastRowFirstColumn="0" w:lastRowLastColumn="0"/>
            </w:pPr>
            <w:r>
              <w:t>4/5 – Yes</w:t>
            </w:r>
          </w:p>
          <w:p w14:paraId="3DF5F895" w14:textId="0B95AA9D" w:rsidR="003E2F49" w:rsidRDefault="003E2F49" w:rsidP="000460D5">
            <w:pPr>
              <w:cnfStyle w:val="000000100000" w:firstRow="0" w:lastRow="0" w:firstColumn="0" w:lastColumn="0" w:oddVBand="0" w:evenVBand="0" w:oddHBand="1" w:evenHBand="0" w:firstRowFirstColumn="0" w:firstRowLastColumn="0" w:lastRowFirstColumn="0" w:lastRowLastColumn="0"/>
            </w:pPr>
            <w:r>
              <w:t>1/5 - No</w:t>
            </w:r>
          </w:p>
        </w:tc>
      </w:tr>
    </w:tbl>
    <w:p w14:paraId="77A4B62C" w14:textId="77777777" w:rsidR="00F845B8" w:rsidRDefault="00F845B8" w:rsidP="000460D5"/>
    <w:p w14:paraId="45971993" w14:textId="1A157C5E" w:rsidR="00580BF9" w:rsidRPr="00BB5E32" w:rsidRDefault="00BB5E32" w:rsidP="000460D5">
      <w:pPr>
        <w:rPr>
          <w:b/>
          <w:bCs/>
        </w:rPr>
      </w:pPr>
      <w:r>
        <w:rPr>
          <w:b/>
          <w:bCs/>
        </w:rPr>
        <w:t>Comments received from formal consultation:</w:t>
      </w:r>
    </w:p>
    <w:p w14:paraId="7B7908C2" w14:textId="621AB6C6" w:rsidR="00A1299D" w:rsidRPr="00B04F6F" w:rsidRDefault="00A1299D" w:rsidP="000460D5">
      <w:pPr>
        <w:rPr>
          <w:color w:val="477CBF"/>
        </w:rPr>
      </w:pPr>
      <w:r w:rsidRPr="00B04F6F">
        <w:rPr>
          <w:color w:val="477CBF"/>
        </w:rPr>
        <w:t>Boots Opening Times</w:t>
      </w:r>
    </w:p>
    <w:p w14:paraId="58656D70" w14:textId="4624590C" w:rsidR="00A1299D" w:rsidRPr="00B04F6F" w:rsidRDefault="00A1299D" w:rsidP="000460D5">
      <w:pPr>
        <w:rPr>
          <w:u w:val="single"/>
        </w:rPr>
      </w:pPr>
      <w:r w:rsidRPr="00B04F6F">
        <w:rPr>
          <w:u w:val="single"/>
        </w:rPr>
        <w:t xml:space="preserve">What you said: </w:t>
      </w:r>
    </w:p>
    <w:p w14:paraId="6426CAE0" w14:textId="75E7CB0B" w:rsidR="00BB5E32" w:rsidRDefault="00BB5E32" w:rsidP="000460D5">
      <w:pPr>
        <w:rPr>
          <w:i/>
          <w:iCs/>
        </w:rPr>
      </w:pPr>
      <w:r w:rsidRPr="00BB5E32">
        <w:rPr>
          <w:i/>
          <w:iCs/>
        </w:rPr>
        <w:t>“It is possible that since the data collection for this draft (February) the opening hours of a number of Boots pharmacies in the area covered by the PNA, may have changed. These changes, most of which came into effect on the 28</w:t>
      </w:r>
      <w:r w:rsidRPr="00BB5E32">
        <w:rPr>
          <w:i/>
          <w:iCs/>
          <w:vertAlign w:val="superscript"/>
        </w:rPr>
        <w:t>th</w:t>
      </w:r>
      <w:r w:rsidRPr="00BB5E32">
        <w:rPr>
          <w:i/>
          <w:iCs/>
        </w:rPr>
        <w:t xml:space="preserve"> February, were notified to NHS England who should have a record of the current opening hours of our pharmacies.”</w:t>
      </w:r>
    </w:p>
    <w:p w14:paraId="10B89F59" w14:textId="77777777" w:rsidR="00B04F6F" w:rsidRDefault="00B04F6F" w:rsidP="000460D5"/>
    <w:p w14:paraId="6C888522" w14:textId="502E0668" w:rsidR="00B04F6F" w:rsidRPr="00B04F6F" w:rsidRDefault="00B04F6F" w:rsidP="000460D5">
      <w:pPr>
        <w:rPr>
          <w:u w:val="single"/>
        </w:rPr>
      </w:pPr>
      <w:r w:rsidRPr="00B04F6F">
        <w:rPr>
          <w:u w:val="single"/>
        </w:rPr>
        <w:lastRenderedPageBreak/>
        <w:t>What we did:</w:t>
      </w:r>
    </w:p>
    <w:p w14:paraId="601B3533" w14:textId="7E3675AC" w:rsidR="00B04F6F" w:rsidRDefault="00D62898" w:rsidP="000460D5">
      <w:r>
        <w:t xml:space="preserve">The list used to inform pharmacy opening time information in this document was up to date as of </w:t>
      </w:r>
      <w:r w:rsidR="00B663F2">
        <w:t>1</w:t>
      </w:r>
      <w:r w:rsidR="00B663F2" w:rsidRPr="00B663F2">
        <w:rPr>
          <w:vertAlign w:val="superscript"/>
        </w:rPr>
        <w:t>st</w:t>
      </w:r>
      <w:r w:rsidR="00B663F2">
        <w:t xml:space="preserve"> June 2022</w:t>
      </w:r>
      <w:r w:rsidR="00FD5375">
        <w:t xml:space="preserve"> which will therefore include the changes made to Boots opening times. This was clarified with the Coventry and Warwickshire </w:t>
      </w:r>
      <w:r w:rsidR="002C7631">
        <w:t>Community Pharmacy</w:t>
      </w:r>
      <w:r w:rsidR="00FD5375">
        <w:t xml:space="preserve"> Steering Group. </w:t>
      </w:r>
    </w:p>
    <w:p w14:paraId="50DB273C" w14:textId="77777777" w:rsidR="002C7631" w:rsidRDefault="002C7631" w:rsidP="000460D5"/>
    <w:p w14:paraId="11289566" w14:textId="0A8CB74F" w:rsidR="002C7631" w:rsidRDefault="002C7631" w:rsidP="000460D5">
      <w:pPr>
        <w:rPr>
          <w:color w:val="477CBF"/>
        </w:rPr>
      </w:pPr>
      <w:r>
        <w:rPr>
          <w:color w:val="477CBF"/>
        </w:rPr>
        <w:t>End of Life Medicines</w:t>
      </w:r>
    </w:p>
    <w:p w14:paraId="4C04E189" w14:textId="2E37AB0E" w:rsidR="002C7631" w:rsidRDefault="002C7631" w:rsidP="000460D5">
      <w:r>
        <w:rPr>
          <w:u w:val="single"/>
        </w:rPr>
        <w:t>What you said:</w:t>
      </w:r>
    </w:p>
    <w:p w14:paraId="1E08D396" w14:textId="3867BF88" w:rsidR="002C7631" w:rsidRPr="007B7670" w:rsidRDefault="002C7631" w:rsidP="000460D5">
      <w:r>
        <w:rPr>
          <w:i/>
          <w:iCs/>
        </w:rPr>
        <w:t>“</w:t>
      </w:r>
      <w:r w:rsidR="000D3E38">
        <w:rPr>
          <w:i/>
          <w:iCs/>
        </w:rPr>
        <w:t>Greater amount of pharmacies that are open longer with end of life provision medication stocked needs to be a priority.”</w:t>
      </w:r>
      <w:r w:rsidR="007B7670">
        <w:rPr>
          <w:i/>
          <w:iCs/>
        </w:rPr>
        <w:t xml:space="preserve"> </w:t>
      </w:r>
      <w:r w:rsidR="007B7670">
        <w:t>– response to the question “</w:t>
      </w:r>
      <w:r w:rsidR="00E646C3">
        <w:t>Does the draft pharmaceutical needs assessment reflect the needs of your area?”</w:t>
      </w:r>
    </w:p>
    <w:p w14:paraId="0E42D8ED" w14:textId="6B60A176" w:rsidR="000D3E38" w:rsidRDefault="000D3E38" w:rsidP="000460D5">
      <w:r>
        <w:rPr>
          <w:i/>
          <w:iCs/>
        </w:rPr>
        <w:t>“</w:t>
      </w:r>
      <w:r w:rsidR="00AE0D4D">
        <w:rPr>
          <w:i/>
          <w:iCs/>
        </w:rPr>
        <w:t>Staff and patients are having to drive for miles and leave dying family member to get medications. These should be stocked closer and be available for longer hours. Rapid response are 24hrs but if they recommend or give a medication they cannot be dispensed/replaced in a timely fashion.”</w:t>
      </w:r>
      <w:r w:rsidR="006654AD">
        <w:rPr>
          <w:i/>
          <w:iCs/>
        </w:rPr>
        <w:t xml:space="preserve"> </w:t>
      </w:r>
      <w:r w:rsidR="006654AD">
        <w:t>– response to the question “</w:t>
      </w:r>
      <w:r w:rsidR="00E646C3">
        <w:t>are there any gaps in service provision i.e., when, where and which services are available that have not been identified in the pharmaceutical needs assessment?”</w:t>
      </w:r>
    </w:p>
    <w:p w14:paraId="32C24613" w14:textId="77777777" w:rsidR="007311FA" w:rsidRDefault="007311FA" w:rsidP="000460D5">
      <w:pPr>
        <w:rPr>
          <w:u w:val="single"/>
        </w:rPr>
      </w:pPr>
    </w:p>
    <w:p w14:paraId="48B8B92B" w14:textId="195025AE" w:rsidR="00E646C3" w:rsidRPr="007311FA" w:rsidRDefault="007311FA" w:rsidP="000460D5">
      <w:pPr>
        <w:rPr>
          <w:u w:val="single"/>
        </w:rPr>
      </w:pPr>
      <w:r>
        <w:rPr>
          <w:u w:val="single"/>
        </w:rPr>
        <w:t>What we did:</w:t>
      </w:r>
    </w:p>
    <w:p w14:paraId="55329166" w14:textId="698FA6AF" w:rsidR="00A1299D" w:rsidRDefault="000A4F30" w:rsidP="000460D5">
      <w:r>
        <w:t xml:space="preserve">The Coventry and Warwickshire Community Pharmacy Steering Group was consulted on this feedback. </w:t>
      </w:r>
      <w:r w:rsidR="006A7532">
        <w:t>Commissioners currently have a set number of pharmacies they commission this service to and cannot go beyond that.</w:t>
      </w:r>
      <w:r w:rsidR="005D3A1F">
        <w:t xml:space="preserve"> This is being reviewed and a supplementary statement to this PNA will be produced should this be changed. </w:t>
      </w:r>
      <w:r w:rsidR="00B6718A">
        <w:t xml:space="preserve">We have expanded the recommendation on this service in the document to reflect this. </w:t>
      </w:r>
    </w:p>
    <w:p w14:paraId="4B931548" w14:textId="77777777" w:rsidR="005D3A1F" w:rsidRDefault="005D3A1F" w:rsidP="000460D5"/>
    <w:p w14:paraId="0B796D83" w14:textId="1B69EE5F" w:rsidR="005D3A1F" w:rsidRDefault="005D3A1F" w:rsidP="000460D5">
      <w:r>
        <w:rPr>
          <w:b/>
          <w:bCs/>
        </w:rPr>
        <w:t>Feedback received during the formal consultation period but not via the formal consultation platform:</w:t>
      </w:r>
    </w:p>
    <w:p w14:paraId="3F859606" w14:textId="29F999DC" w:rsidR="005D3A1F" w:rsidRDefault="00811F7C" w:rsidP="000460D5">
      <w:r>
        <w:t xml:space="preserve">During the consultation </w:t>
      </w:r>
      <w:r w:rsidR="00613230">
        <w:t xml:space="preserve">period </w:t>
      </w:r>
      <w:r>
        <w:t>feedback was received on the PNA which has resulted in changes to the document</w:t>
      </w:r>
      <w:r w:rsidR="002C6AD3">
        <w:t xml:space="preserve">. This feedback was received without the </w:t>
      </w:r>
      <w:r w:rsidR="003E10B4">
        <w:t xml:space="preserve">completion of the survey. The following feedback and changes have been made in addition to the above: </w:t>
      </w:r>
    </w:p>
    <w:p w14:paraId="5B5D413C" w14:textId="5D7D1FBC" w:rsidR="00AE688B" w:rsidRDefault="00AE688B" w:rsidP="008F47A6">
      <w:pPr>
        <w:pStyle w:val="ListParagraph"/>
        <w:numPr>
          <w:ilvl w:val="0"/>
          <w:numId w:val="75"/>
        </w:numPr>
      </w:pPr>
      <w:r>
        <w:t xml:space="preserve">The pharmacies per 10,000 population </w:t>
      </w:r>
      <w:r w:rsidR="004D0C14">
        <w:t>have</w:t>
      </w:r>
      <w:r>
        <w:t xml:space="preserve"> been included</w:t>
      </w:r>
      <w:r w:rsidR="00C7090F">
        <w:t xml:space="preserve"> for Coventry, Warwickshire, and England average. </w:t>
      </w:r>
    </w:p>
    <w:p w14:paraId="5A07CB70" w14:textId="6C5CED72" w:rsidR="00653E70" w:rsidRDefault="00653E70" w:rsidP="008F47A6">
      <w:pPr>
        <w:pStyle w:val="ListParagraph"/>
        <w:numPr>
          <w:ilvl w:val="0"/>
          <w:numId w:val="75"/>
        </w:numPr>
      </w:pPr>
      <w:r>
        <w:lastRenderedPageBreak/>
        <w:t xml:space="preserve">The </w:t>
      </w:r>
      <w:r w:rsidR="005C1BD5">
        <w:t>Blood Pressure Check Service</w:t>
      </w:r>
      <w:r>
        <w:t xml:space="preserve"> Advanced Service recommendation has been expanded to include an opportunity to develop pathways from pharmacies and GPs straight through </w:t>
      </w:r>
      <w:r w:rsidR="00AE688B">
        <w:t xml:space="preserve">to lifestyle service for people who want support around lifestyle interventions. </w:t>
      </w:r>
    </w:p>
    <w:p w14:paraId="232CA592" w14:textId="0D8EA0A6" w:rsidR="00AE688B" w:rsidRDefault="00AE688B" w:rsidP="008F47A6">
      <w:pPr>
        <w:pStyle w:val="ListParagraph"/>
        <w:numPr>
          <w:ilvl w:val="0"/>
          <w:numId w:val="75"/>
        </w:numPr>
      </w:pPr>
      <w:r>
        <w:t xml:space="preserve">The COVID-19 Vaccination National Enhanced Service which is phase 5 of the COVID-19 vaccine rollout has been included. </w:t>
      </w:r>
    </w:p>
    <w:p w14:paraId="2711378D" w14:textId="1BD51EB5" w:rsidR="003E10B4" w:rsidRDefault="00F52BF1" w:rsidP="008F47A6">
      <w:pPr>
        <w:pStyle w:val="ListParagraph"/>
        <w:numPr>
          <w:ilvl w:val="0"/>
          <w:numId w:val="75"/>
        </w:numPr>
      </w:pPr>
      <w:r>
        <w:t>Additional clarification has been added to the Sharps Disposal Locally Commissioned Service to highlight the exact provision and</w:t>
      </w:r>
      <w:r w:rsidR="00936150">
        <w:t xml:space="preserve"> it being a stand-alone service for Warwick District. The recommendation around this service was expanded to include consideration around expanding the service to Coventry and Warwickshire wide to provide equitable access. </w:t>
      </w:r>
    </w:p>
    <w:p w14:paraId="33B3A89B" w14:textId="1D0CB729" w:rsidR="00936150" w:rsidRDefault="00091D27" w:rsidP="008F47A6">
      <w:pPr>
        <w:pStyle w:val="ListParagraph"/>
        <w:numPr>
          <w:ilvl w:val="0"/>
          <w:numId w:val="75"/>
        </w:numPr>
      </w:pPr>
      <w:r>
        <w:t xml:space="preserve">The Smoking Cessation Advanced Service recommendation has been expanded to </w:t>
      </w:r>
      <w:r w:rsidR="008E4367">
        <w:t xml:space="preserve">include supporting the development of the referral pathway from Trusts into community smoking cessation services. </w:t>
      </w:r>
    </w:p>
    <w:p w14:paraId="78D7ECA5" w14:textId="2AA7967B" w:rsidR="008E4367" w:rsidRDefault="00C8294F" w:rsidP="008F47A6">
      <w:pPr>
        <w:pStyle w:val="ListParagraph"/>
        <w:numPr>
          <w:ilvl w:val="0"/>
          <w:numId w:val="75"/>
        </w:numPr>
      </w:pPr>
      <w:r>
        <w:t>The document has been checked for where it has incorrectly referred to CCG</w:t>
      </w:r>
      <w:r w:rsidR="00591683">
        <w:t xml:space="preserve">s instead of to the ICB. </w:t>
      </w:r>
    </w:p>
    <w:p w14:paraId="2A04F91A" w14:textId="32923E12" w:rsidR="00653E70" w:rsidRPr="005D3A1F" w:rsidRDefault="00603487" w:rsidP="00C7090F">
      <w:pPr>
        <w:pStyle w:val="ListParagraph"/>
        <w:numPr>
          <w:ilvl w:val="0"/>
          <w:numId w:val="75"/>
        </w:numPr>
      </w:pPr>
      <w:r>
        <w:t xml:space="preserve">An additional note in the appendices that pharmacies do not order or deliver scripts so any issues relating to that are beyond their control, and additional reflection on pharmacy pressures causing unplanned closures. </w:t>
      </w:r>
    </w:p>
    <w:sectPr w:rsidR="00653E70" w:rsidRPr="005D3A1F" w:rsidSect="00CC1367">
      <w:type w:val="continuous"/>
      <w:pgSz w:w="12240" w:h="15840"/>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7F80B" w14:textId="77777777" w:rsidR="00AE37BC" w:rsidRDefault="00AE37BC">
      <w:r>
        <w:separator/>
      </w:r>
    </w:p>
  </w:endnote>
  <w:endnote w:type="continuationSeparator" w:id="0">
    <w:p w14:paraId="69F22F69" w14:textId="77777777" w:rsidR="00AE37BC" w:rsidRDefault="00AE37BC">
      <w:r>
        <w:continuationSeparator/>
      </w:r>
    </w:p>
  </w:endnote>
  <w:endnote w:type="continuationNotice" w:id="1">
    <w:p w14:paraId="4294BA4D" w14:textId="77777777" w:rsidR="00AE37BC" w:rsidRDefault="00AE37B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8F11" w14:textId="4A9DCDF9" w:rsidR="005A6637" w:rsidRDefault="005A66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8D52" w14:textId="22F39FC7" w:rsidR="005A6637" w:rsidRDefault="005A66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1D8D" w14:textId="39756EAF" w:rsidR="005A6637" w:rsidRDefault="005A663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255E" w14:textId="77777777" w:rsidR="00E65D78" w:rsidRDefault="00E65D78" w:rsidP="007249A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518775"/>
      <w:docPartObj>
        <w:docPartGallery w:val="Page Numbers (Bottom of Page)"/>
        <w:docPartUnique/>
      </w:docPartObj>
    </w:sdtPr>
    <w:sdtContent>
      <w:sdt>
        <w:sdtPr>
          <w:id w:val="-1895724959"/>
          <w:docPartObj>
            <w:docPartGallery w:val="Page Numbers (Top of Page)"/>
            <w:docPartUnique/>
          </w:docPartObj>
        </w:sdtPr>
        <w:sdtContent>
          <w:p w14:paraId="09D649ED" w14:textId="77777777" w:rsidR="00E65D78" w:rsidRPr="00F63B3C" w:rsidRDefault="00E65D78" w:rsidP="009B3D03">
            <w:pPr>
              <w:pStyle w:val="Footer"/>
              <w:jc w:val="right"/>
            </w:pPr>
            <w:r w:rsidRPr="00F63B3C">
              <w:t xml:space="preserve">Page </w:t>
            </w:r>
            <w:r w:rsidRPr="00F63B3C">
              <w:rPr>
                <w:color w:val="2B579A"/>
                <w:shd w:val="clear" w:color="auto" w:fill="E6E6E6"/>
              </w:rPr>
              <w:fldChar w:fldCharType="begin"/>
            </w:r>
            <w:r w:rsidRPr="00F63B3C">
              <w:rPr>
                <w:bCs/>
              </w:rPr>
              <w:instrText xml:space="preserve"> PAGE </w:instrText>
            </w:r>
            <w:r w:rsidRPr="00F63B3C">
              <w:rPr>
                <w:color w:val="2B579A"/>
                <w:shd w:val="clear" w:color="auto" w:fill="E6E6E6"/>
              </w:rPr>
              <w:fldChar w:fldCharType="separate"/>
            </w:r>
            <w:r w:rsidR="00104DEE">
              <w:rPr>
                <w:bCs/>
                <w:noProof/>
              </w:rPr>
              <w:t>5</w:t>
            </w:r>
            <w:r w:rsidRPr="00F63B3C">
              <w:rPr>
                <w:color w:val="2B579A"/>
                <w:shd w:val="clear" w:color="auto" w:fill="E6E6E6"/>
              </w:rPr>
              <w:fldChar w:fldCharType="end"/>
            </w:r>
            <w:r w:rsidRPr="00F63B3C">
              <w:t xml:space="preserve"> of </w:t>
            </w:r>
            <w:r w:rsidRPr="00F63B3C">
              <w:rPr>
                <w:color w:val="2B579A"/>
                <w:shd w:val="clear" w:color="auto" w:fill="E6E6E6"/>
              </w:rPr>
              <w:fldChar w:fldCharType="begin"/>
            </w:r>
            <w:r w:rsidRPr="00F63B3C">
              <w:rPr>
                <w:bCs/>
              </w:rPr>
              <w:instrText xml:space="preserve"> NUMPAGES  </w:instrText>
            </w:r>
            <w:r w:rsidRPr="00F63B3C">
              <w:rPr>
                <w:color w:val="2B579A"/>
                <w:shd w:val="clear" w:color="auto" w:fill="E6E6E6"/>
              </w:rPr>
              <w:fldChar w:fldCharType="separate"/>
            </w:r>
            <w:r w:rsidR="00104DEE">
              <w:rPr>
                <w:bCs/>
                <w:noProof/>
              </w:rPr>
              <w:t>10</w:t>
            </w:r>
            <w:r w:rsidRPr="00F63B3C">
              <w:rPr>
                <w:color w:val="2B579A"/>
                <w:shd w:val="clear" w:color="auto" w:fill="E6E6E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6F56" w14:textId="77777777" w:rsidR="00E65D78" w:rsidRDefault="00E65D78" w:rsidP="007249A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897352"/>
      <w:docPartObj>
        <w:docPartGallery w:val="Page Numbers (Bottom of Page)"/>
        <w:docPartUnique/>
      </w:docPartObj>
    </w:sdtPr>
    <w:sdtEndPr>
      <w:rPr>
        <w:noProof/>
      </w:rPr>
    </w:sdtEndPr>
    <w:sdtContent>
      <w:p w14:paraId="54C45FB3" w14:textId="28D862F9" w:rsidR="00A42647" w:rsidRDefault="00A4264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5CC50" w14:textId="77777777" w:rsidR="00AE37BC" w:rsidRDefault="00AE37BC">
      <w:r>
        <w:separator/>
      </w:r>
    </w:p>
  </w:footnote>
  <w:footnote w:type="continuationSeparator" w:id="0">
    <w:p w14:paraId="6A17B1C1" w14:textId="77777777" w:rsidR="00AE37BC" w:rsidRDefault="00AE37BC">
      <w:r>
        <w:continuationSeparator/>
      </w:r>
    </w:p>
  </w:footnote>
  <w:footnote w:type="continuationNotice" w:id="1">
    <w:p w14:paraId="0B12F091" w14:textId="77777777" w:rsidR="00AE37BC" w:rsidRDefault="00AE37BC">
      <w:pPr>
        <w:spacing w:before="0" w:after="0" w:line="240" w:lineRule="auto"/>
      </w:pPr>
    </w:p>
  </w:footnote>
  <w:footnote w:id="2">
    <w:p w14:paraId="71667822" w14:textId="5C3A408A" w:rsidR="00C12AFD" w:rsidRDefault="00C12AFD">
      <w:pPr>
        <w:pStyle w:val="FootnoteText"/>
      </w:pPr>
      <w:r>
        <w:rPr>
          <w:rStyle w:val="FootnoteReference"/>
        </w:rPr>
        <w:footnoteRef/>
      </w:r>
      <w:r>
        <w:t xml:space="preserve"> </w:t>
      </w:r>
      <w:hyperlink r:id="rId1" w:history="1">
        <w:r w:rsidRPr="00622D70">
          <w:rPr>
            <w:rStyle w:val="Hyperlink"/>
          </w:rPr>
          <w:t>https://www.warwickshire.gov.uk/joint-strategic-needs-assessments-1</w:t>
        </w:r>
      </w:hyperlink>
      <w:r>
        <w:t xml:space="preserve"> (accessed May 2022)</w:t>
      </w:r>
    </w:p>
  </w:footnote>
  <w:footnote w:id="3">
    <w:p w14:paraId="52E23F22" w14:textId="047F7B15" w:rsidR="008F0F1D" w:rsidRDefault="008F0F1D">
      <w:pPr>
        <w:pStyle w:val="FootnoteText"/>
      </w:pPr>
      <w:r>
        <w:rPr>
          <w:rStyle w:val="FootnoteReference"/>
        </w:rPr>
        <w:footnoteRef/>
      </w:r>
      <w:r>
        <w:t xml:space="preserve"> </w:t>
      </w:r>
      <w:hyperlink r:id="rId2" w:history="1">
        <w:r w:rsidRPr="00622D70">
          <w:rPr>
            <w:rStyle w:val="Hyperlink"/>
          </w:rPr>
          <w:t>https://www.coventry.gov.uk/facts-coventry/joint-strategic-needs-assessment-jsna</w:t>
        </w:r>
      </w:hyperlink>
      <w:r>
        <w:t xml:space="preserve"> (accessed May 2022)</w:t>
      </w:r>
    </w:p>
  </w:footnote>
  <w:footnote w:id="4">
    <w:p w14:paraId="051FDCE1" w14:textId="42976E3B" w:rsidR="00C61D9B" w:rsidRDefault="00C61D9B">
      <w:pPr>
        <w:pStyle w:val="FootnoteText"/>
      </w:pPr>
      <w:r>
        <w:rPr>
          <w:rStyle w:val="FootnoteReference"/>
        </w:rPr>
        <w:footnoteRef/>
      </w:r>
      <w:r>
        <w:t xml:space="preserve"> </w:t>
      </w:r>
      <w:hyperlink r:id="rId3" w:history="1">
        <w:r w:rsidRPr="00AF58C4">
          <w:rPr>
            <w:rStyle w:val="Hyperlink"/>
          </w:rPr>
          <w:t>https://www.england.nhs.uk/about/equality/equality-hub/core20plus5/</w:t>
        </w:r>
      </w:hyperlink>
      <w:r>
        <w:t xml:space="preserve"> (accessed May 2022)</w:t>
      </w:r>
    </w:p>
  </w:footnote>
  <w:footnote w:id="5">
    <w:p w14:paraId="3DA9A9D9" w14:textId="66EDD74E" w:rsidR="00273958" w:rsidRPr="00847F7A" w:rsidRDefault="00273958">
      <w:pPr>
        <w:pStyle w:val="FootnoteText"/>
        <w:rPr>
          <w:rFonts w:asciiTheme="minorHAnsi" w:hAnsiTheme="minorHAnsi" w:cstheme="minorHAnsi"/>
        </w:rPr>
      </w:pPr>
      <w:r w:rsidRPr="00847F7A">
        <w:rPr>
          <w:rStyle w:val="FootnoteReference"/>
          <w:rFonts w:asciiTheme="minorHAnsi" w:hAnsiTheme="minorHAnsi" w:cstheme="minorHAnsi"/>
        </w:rPr>
        <w:footnoteRef/>
      </w:r>
      <w:r w:rsidRPr="00847F7A">
        <w:rPr>
          <w:rFonts w:asciiTheme="minorHAnsi" w:hAnsiTheme="minorHAnsi" w:cstheme="minorHAnsi"/>
        </w:rPr>
        <w:t xml:space="preserve"> </w:t>
      </w:r>
      <w:hyperlink r:id="rId4">
        <w:r w:rsidRPr="00847F7A">
          <w:rPr>
            <w:rStyle w:val="Hyperlink"/>
            <w:rFonts w:asciiTheme="minorHAnsi" w:eastAsia="Arial" w:hAnsiTheme="minorHAnsi" w:cstheme="minorHAnsi"/>
          </w:rPr>
          <w:t>NHS England » NHS Five Year Forward View</w:t>
        </w:r>
      </w:hyperlink>
      <w:r w:rsidRPr="00847F7A">
        <w:rPr>
          <w:rStyle w:val="Hyperlink"/>
          <w:rFonts w:asciiTheme="minorHAnsi" w:eastAsia="Arial" w:hAnsiTheme="minorHAnsi" w:cstheme="minorHAnsi"/>
          <w:color w:val="auto"/>
          <w:u w:val="none"/>
        </w:rPr>
        <w:t xml:space="preserve"> (accessed May 2022)</w:t>
      </w:r>
    </w:p>
  </w:footnote>
  <w:footnote w:id="6">
    <w:p w14:paraId="7EC0BEF1" w14:textId="581D7789" w:rsidR="00847F7A" w:rsidRPr="00847F7A" w:rsidRDefault="00847F7A">
      <w:pPr>
        <w:pStyle w:val="FootnoteText"/>
        <w:rPr>
          <w:rFonts w:asciiTheme="minorHAnsi" w:hAnsiTheme="minorHAnsi" w:cstheme="minorHAnsi"/>
        </w:rPr>
      </w:pPr>
      <w:r w:rsidRPr="00847F7A">
        <w:rPr>
          <w:rStyle w:val="FootnoteReference"/>
          <w:rFonts w:asciiTheme="minorHAnsi" w:hAnsiTheme="minorHAnsi" w:cstheme="minorHAnsi"/>
        </w:rPr>
        <w:footnoteRef/>
      </w:r>
      <w:r w:rsidRPr="00847F7A">
        <w:rPr>
          <w:rFonts w:asciiTheme="minorHAnsi" w:hAnsiTheme="minorHAnsi" w:cstheme="minorHAnsi"/>
        </w:rPr>
        <w:t xml:space="preserve"> </w:t>
      </w:r>
      <w:hyperlink r:id="rId5" w:history="1">
        <w:r w:rsidRPr="00847F7A">
          <w:rPr>
            <w:rStyle w:val="Hyperlink"/>
            <w:rFonts w:asciiTheme="minorHAnsi" w:eastAsia="MS Mincho" w:hAnsiTheme="minorHAnsi" w:cstheme="minorHAnsi"/>
          </w:rPr>
          <w:t>https://www.england.nhs.uk/publication/integrating-nhs-pharmacy-and-medicines-optimisation-into-sustainability-and-transformation-partnerships-and-integrated-care-systems/</w:t>
        </w:r>
      </w:hyperlink>
      <w:r w:rsidRPr="00847F7A">
        <w:rPr>
          <w:rFonts w:asciiTheme="minorHAnsi" w:eastAsia="MS Mincho" w:hAnsiTheme="minorHAnsi" w:cstheme="minorHAnsi"/>
        </w:rPr>
        <w:t xml:space="preserve"> (accessed May 2022)</w:t>
      </w:r>
    </w:p>
  </w:footnote>
  <w:footnote w:id="7">
    <w:p w14:paraId="243E8107" w14:textId="04315533" w:rsidR="00847F7A" w:rsidRDefault="00847F7A" w:rsidP="00847F7A">
      <w:pPr>
        <w:spacing w:before="200" w:after="200" w:line="276" w:lineRule="auto"/>
      </w:pPr>
      <w:r w:rsidRPr="00847F7A">
        <w:rPr>
          <w:rStyle w:val="FootnoteReference"/>
          <w:rFonts w:asciiTheme="minorHAnsi" w:hAnsiTheme="minorHAnsi" w:cstheme="minorHAnsi"/>
          <w:sz w:val="20"/>
        </w:rPr>
        <w:footnoteRef/>
      </w:r>
      <w:r w:rsidRPr="00847F7A">
        <w:rPr>
          <w:rFonts w:asciiTheme="minorHAnsi" w:hAnsiTheme="minorHAnsi" w:cstheme="minorHAnsi"/>
          <w:sz w:val="20"/>
        </w:rPr>
        <w:t xml:space="preserve"> </w:t>
      </w:r>
      <w:hyperlink r:id="rId6" w:history="1">
        <w:r w:rsidRPr="00847F7A">
          <w:rPr>
            <w:rStyle w:val="Hyperlink"/>
            <w:rFonts w:asciiTheme="minorHAnsi" w:eastAsia="Arial" w:hAnsiTheme="minorHAnsi" w:cstheme="minorHAnsi"/>
            <w:sz w:val="20"/>
          </w:rPr>
          <w:t>https://www.buckslpc.org/wp-content/uploads/2020/11/IPMO_Guidance_Final.pdf</w:t>
        </w:r>
      </w:hyperlink>
      <w:r w:rsidRPr="00847F7A">
        <w:rPr>
          <w:rFonts w:asciiTheme="minorHAnsi" w:eastAsia="Arial" w:hAnsiTheme="minorHAnsi" w:cstheme="minorHAnsi"/>
          <w:sz w:val="20"/>
        </w:rPr>
        <w:t xml:space="preserve"> </w:t>
      </w:r>
      <w:r w:rsidRPr="00847F7A">
        <w:rPr>
          <w:rFonts w:asciiTheme="minorHAnsi" w:hAnsiTheme="minorHAnsi" w:cstheme="minorHAnsi"/>
          <w:sz w:val="20"/>
        </w:rPr>
        <w:t>(accessed May 2022)</w:t>
      </w:r>
    </w:p>
  </w:footnote>
  <w:footnote w:id="8">
    <w:p w14:paraId="311883BB" w14:textId="06AD97B4" w:rsidR="004D1F6D" w:rsidRDefault="004D1F6D" w:rsidP="004D1F6D">
      <w:pPr>
        <w:pStyle w:val="FootnoteText"/>
        <w:rPr>
          <w:rFonts w:eastAsia="MS Mincho" w:cs="Arial"/>
        </w:rPr>
      </w:pPr>
      <w:r w:rsidRPr="2289A1FF">
        <w:rPr>
          <w:rStyle w:val="FootnoteReference"/>
          <w:rFonts w:eastAsia="MS Mincho" w:cs="Arial"/>
        </w:rPr>
        <w:footnoteRef/>
      </w:r>
      <w:r w:rsidRPr="2289A1FF">
        <w:rPr>
          <w:rFonts w:eastAsia="MS Mincho" w:cs="Arial"/>
        </w:rPr>
        <w:t xml:space="preserve"> </w:t>
      </w:r>
      <w:hyperlink r:id="rId7" w:history="1">
        <w:r w:rsidR="00DA74C5" w:rsidRPr="0049279F">
          <w:rPr>
            <w:rStyle w:val="Hyperlink"/>
          </w:rPr>
          <w:t>https://news.sky.com/story/more-than-four-in-five-britons-concerned-about-rising-cost-of-living-poll-for-sky-news-suggests-12614622</w:t>
        </w:r>
      </w:hyperlink>
      <w:r w:rsidR="00DA74C5">
        <w:t xml:space="preserve"> </w:t>
      </w:r>
      <w:r w:rsidR="00DA74C5">
        <w:rPr>
          <w:rFonts w:eastAsia="MS Mincho" w:cs="Arial"/>
        </w:rPr>
        <w:t>Accessed June 2022</w:t>
      </w:r>
    </w:p>
  </w:footnote>
  <w:footnote w:id="9">
    <w:p w14:paraId="4C82A6BE" w14:textId="1A5BD2D9" w:rsidR="2289A1FF" w:rsidRDefault="2289A1FF" w:rsidP="2289A1FF">
      <w:pPr>
        <w:pStyle w:val="FootnoteText"/>
        <w:rPr>
          <w:rFonts w:eastAsia="MS Mincho" w:cs="Arial"/>
        </w:rPr>
      </w:pPr>
      <w:r w:rsidRPr="2289A1FF">
        <w:rPr>
          <w:rStyle w:val="FootnoteReference"/>
          <w:rFonts w:eastAsia="MS Mincho" w:cs="Arial"/>
        </w:rPr>
        <w:footnoteRef/>
      </w:r>
      <w:r w:rsidRPr="2289A1FF">
        <w:rPr>
          <w:rFonts w:eastAsia="MS Mincho" w:cs="Arial"/>
        </w:rPr>
        <w:t xml:space="preserve"> </w:t>
      </w:r>
      <w:hyperlink r:id="rId8">
        <w:r w:rsidRPr="2289A1FF">
          <w:rPr>
            <w:rStyle w:val="Hyperlink"/>
            <w:rFonts w:eastAsia="MS Mincho" w:cs="Arial"/>
          </w:rPr>
          <w:t>https://resoluationfoundation.org/publications/cap-off/</w:t>
        </w:r>
      </w:hyperlink>
      <w:r w:rsidRPr="2289A1FF">
        <w:rPr>
          <w:rFonts w:eastAsia="MS Mincho" w:cs="Arial"/>
        </w:rPr>
        <w:t xml:space="preserve"> Accessed June 2022</w:t>
      </w:r>
    </w:p>
  </w:footnote>
  <w:footnote w:id="10">
    <w:p w14:paraId="78A5519F" w14:textId="7B2A520C" w:rsidR="007F1984" w:rsidRDefault="007F1984" w:rsidP="007F1984">
      <w:pPr>
        <w:pStyle w:val="FootnoteText"/>
        <w:rPr>
          <w:rFonts w:eastAsia="MS Mincho" w:cs="Arial"/>
        </w:rPr>
      </w:pPr>
      <w:r w:rsidRPr="2289A1FF">
        <w:rPr>
          <w:rStyle w:val="FootnoteReference"/>
          <w:rFonts w:eastAsia="MS Mincho" w:cs="Arial"/>
        </w:rPr>
        <w:footnoteRef/>
      </w:r>
      <w:r w:rsidRPr="2289A1FF">
        <w:rPr>
          <w:rFonts w:eastAsia="MS Mincho" w:cs="Arial"/>
        </w:rPr>
        <w:t xml:space="preserve"> </w:t>
      </w:r>
      <w:hyperlink r:id="rId9" w:history="1">
        <w:r w:rsidRPr="0049279F">
          <w:rPr>
            <w:rStyle w:val="Hyperlink"/>
          </w:rPr>
          <w:t>https://www.bbc.co.uk/news/business-61813857</w:t>
        </w:r>
      </w:hyperlink>
      <w:r>
        <w:rPr>
          <w:rStyle w:val="Hyperlink"/>
        </w:rPr>
        <w:t xml:space="preserve"> </w:t>
      </w:r>
      <w:r w:rsidRPr="2289A1FF">
        <w:rPr>
          <w:rFonts w:eastAsia="MS Mincho" w:cs="Arial"/>
        </w:rPr>
        <w:t>Accessed June 2022</w:t>
      </w:r>
    </w:p>
  </w:footnote>
  <w:footnote w:id="11">
    <w:p w14:paraId="698B720A" w14:textId="373E141F" w:rsidR="00E54BCB" w:rsidRDefault="00E54BCB">
      <w:pPr>
        <w:pStyle w:val="FootnoteText"/>
      </w:pPr>
      <w:r>
        <w:rPr>
          <w:rStyle w:val="FootnoteReference"/>
        </w:rPr>
        <w:footnoteRef/>
      </w:r>
      <w:r>
        <w:t xml:space="preserve"> </w:t>
      </w:r>
      <w:hyperlink r:id="rId10" w:anchor=":~:text=Smoking%20is%20the%20biggest%20preventable,of%20adults%20in%20Warwickshire%20smoke" w:history="1">
        <w:r w:rsidRPr="00DD2556">
          <w:rPr>
            <w:rStyle w:val="Hyperlink"/>
          </w:rPr>
          <w:t>https://www.warwickshire.gov.uk/health-improvement/smoking-tobacco-control/1#:~:text=Smoking%20is%20the%20biggest%20preventable,of%20adults%20in%20Warwickshire%20smoke</w:t>
        </w:r>
      </w:hyperlink>
      <w:r w:rsidRPr="00E54BCB">
        <w:t>.</w:t>
      </w:r>
      <w:r>
        <w:t xml:space="preserve"> (accessed May 2022)</w:t>
      </w:r>
    </w:p>
  </w:footnote>
  <w:footnote w:id="12">
    <w:p w14:paraId="734459AF" w14:textId="469FE7D9" w:rsidR="0071309B" w:rsidRDefault="0071309B">
      <w:pPr>
        <w:pStyle w:val="FootnoteText"/>
      </w:pPr>
      <w:r>
        <w:rPr>
          <w:rStyle w:val="FootnoteReference"/>
        </w:rPr>
        <w:footnoteRef/>
      </w:r>
      <w:r>
        <w:t xml:space="preserve"> </w:t>
      </w:r>
      <w:hyperlink r:id="rId11" w:anchor="page/3/gid/1000042/pat/402/par/E10000031/ati/401/are/E07000218/iid/93798/age/168/sex/4/cat/-1/ctp/-1/yrr/1/cid/4/tbm/1/page-options/car-do-0" w:history="1">
        <w:r w:rsidRPr="00DD2556">
          <w:rPr>
            <w:rStyle w:val="Hyperlink"/>
          </w:rPr>
          <w:t>https://fingertips.phe.org.uk/search/2020%20definition#page/3/gid/1000042/pat/402/par/E10000031/ati/401/are/E07000218/iid/93798/age/168/sex/4/cat/-1/ctp/-1/yrr/1/cid/4/tbm/1/page-options/car-do-0</w:t>
        </w:r>
      </w:hyperlink>
      <w:r>
        <w:t xml:space="preserve"> (access</w:t>
      </w:r>
      <w:r w:rsidR="00441466">
        <w:t>ed</w:t>
      </w:r>
      <w:r>
        <w:t xml:space="preserve"> May 2022)</w:t>
      </w:r>
    </w:p>
  </w:footnote>
  <w:footnote w:id="13">
    <w:p w14:paraId="09ED3378" w14:textId="76A11027" w:rsidR="00C634B9" w:rsidRDefault="00C634B9">
      <w:pPr>
        <w:pStyle w:val="FootnoteText"/>
      </w:pPr>
      <w:r>
        <w:rPr>
          <w:rStyle w:val="FootnoteReference"/>
        </w:rPr>
        <w:footnoteRef/>
      </w:r>
      <w:r>
        <w:t xml:space="preserve"> </w:t>
      </w:r>
      <w:hyperlink r:id="rId12">
        <w:r w:rsidRPr="717A5415">
          <w:rPr>
            <w:rStyle w:val="Hyperlink"/>
          </w:rPr>
          <w:t>https://digital.nhs.uk/data-and-information/publications/statistical/statistics-on-smoking/statistics-on-smoking-england-2020</w:t>
        </w:r>
      </w:hyperlink>
      <w:r w:rsidRPr="00C634B9">
        <w:rPr>
          <w:rStyle w:val="Hyperlink"/>
          <w:color w:val="auto"/>
          <w:u w:val="none"/>
        </w:rPr>
        <w:t xml:space="preserve"> (accessed May 2022)</w:t>
      </w:r>
    </w:p>
  </w:footnote>
  <w:footnote w:id="14">
    <w:p w14:paraId="5EA1DCA8" w14:textId="6E36D959" w:rsidR="00441466" w:rsidRDefault="00441466">
      <w:pPr>
        <w:pStyle w:val="FootnoteText"/>
      </w:pPr>
      <w:r>
        <w:rPr>
          <w:rStyle w:val="FootnoteReference"/>
        </w:rPr>
        <w:footnoteRef/>
      </w:r>
      <w:r>
        <w:t xml:space="preserve"> </w:t>
      </w:r>
      <w:hyperlink r:id="rId13" w:history="1">
        <w:r w:rsidRPr="00DD2556">
          <w:rPr>
            <w:rStyle w:val="Hyperlink"/>
          </w:rPr>
          <w:t>https://www.nhs.uk/conditions/alcohol-misuse/</w:t>
        </w:r>
      </w:hyperlink>
      <w:r>
        <w:t xml:space="preserve"> (accessed May 2022)</w:t>
      </w:r>
    </w:p>
  </w:footnote>
  <w:footnote w:id="15">
    <w:p w14:paraId="7FAD24A9" w14:textId="104959F5" w:rsidR="00DD78B8" w:rsidRDefault="00DD78B8">
      <w:pPr>
        <w:pStyle w:val="FootnoteText"/>
      </w:pPr>
      <w:r>
        <w:rPr>
          <w:rStyle w:val="FootnoteReference"/>
        </w:rPr>
        <w:footnoteRef/>
      </w:r>
      <w:r>
        <w:t xml:space="preserve"> </w:t>
      </w:r>
      <w:hyperlink r:id="rId14" w:history="1">
        <w:r w:rsidR="00DF3AFE" w:rsidRPr="00DD2556">
          <w:rPr>
            <w:rStyle w:val="Hyperlink"/>
          </w:rPr>
          <w:t>https://www.bsmhft.nhs.uk/service-user-and-carer/service-user-information/common-mental-health-conditions/substance-misuse/</w:t>
        </w:r>
      </w:hyperlink>
      <w:r w:rsidR="00DF3AFE">
        <w:t xml:space="preserve"> (accessed May 2022) </w:t>
      </w:r>
    </w:p>
  </w:footnote>
  <w:footnote w:id="16">
    <w:p w14:paraId="20DD6B68" w14:textId="2915E8B3" w:rsidR="00B422EB" w:rsidRDefault="00B422EB">
      <w:pPr>
        <w:pStyle w:val="FootnoteText"/>
      </w:pPr>
      <w:r>
        <w:rPr>
          <w:rStyle w:val="FootnoteReference"/>
        </w:rPr>
        <w:footnoteRef/>
      </w:r>
      <w:r>
        <w:t xml:space="preserve"> </w:t>
      </w:r>
      <w:hyperlink r:id="rId15" w:history="1">
        <w:r w:rsidRPr="00DD2556">
          <w:rPr>
            <w:rStyle w:val="Hyperlink"/>
          </w:rPr>
          <w:t>https://www.longtermplan.nhs.uk/areas-of-work/cancer/</w:t>
        </w:r>
      </w:hyperlink>
      <w:r>
        <w:t xml:space="preserve"> (accessed May 2022)</w:t>
      </w:r>
    </w:p>
  </w:footnote>
  <w:footnote w:id="17">
    <w:p w14:paraId="1BD46003" w14:textId="6D2CB5AB" w:rsidR="00B5062B" w:rsidRDefault="00B5062B">
      <w:pPr>
        <w:pStyle w:val="FootnoteText"/>
      </w:pPr>
      <w:r>
        <w:rPr>
          <w:rStyle w:val="FootnoteReference"/>
        </w:rPr>
        <w:footnoteRef/>
      </w:r>
      <w:r>
        <w:t xml:space="preserve"> </w:t>
      </w:r>
      <w:hyperlink r:id="rId16" w:history="1">
        <w:r w:rsidRPr="00DD2556">
          <w:rPr>
            <w:rStyle w:val="Hyperlink"/>
          </w:rPr>
          <w:t>https://api.warwickshire.gov.uk/documents/WCCC-630-1186</w:t>
        </w:r>
      </w:hyperlink>
      <w:r>
        <w:t xml:space="preserve"> (accessed May 2022) </w:t>
      </w:r>
    </w:p>
  </w:footnote>
  <w:footnote w:id="18">
    <w:p w14:paraId="07145194" w14:textId="481335A8" w:rsidR="002A265E" w:rsidRDefault="002A265E">
      <w:pPr>
        <w:pStyle w:val="FootnoteText"/>
      </w:pPr>
      <w:r>
        <w:rPr>
          <w:rStyle w:val="FootnoteReference"/>
        </w:rPr>
        <w:footnoteRef/>
      </w:r>
      <w:r>
        <w:t xml:space="preserve"> </w:t>
      </w:r>
      <w:hyperlink r:id="rId17" w:history="1">
        <w:r>
          <w:rPr>
            <w:rStyle w:val="Hyperlink"/>
          </w:rPr>
          <w:t>Narrowing the Gaps in Warwickshire</w:t>
        </w:r>
      </w:hyperlink>
      <w:r>
        <w:t xml:space="preserve"> (accessed May 2022)</w:t>
      </w:r>
    </w:p>
  </w:footnote>
  <w:footnote w:id="19">
    <w:p w14:paraId="685461FD" w14:textId="3B27FB3D" w:rsidR="00805D52" w:rsidRDefault="00805D52">
      <w:pPr>
        <w:pStyle w:val="FootnoteText"/>
      </w:pPr>
      <w:r>
        <w:rPr>
          <w:rStyle w:val="FootnoteReference"/>
        </w:rPr>
        <w:footnoteRef/>
      </w:r>
      <w:r>
        <w:t xml:space="preserve"> </w:t>
      </w:r>
      <w:hyperlink r:id="rId18" w:history="1">
        <w:r w:rsidRPr="00DD2556">
          <w:rPr>
            <w:rStyle w:val="Hyperlink"/>
          </w:rPr>
          <w:t>https://diabetescw.co.uk/</w:t>
        </w:r>
      </w:hyperlink>
      <w:r>
        <w:t xml:space="preserve"> (accessed May 2022)</w:t>
      </w:r>
    </w:p>
  </w:footnote>
  <w:footnote w:id="20">
    <w:p w14:paraId="71F029A3" w14:textId="3AE04810" w:rsidR="00A160E7" w:rsidRDefault="00A160E7">
      <w:pPr>
        <w:pStyle w:val="FootnoteText"/>
      </w:pPr>
      <w:r>
        <w:rPr>
          <w:rStyle w:val="FootnoteReference"/>
        </w:rPr>
        <w:footnoteRef/>
      </w:r>
      <w:r>
        <w:t xml:space="preserve"> </w:t>
      </w:r>
      <w:hyperlink r:id="rId19" w:history="1">
        <w:r w:rsidRPr="00DD2556">
          <w:rPr>
            <w:rStyle w:val="Hyperlink"/>
          </w:rPr>
          <w:t>https://cwrise.com/</w:t>
        </w:r>
      </w:hyperlink>
      <w:r>
        <w:t xml:space="preserve"> (accessed May 2022)</w:t>
      </w:r>
    </w:p>
  </w:footnote>
  <w:footnote w:id="21">
    <w:p w14:paraId="2A16DA15" w14:textId="7318A8B7" w:rsidR="003E3FD6" w:rsidRDefault="003E3FD6">
      <w:pPr>
        <w:pStyle w:val="FootnoteText"/>
      </w:pPr>
      <w:r>
        <w:rPr>
          <w:rStyle w:val="FootnoteReference"/>
        </w:rPr>
        <w:footnoteRef/>
      </w:r>
      <w:r>
        <w:t xml:space="preserve"> </w:t>
      </w:r>
      <w:hyperlink r:id="rId20" w:history="1">
        <w:r w:rsidRPr="00DD2556">
          <w:rPr>
            <w:rStyle w:val="Hyperlink"/>
          </w:rPr>
          <w:t>https://www.england.nhs.uk/ourwork/clinical-policy/respiratory-disease/</w:t>
        </w:r>
      </w:hyperlink>
      <w:r>
        <w:t xml:space="preserve"> (accessed May 2022)</w:t>
      </w:r>
    </w:p>
  </w:footnote>
  <w:footnote w:id="22">
    <w:p w14:paraId="1401ACD0" w14:textId="77777777" w:rsidR="0031150D" w:rsidRPr="005C26A1" w:rsidRDefault="0031150D" w:rsidP="0031150D">
      <w:pPr>
        <w:spacing w:line="257" w:lineRule="auto"/>
        <w:rPr>
          <w:rFonts w:asciiTheme="minorHAnsi" w:hAnsiTheme="minorHAnsi"/>
          <w:color w:val="0563C1"/>
          <w:sz w:val="20"/>
          <w:u w:val="single"/>
        </w:rPr>
      </w:pPr>
      <w:r>
        <w:rPr>
          <w:rStyle w:val="FootnoteReference"/>
        </w:rPr>
        <w:footnoteRef/>
      </w:r>
      <w:r>
        <w:t xml:space="preserve"> </w:t>
      </w:r>
      <w:hyperlink r:id="rId21">
        <w:r w:rsidRPr="005C26A1">
          <w:rPr>
            <w:rStyle w:val="Hyperlink"/>
            <w:rFonts w:eastAsia="Arial" w:cs="Arial"/>
            <w:sz w:val="20"/>
          </w:rPr>
          <w:t>https://www.euro.who.int/en/health-topics/health-emergencies/coronavirus-covid-19/novel-coronavirus-2019-ncov</w:t>
        </w:r>
      </w:hyperlink>
      <w:r w:rsidRPr="005C26A1">
        <w:rPr>
          <w:rStyle w:val="Hyperlink"/>
          <w:rFonts w:eastAsia="Arial" w:cs="Arial"/>
          <w:sz w:val="20"/>
        </w:rPr>
        <w:t xml:space="preserve"> (accessed May 2022)</w:t>
      </w:r>
    </w:p>
    <w:p w14:paraId="1F4F6C6D" w14:textId="77777777" w:rsidR="0031150D" w:rsidRDefault="0031150D" w:rsidP="0031150D">
      <w:pPr>
        <w:pStyle w:val="FootnoteText"/>
      </w:pPr>
    </w:p>
  </w:footnote>
  <w:footnote w:id="23">
    <w:p w14:paraId="44FF424D" w14:textId="77777777" w:rsidR="0031150D" w:rsidRPr="007C1C1C" w:rsidRDefault="0031150D" w:rsidP="0031150D">
      <w:pPr>
        <w:spacing w:line="257" w:lineRule="auto"/>
        <w:rPr>
          <w:rFonts w:asciiTheme="minorHAnsi" w:hAnsiTheme="minorHAnsi"/>
          <w:color w:val="0563C1"/>
          <w:sz w:val="20"/>
          <w:u w:val="single"/>
        </w:rPr>
      </w:pPr>
      <w:r w:rsidRPr="007C1C1C">
        <w:rPr>
          <w:rStyle w:val="FootnoteReference"/>
          <w:sz w:val="20"/>
        </w:rPr>
        <w:footnoteRef/>
      </w:r>
      <w:r w:rsidRPr="007C1C1C">
        <w:rPr>
          <w:sz w:val="20"/>
        </w:rPr>
        <w:t xml:space="preserve"> </w:t>
      </w:r>
      <w:hyperlink r:id="rId22">
        <w:r w:rsidRPr="007C1C1C">
          <w:rPr>
            <w:rStyle w:val="Hyperlink"/>
            <w:rFonts w:eastAsia="Arial" w:cs="Arial"/>
            <w:sz w:val="20"/>
          </w:rPr>
          <w:t>https://www.instituteforgovernment.org.uk/sites/default/files/publications/lifting-lockdown-how-approach-coronavirus-exit-strategy_1.pdf</w:t>
        </w:r>
      </w:hyperlink>
      <w:r w:rsidRPr="007C1C1C">
        <w:rPr>
          <w:rStyle w:val="Hyperlink"/>
          <w:rFonts w:eastAsia="Arial" w:cs="Arial"/>
          <w:sz w:val="20"/>
        </w:rPr>
        <w:t xml:space="preserve"> (accessed May 2022)</w:t>
      </w:r>
    </w:p>
  </w:footnote>
  <w:footnote w:id="24">
    <w:p w14:paraId="0F9F605D" w14:textId="77777777" w:rsidR="0031150D" w:rsidRPr="007C1C1C" w:rsidRDefault="0031150D" w:rsidP="0031150D">
      <w:pPr>
        <w:spacing w:line="257" w:lineRule="auto"/>
        <w:rPr>
          <w:rFonts w:asciiTheme="minorHAnsi" w:hAnsiTheme="minorHAnsi"/>
          <w:color w:val="0563C1"/>
          <w:sz w:val="20"/>
          <w:u w:val="single"/>
        </w:rPr>
      </w:pPr>
      <w:r w:rsidRPr="007C1C1C">
        <w:rPr>
          <w:rStyle w:val="FootnoteReference"/>
          <w:sz w:val="20"/>
        </w:rPr>
        <w:footnoteRef/>
      </w:r>
      <w:r w:rsidRPr="007C1C1C">
        <w:rPr>
          <w:sz w:val="20"/>
        </w:rPr>
        <w:t xml:space="preserve"> </w:t>
      </w:r>
      <w:hyperlink r:id="rId23" w:anchor="living-with-covid-19">
        <w:r w:rsidRPr="007C1C1C">
          <w:rPr>
            <w:rStyle w:val="Hyperlink"/>
            <w:rFonts w:eastAsia="Arial" w:cs="Arial"/>
            <w:sz w:val="20"/>
          </w:rPr>
          <w:t>https://www.gov.uk/government/publications/covid-19-response-living-with-covid-19/covid-19-response-living-with-covid-19#living-with-covid-19</w:t>
        </w:r>
      </w:hyperlink>
      <w:r w:rsidRPr="007C1C1C">
        <w:rPr>
          <w:rStyle w:val="Hyperlink"/>
          <w:rFonts w:eastAsia="Arial" w:cs="Arial"/>
          <w:sz w:val="20"/>
        </w:rPr>
        <w:t xml:space="preserve"> </w:t>
      </w:r>
      <w:r w:rsidRPr="007C1C1C">
        <w:rPr>
          <w:sz w:val="20"/>
        </w:rPr>
        <w:t>(accessed May 2022)</w:t>
      </w:r>
    </w:p>
  </w:footnote>
  <w:footnote w:id="25">
    <w:p w14:paraId="704081D6" w14:textId="77777777" w:rsidR="0031150D" w:rsidRPr="00E44EC1" w:rsidRDefault="0031150D" w:rsidP="0031150D">
      <w:pPr>
        <w:spacing w:line="257" w:lineRule="auto"/>
        <w:rPr>
          <w:rFonts w:asciiTheme="minorHAnsi" w:hAnsiTheme="minorHAnsi"/>
          <w:color w:val="0563C1"/>
          <w:sz w:val="20"/>
          <w:u w:val="single"/>
        </w:rPr>
      </w:pPr>
      <w:r>
        <w:rPr>
          <w:rStyle w:val="FootnoteReference"/>
        </w:rPr>
        <w:footnoteRef/>
      </w:r>
      <w:r>
        <w:t xml:space="preserve"> </w:t>
      </w:r>
      <w:hyperlink r:id="rId24">
        <w:r w:rsidRPr="00E44EC1">
          <w:rPr>
            <w:rStyle w:val="Hyperlink"/>
            <w:rFonts w:eastAsia="Arial" w:cs="Arial"/>
            <w:sz w:val="20"/>
          </w:rPr>
          <w:t>https://psnc.org.uk/wp-content/uploads/2022/04/PSNC-Briefing-013.22-Summary-of-the-results-of-PSNCs-2022-Pharmacy-Pressures-Survey.pdf</w:t>
        </w:r>
      </w:hyperlink>
      <w:r>
        <w:rPr>
          <w:rStyle w:val="Hyperlink"/>
          <w:rFonts w:eastAsia="Arial" w:cs="Arial"/>
          <w:sz w:val="20"/>
        </w:rPr>
        <w:t xml:space="preserve"> (accessed May 2022)</w:t>
      </w:r>
    </w:p>
    <w:p w14:paraId="75C1D577" w14:textId="77777777" w:rsidR="0031150D" w:rsidRDefault="0031150D" w:rsidP="0031150D">
      <w:pPr>
        <w:pStyle w:val="FootnoteText"/>
      </w:pPr>
    </w:p>
  </w:footnote>
  <w:footnote w:id="26">
    <w:p w14:paraId="282737A2" w14:textId="77777777" w:rsidR="0031150D" w:rsidRPr="007C1C1C" w:rsidRDefault="0031150D" w:rsidP="0031150D">
      <w:pPr>
        <w:spacing w:line="257" w:lineRule="auto"/>
        <w:rPr>
          <w:rFonts w:asciiTheme="minorHAnsi" w:hAnsiTheme="minorHAnsi"/>
          <w:color w:val="0563C1"/>
          <w:sz w:val="20"/>
          <w:u w:val="single"/>
        </w:rPr>
      </w:pPr>
      <w:r w:rsidRPr="007C1C1C">
        <w:rPr>
          <w:rStyle w:val="FootnoteReference"/>
          <w:sz w:val="20"/>
        </w:rPr>
        <w:footnoteRef/>
      </w:r>
      <w:r w:rsidRPr="007C1C1C">
        <w:rPr>
          <w:sz w:val="20"/>
        </w:rPr>
        <w:t xml:space="preserve"> </w:t>
      </w:r>
      <w:hyperlink r:id="rId25">
        <w:r w:rsidRPr="007C1C1C">
          <w:rPr>
            <w:rStyle w:val="Hyperlink"/>
            <w:rFonts w:eastAsia="Arial" w:cs="Arial"/>
            <w:sz w:val="20"/>
          </w:rPr>
          <w:t>https://www.gov.uk/government/news/uk-marks-one-year-since-deploying-worlds-first-covid-19-vaccine</w:t>
        </w:r>
      </w:hyperlink>
      <w:r w:rsidRPr="007C1C1C">
        <w:rPr>
          <w:rStyle w:val="Hyperlink"/>
          <w:rFonts w:eastAsia="Arial" w:cs="Arial"/>
          <w:sz w:val="20"/>
        </w:rPr>
        <w:t xml:space="preserve"> (accessed May 2022)</w:t>
      </w:r>
    </w:p>
    <w:p w14:paraId="038E1001" w14:textId="77777777" w:rsidR="0031150D" w:rsidRDefault="0031150D" w:rsidP="0031150D">
      <w:pPr>
        <w:pStyle w:val="FootnoteText"/>
      </w:pPr>
    </w:p>
  </w:footnote>
  <w:footnote w:id="27">
    <w:p w14:paraId="38345ECE" w14:textId="2F099EF5" w:rsidR="00260D55" w:rsidRPr="00260D55" w:rsidRDefault="00260D55" w:rsidP="00260D55">
      <w:pPr>
        <w:spacing w:line="257" w:lineRule="auto"/>
        <w:rPr>
          <w:rFonts w:asciiTheme="minorHAnsi" w:hAnsiTheme="minorHAnsi"/>
          <w:color w:val="0563C1"/>
          <w:sz w:val="20"/>
          <w:u w:val="single"/>
        </w:rPr>
      </w:pPr>
      <w:r>
        <w:rPr>
          <w:rStyle w:val="FootnoteReference"/>
        </w:rPr>
        <w:footnoteRef/>
      </w:r>
      <w:r>
        <w:t xml:space="preserve"> </w:t>
      </w:r>
      <w:hyperlink r:id="rId26" w:anchor="how-nhs-test-and-trace-helps-fight-the-virus">
        <w:r w:rsidRPr="00260D55">
          <w:rPr>
            <w:rStyle w:val="Hyperlink"/>
            <w:rFonts w:eastAsia="Arial" w:cs="Arial"/>
            <w:sz w:val="20"/>
          </w:rPr>
          <w:t>https://www.gov.uk/guidance/nhs-test-and-trace-how-it-works#how-nhs-test-and-trace-helps-fight-the-virus</w:t>
        </w:r>
      </w:hyperlink>
      <w:r>
        <w:rPr>
          <w:rStyle w:val="Hyperlink"/>
          <w:rFonts w:eastAsia="Arial" w:cs="Arial"/>
          <w:sz w:val="20"/>
        </w:rPr>
        <w:t xml:space="preserve"> </w:t>
      </w:r>
      <w:r>
        <w:rPr>
          <w:rStyle w:val="Hyperlink"/>
          <w:rFonts w:eastAsia="Arial" w:cs="Arial"/>
          <w:color w:val="auto"/>
          <w:sz w:val="20"/>
          <w:u w:val="none"/>
        </w:rPr>
        <w:t>(accessed May 2022)</w:t>
      </w:r>
    </w:p>
  </w:footnote>
  <w:footnote w:id="28">
    <w:p w14:paraId="06BEF1EB" w14:textId="067B0942" w:rsidR="00260D55" w:rsidRPr="00AC5BA8" w:rsidRDefault="00260D55" w:rsidP="00AC5BA8">
      <w:pPr>
        <w:spacing w:line="257" w:lineRule="auto"/>
        <w:rPr>
          <w:rFonts w:asciiTheme="minorHAnsi" w:hAnsiTheme="minorHAnsi"/>
          <w:sz w:val="20"/>
        </w:rPr>
      </w:pPr>
      <w:r>
        <w:rPr>
          <w:rStyle w:val="FootnoteReference"/>
        </w:rPr>
        <w:footnoteRef/>
      </w:r>
      <w:r>
        <w:t xml:space="preserve"> </w:t>
      </w:r>
      <w:hyperlink r:id="rId27">
        <w:r w:rsidRPr="00260D55">
          <w:rPr>
            <w:rStyle w:val="Hyperlink"/>
            <w:rFonts w:eastAsia="Arial" w:cs="Arial"/>
            <w:sz w:val="20"/>
          </w:rPr>
          <w:t>https://www.nhs.uk/conditions/coronavirus-covid-19/long-term-effects-of-coronavirus-long-covid/</w:t>
        </w:r>
      </w:hyperlink>
      <w:r>
        <w:rPr>
          <w:rStyle w:val="Hyperlink"/>
          <w:rFonts w:eastAsia="Arial" w:cs="Arial"/>
          <w:color w:val="auto"/>
          <w:sz w:val="20"/>
          <w:u w:val="none"/>
        </w:rPr>
        <w:t xml:space="preserve"> (accessed May 2022)</w:t>
      </w:r>
    </w:p>
  </w:footnote>
  <w:footnote w:id="29">
    <w:p w14:paraId="620B1097" w14:textId="1AFD7174" w:rsidR="00AC5BA8" w:rsidRPr="00AC5BA8" w:rsidRDefault="00AC5BA8" w:rsidP="00AC5BA8">
      <w:pPr>
        <w:spacing w:line="257" w:lineRule="auto"/>
        <w:rPr>
          <w:rFonts w:asciiTheme="minorHAnsi" w:hAnsiTheme="minorHAnsi"/>
          <w:color w:val="0563C1"/>
          <w:sz w:val="20"/>
          <w:u w:val="single"/>
        </w:rPr>
      </w:pPr>
      <w:r>
        <w:rPr>
          <w:rStyle w:val="FootnoteReference"/>
        </w:rPr>
        <w:footnoteRef/>
      </w:r>
      <w:r>
        <w:t xml:space="preserve"> </w:t>
      </w:r>
      <w:hyperlink r:id="rId28" w:history="1">
        <w:r w:rsidRPr="008F4A13">
          <w:rPr>
            <w:rStyle w:val="Hyperlink"/>
            <w:rFonts w:eastAsia="Arial" w:cs="Arial"/>
            <w:sz w:val="20"/>
          </w:rPr>
          <w:t>https://www.ons.gov.uk/peoplepopulationandcommunity/healthandsocialcare/conditionsanddiseases/bulletins/prevalenceofongoingsymptomsfollowingcoronaviruscovid19infectionintheuk/3february2022</w:t>
        </w:r>
      </w:hyperlink>
      <w:r>
        <w:rPr>
          <w:rFonts w:eastAsia="Arial" w:cs="Arial"/>
          <w:sz w:val="20"/>
        </w:rPr>
        <w:t xml:space="preserve"> </w:t>
      </w:r>
      <w:r>
        <w:rPr>
          <w:rStyle w:val="Hyperlink"/>
          <w:rFonts w:eastAsia="Arial" w:cs="Arial"/>
          <w:color w:val="auto"/>
          <w:sz w:val="20"/>
          <w:u w:val="none"/>
        </w:rPr>
        <w:t>(accessed May 2022)</w:t>
      </w:r>
    </w:p>
  </w:footnote>
  <w:footnote w:id="30">
    <w:p w14:paraId="5EFEB4F1" w14:textId="42DB1359" w:rsidR="00AC5BA8" w:rsidRPr="00E44EC1" w:rsidRDefault="00AC5BA8" w:rsidP="00E44EC1">
      <w:pPr>
        <w:spacing w:line="257" w:lineRule="auto"/>
        <w:rPr>
          <w:rFonts w:asciiTheme="minorHAnsi" w:hAnsiTheme="minorHAnsi"/>
          <w:color w:val="0563C1"/>
          <w:sz w:val="20"/>
          <w:u w:val="single"/>
        </w:rPr>
      </w:pPr>
      <w:r>
        <w:rPr>
          <w:rStyle w:val="FootnoteReference"/>
        </w:rPr>
        <w:footnoteRef/>
      </w:r>
      <w:r>
        <w:t xml:space="preserve"> </w:t>
      </w:r>
      <w:hyperlink r:id="rId29">
        <w:r w:rsidRPr="00AC5BA8">
          <w:rPr>
            <w:rStyle w:val="Hyperlink"/>
            <w:rFonts w:eastAsia="Arial" w:cs="Arial"/>
            <w:sz w:val="20"/>
          </w:rPr>
          <w:t>https://ukhsa.koha-ptfs.co.uk/cgi-bin/koha/opac-retrieve-file.pl?id=fe4f10cd3cd509fe045ad4f72ae0dfff</w:t>
        </w:r>
      </w:hyperlink>
      <w:r>
        <w:rPr>
          <w:rStyle w:val="Hyperlink"/>
          <w:rFonts w:eastAsia="Arial" w:cs="Arial"/>
          <w:sz w:val="20"/>
        </w:rPr>
        <w:t xml:space="preserve"> </w:t>
      </w:r>
      <w:r>
        <w:rPr>
          <w:rStyle w:val="Hyperlink"/>
          <w:rFonts w:eastAsia="Arial" w:cs="Arial"/>
          <w:color w:val="auto"/>
          <w:sz w:val="20"/>
          <w:u w:val="none"/>
        </w:rPr>
        <w:t>(accessed May 2022)</w:t>
      </w:r>
    </w:p>
  </w:footnote>
  <w:footnote w:id="31">
    <w:p w14:paraId="01D504A5" w14:textId="6177C855" w:rsidR="00E44EC1" w:rsidRPr="00E44EC1" w:rsidRDefault="00E44EC1" w:rsidP="00E44EC1">
      <w:pPr>
        <w:spacing w:line="257" w:lineRule="auto"/>
        <w:rPr>
          <w:rFonts w:asciiTheme="minorHAnsi" w:hAnsiTheme="minorHAnsi"/>
          <w:color w:val="0563C1"/>
          <w:sz w:val="20"/>
          <w:u w:val="single"/>
        </w:rPr>
      </w:pPr>
      <w:r>
        <w:rPr>
          <w:rStyle w:val="FootnoteReference"/>
        </w:rPr>
        <w:footnoteRef/>
      </w:r>
      <w:r>
        <w:t xml:space="preserve"> </w:t>
      </w:r>
      <w:hyperlink r:id="rId30">
        <w:r w:rsidRPr="00E44EC1">
          <w:rPr>
            <w:rStyle w:val="Hyperlink"/>
            <w:rFonts w:eastAsia="Arial" w:cs="Arial"/>
            <w:sz w:val="20"/>
          </w:rPr>
          <w:t>https://psnc.org.uk/wp-content/uploads/2022/04/PSNC-Briefing-013.22-Summary-of-the-results-of-PSNCs-2022-Pharmacy-Pressures-Survey.pdf</w:t>
        </w:r>
      </w:hyperlink>
      <w:r>
        <w:rPr>
          <w:rStyle w:val="Hyperlink"/>
          <w:rFonts w:eastAsia="Arial" w:cs="Arial"/>
          <w:sz w:val="20"/>
        </w:rPr>
        <w:t xml:space="preserve"> </w:t>
      </w:r>
      <w:r>
        <w:rPr>
          <w:rStyle w:val="Hyperlink"/>
          <w:rFonts w:eastAsia="Arial" w:cs="Arial"/>
          <w:color w:val="auto"/>
          <w:sz w:val="20"/>
          <w:u w:val="none"/>
        </w:rPr>
        <w:t>(accessed May 2022)</w:t>
      </w:r>
    </w:p>
    <w:p w14:paraId="140B26DA" w14:textId="641FE10A" w:rsidR="00E44EC1" w:rsidRDefault="00E44EC1">
      <w:pPr>
        <w:pStyle w:val="FootnoteText"/>
      </w:pPr>
    </w:p>
  </w:footnote>
  <w:footnote w:id="32">
    <w:p w14:paraId="03211A7C" w14:textId="29085E51" w:rsidR="00E44EC1" w:rsidRPr="00E44EC1" w:rsidRDefault="00E44EC1" w:rsidP="00E44EC1">
      <w:pPr>
        <w:spacing w:line="257" w:lineRule="auto"/>
        <w:rPr>
          <w:rFonts w:asciiTheme="minorHAnsi" w:hAnsiTheme="minorHAnsi"/>
          <w:color w:val="0563C1"/>
          <w:sz w:val="20"/>
          <w:u w:val="single"/>
        </w:rPr>
      </w:pPr>
      <w:r>
        <w:rPr>
          <w:rStyle w:val="FootnoteReference"/>
        </w:rPr>
        <w:footnoteRef/>
      </w:r>
      <w:r>
        <w:t xml:space="preserve"> </w:t>
      </w:r>
      <w:hyperlink r:id="rId31">
        <w:r w:rsidRPr="00E44EC1">
          <w:rPr>
            <w:rStyle w:val="Hyperlink"/>
            <w:rFonts w:eastAsia="Arial" w:cs="Arial"/>
            <w:sz w:val="20"/>
          </w:rPr>
          <w:t>the-consequences-of-coronavirus-for-mental-health-final-report.pdf (mind.org.uk)</w:t>
        </w:r>
      </w:hyperlink>
      <w:r>
        <w:rPr>
          <w:rStyle w:val="Hyperlink"/>
          <w:rFonts w:eastAsia="Arial" w:cs="Arial"/>
          <w:sz w:val="20"/>
        </w:rPr>
        <w:t xml:space="preserve"> </w:t>
      </w:r>
      <w:r>
        <w:rPr>
          <w:rStyle w:val="Hyperlink"/>
          <w:rFonts w:eastAsia="Arial" w:cs="Arial"/>
          <w:color w:val="auto"/>
          <w:sz w:val="20"/>
          <w:u w:val="none"/>
        </w:rPr>
        <w:t>(accessed May 2022)</w:t>
      </w:r>
    </w:p>
  </w:footnote>
  <w:footnote w:id="33">
    <w:p w14:paraId="1CA55B7B" w14:textId="1BAFC8F2" w:rsidR="002001B5" w:rsidRPr="00B6491F" w:rsidRDefault="002001B5" w:rsidP="00B6491F">
      <w:pPr>
        <w:spacing w:line="257" w:lineRule="auto"/>
        <w:rPr>
          <w:rFonts w:asciiTheme="minorHAnsi" w:hAnsiTheme="minorHAnsi"/>
          <w:color w:val="0563C1"/>
          <w:sz w:val="20"/>
          <w:u w:val="single"/>
        </w:rPr>
      </w:pPr>
      <w:r>
        <w:rPr>
          <w:rStyle w:val="FootnoteReference"/>
        </w:rPr>
        <w:footnoteRef/>
      </w:r>
      <w:r w:rsidR="55F70878">
        <w:t xml:space="preserve"> </w:t>
      </w:r>
      <w:hyperlink r:id="rId32" w:history="1">
        <w:r w:rsidR="55F70878" w:rsidRPr="55F70878">
          <w:rPr>
            <w:rStyle w:val="Hyperlink"/>
            <w:rFonts w:eastAsia="Arial" w:cs="Arial"/>
            <w:sz w:val="20"/>
          </w:rPr>
          <w:t>https://api.warwickshire.gov.uk/documents/WCCC-1350011118-2953</w:t>
        </w:r>
      </w:hyperlink>
      <w:r w:rsidR="55F70878" w:rsidRPr="55F70878">
        <w:rPr>
          <w:rStyle w:val="Hyperlink"/>
          <w:rFonts w:eastAsia="Arial" w:cs="Arial"/>
          <w:sz w:val="20"/>
        </w:rPr>
        <w:t xml:space="preserve"> </w:t>
      </w:r>
      <w:r w:rsidR="55F70878" w:rsidRPr="55F70878">
        <w:rPr>
          <w:rStyle w:val="Hyperlink"/>
          <w:rFonts w:eastAsia="Arial" w:cs="Arial"/>
          <w:color w:val="auto"/>
          <w:sz w:val="20"/>
          <w:u w:val="none"/>
        </w:rPr>
        <w:t>(accessed May 2022)</w:t>
      </w:r>
    </w:p>
  </w:footnote>
  <w:footnote w:id="34">
    <w:p w14:paraId="63F477B7" w14:textId="32F3A744" w:rsidR="00B6491F" w:rsidRPr="00B6491F" w:rsidRDefault="00B6491F" w:rsidP="00B6491F">
      <w:pPr>
        <w:spacing w:line="257" w:lineRule="auto"/>
        <w:rPr>
          <w:rFonts w:asciiTheme="minorHAnsi" w:hAnsiTheme="minorHAnsi"/>
          <w:color w:val="0563C1"/>
          <w:sz w:val="20"/>
          <w:u w:val="single"/>
        </w:rPr>
      </w:pPr>
      <w:r>
        <w:rPr>
          <w:rStyle w:val="FootnoteReference"/>
        </w:rPr>
        <w:footnoteRef/>
      </w:r>
      <w:r>
        <w:t xml:space="preserve"> </w:t>
      </w:r>
      <w:hyperlink r:id="rId33">
        <w:r w:rsidRPr="00B6491F">
          <w:rPr>
            <w:rStyle w:val="Hyperlink"/>
            <w:rFonts w:eastAsia="Arial" w:cs="Arial"/>
            <w:sz w:val="20"/>
          </w:rPr>
          <w:t>A perfect storm - health inequalities and the impact of COVID-19 | Local Government Association</w:t>
        </w:r>
      </w:hyperlink>
      <w:r>
        <w:rPr>
          <w:rStyle w:val="Hyperlink"/>
          <w:rFonts w:eastAsia="Arial" w:cs="Arial"/>
          <w:sz w:val="20"/>
        </w:rPr>
        <w:t xml:space="preserve"> </w:t>
      </w:r>
      <w:r>
        <w:rPr>
          <w:rStyle w:val="Hyperlink"/>
          <w:rFonts w:eastAsia="Arial" w:cs="Arial"/>
          <w:color w:val="auto"/>
          <w:sz w:val="20"/>
          <w:u w:val="none"/>
        </w:rPr>
        <w:t>(accessed May 2022)</w:t>
      </w:r>
    </w:p>
  </w:footnote>
  <w:footnote w:id="35">
    <w:p w14:paraId="7E88C1EC" w14:textId="37F0F211" w:rsidR="00B6491F" w:rsidRPr="00B6491F" w:rsidRDefault="00B6491F" w:rsidP="00B6491F">
      <w:pPr>
        <w:spacing w:line="257" w:lineRule="auto"/>
        <w:rPr>
          <w:rFonts w:asciiTheme="minorHAnsi" w:hAnsiTheme="minorHAnsi"/>
          <w:color w:val="0563C1"/>
          <w:sz w:val="20"/>
          <w:u w:val="single"/>
        </w:rPr>
      </w:pPr>
      <w:r>
        <w:rPr>
          <w:rStyle w:val="FootnoteReference"/>
        </w:rPr>
        <w:footnoteRef/>
      </w:r>
      <w:r>
        <w:t xml:space="preserve"> </w:t>
      </w:r>
      <w:hyperlink r:id="rId34" w:anchor="what">
        <w:r w:rsidRPr="00B6491F">
          <w:rPr>
            <w:rStyle w:val="Hyperlink"/>
            <w:rFonts w:eastAsia="Arial" w:cs="Arial"/>
            <w:sz w:val="20"/>
          </w:rPr>
          <w:t>What are health inequalities? | The King's Fund (kingsfund.org.uk)</w:t>
        </w:r>
      </w:hyperlink>
      <w:r>
        <w:rPr>
          <w:rStyle w:val="Hyperlink"/>
          <w:rFonts w:eastAsia="Arial" w:cs="Arial"/>
          <w:sz w:val="20"/>
        </w:rPr>
        <w:t xml:space="preserve"> </w:t>
      </w:r>
      <w:r>
        <w:rPr>
          <w:rStyle w:val="Hyperlink"/>
          <w:rFonts w:eastAsia="Arial" w:cs="Arial"/>
          <w:color w:val="auto"/>
          <w:sz w:val="20"/>
          <w:u w:val="none"/>
        </w:rPr>
        <w:t>(accessed May 2022)</w:t>
      </w:r>
    </w:p>
  </w:footnote>
  <w:footnote w:id="36">
    <w:p w14:paraId="1827F305" w14:textId="04C2EC78" w:rsidR="00B6491F" w:rsidRPr="00B6491F" w:rsidRDefault="00B6491F" w:rsidP="00B6491F">
      <w:pPr>
        <w:spacing w:line="257" w:lineRule="auto"/>
        <w:rPr>
          <w:rFonts w:asciiTheme="minorHAnsi" w:hAnsiTheme="minorHAnsi"/>
          <w:color w:val="0563C1"/>
          <w:sz w:val="20"/>
          <w:u w:val="single"/>
        </w:rPr>
      </w:pPr>
      <w:r>
        <w:rPr>
          <w:rStyle w:val="FootnoteReference"/>
        </w:rPr>
        <w:footnoteRef/>
      </w:r>
      <w:r>
        <w:t xml:space="preserve"> </w:t>
      </w:r>
      <w:hyperlink r:id="rId35">
        <w:r w:rsidRPr="00B6491F">
          <w:rPr>
            <w:rStyle w:val="Hyperlink"/>
            <w:rFonts w:eastAsia="Arial" w:cs="Arial"/>
            <w:sz w:val="20"/>
          </w:rPr>
          <w:t>Disparities in the risk and outcomes of COVID-19 (publishing.service.gov.uk)</w:t>
        </w:r>
      </w:hyperlink>
      <w:r>
        <w:rPr>
          <w:rStyle w:val="Hyperlink"/>
          <w:rFonts w:eastAsia="Arial" w:cs="Arial"/>
          <w:sz w:val="20"/>
        </w:rPr>
        <w:t xml:space="preserve"> </w:t>
      </w:r>
      <w:r>
        <w:rPr>
          <w:rStyle w:val="Hyperlink"/>
          <w:rFonts w:eastAsia="Arial" w:cs="Arial"/>
          <w:color w:val="auto"/>
          <w:sz w:val="20"/>
          <w:u w:val="none"/>
        </w:rPr>
        <w:t>(accessed May 2022)</w:t>
      </w:r>
    </w:p>
    <w:p w14:paraId="2732BF70" w14:textId="4FA2B39F" w:rsidR="00B6491F" w:rsidRDefault="00B6491F">
      <w:pPr>
        <w:pStyle w:val="FootnoteText"/>
      </w:pPr>
    </w:p>
  </w:footnote>
  <w:footnote w:id="37">
    <w:p w14:paraId="608430D1" w14:textId="19F5E160" w:rsidR="00B03C3B" w:rsidRDefault="00B03C3B">
      <w:pPr>
        <w:pStyle w:val="FootnoteText"/>
      </w:pPr>
      <w:r>
        <w:rPr>
          <w:rStyle w:val="FootnoteReference"/>
        </w:rPr>
        <w:footnoteRef/>
      </w:r>
      <w:r>
        <w:t xml:space="preserve"> </w:t>
      </w:r>
      <w:hyperlink r:id="rId36" w:history="1">
        <w:r w:rsidRPr="00710059">
          <w:rPr>
            <w:rStyle w:val="Hyperlink"/>
          </w:rPr>
          <w:t>http://archive.psnc.org.uk/pages/introduction.html</w:t>
        </w:r>
      </w:hyperlink>
      <w:r>
        <w:t xml:space="preserve"> (accessed May 2022)</w:t>
      </w:r>
    </w:p>
  </w:footnote>
  <w:footnote w:id="38">
    <w:p w14:paraId="60F4E61D" w14:textId="5CDF9259" w:rsidR="00E66A04" w:rsidRDefault="00E66A04">
      <w:pPr>
        <w:pStyle w:val="FootnoteText"/>
      </w:pPr>
      <w:r>
        <w:rPr>
          <w:rStyle w:val="FootnoteReference"/>
        </w:rPr>
        <w:footnoteRef/>
      </w:r>
      <w:r>
        <w:t xml:space="preserve"> </w:t>
      </w:r>
      <w:hyperlink r:id="rId37" w:history="1">
        <w:r w:rsidRPr="00417E4E">
          <w:rPr>
            <w:rStyle w:val="Hyperlink"/>
          </w:rPr>
          <w:t>https://psnc.org.uk/wp-content/uploads/2021/05/PSNC-Pharmacy-Advice-Audit-2021-A-summary-of-findings.pdf</w:t>
        </w:r>
      </w:hyperlink>
      <w:r>
        <w:t xml:space="preserve"> (accessed May 2022)</w:t>
      </w:r>
    </w:p>
  </w:footnote>
  <w:footnote w:id="39">
    <w:p w14:paraId="7F4B16A9" w14:textId="2E60A934" w:rsidR="00204D02" w:rsidRDefault="00204D02">
      <w:pPr>
        <w:pStyle w:val="FootnoteText"/>
      </w:pPr>
      <w:r>
        <w:rPr>
          <w:rStyle w:val="FootnoteReference"/>
        </w:rPr>
        <w:footnoteRef/>
      </w:r>
      <w:r>
        <w:t xml:space="preserve"> </w:t>
      </w:r>
      <w:hyperlink r:id="rId38" w:history="1">
        <w:r w:rsidRPr="00417E4E">
          <w:rPr>
            <w:rStyle w:val="Hyperlink"/>
          </w:rPr>
          <w:t>https://psnc.org.uk/wp-content/uploads/2022/04/PSNC-Briefing-013.22-Summary-of-the-results-of-PSNCs-2022-Pharmacy-Pressures-Survey.pdf</w:t>
        </w:r>
      </w:hyperlink>
      <w:r>
        <w:t xml:space="preserve"> (accessed May 2022)</w:t>
      </w:r>
    </w:p>
  </w:footnote>
  <w:footnote w:id="40">
    <w:p w14:paraId="6A31884C" w14:textId="3FC5E6F0" w:rsidR="00762F4C" w:rsidRDefault="00762F4C">
      <w:pPr>
        <w:pStyle w:val="FootnoteText"/>
      </w:pPr>
      <w:r>
        <w:rPr>
          <w:rStyle w:val="FootnoteReference"/>
        </w:rPr>
        <w:footnoteRef/>
      </w:r>
      <w:r>
        <w:t xml:space="preserve"> </w:t>
      </w:r>
      <w:hyperlink r:id="rId39" w:history="1">
        <w:r w:rsidRPr="006C4988">
          <w:rPr>
            <w:rStyle w:val="Hyperlink"/>
          </w:rPr>
          <w:t>https://psnc.org.uk/services-commissioning/essential-services/</w:t>
        </w:r>
      </w:hyperlink>
      <w:r>
        <w:t xml:space="preserve"> (accessed May 2022)</w:t>
      </w:r>
    </w:p>
  </w:footnote>
  <w:footnote w:id="41">
    <w:p w14:paraId="7F8F0960" w14:textId="44166C29" w:rsidR="00FF646F" w:rsidRDefault="00FF646F">
      <w:pPr>
        <w:pStyle w:val="FootnoteText"/>
      </w:pPr>
      <w:r>
        <w:rPr>
          <w:rStyle w:val="FootnoteReference"/>
        </w:rPr>
        <w:footnoteRef/>
      </w:r>
      <w:r>
        <w:t xml:space="preserve"> </w:t>
      </w:r>
      <w:hyperlink r:id="rId40" w:history="1">
        <w:r w:rsidR="00CD455D" w:rsidRPr="00DD12D4">
          <w:rPr>
            <w:rStyle w:val="Hyperlink"/>
          </w:rPr>
          <w:t>https://psnc.org.uk/services-commissioning/advanced-services/community-pharmacist-consultation-service/</w:t>
        </w:r>
      </w:hyperlink>
      <w:r w:rsidR="00CD455D">
        <w:t xml:space="preserve"> (accessed May 2022)</w:t>
      </w:r>
    </w:p>
  </w:footnote>
  <w:footnote w:id="42">
    <w:p w14:paraId="025FC8D3" w14:textId="6B62A3F4" w:rsidR="00993D97" w:rsidRDefault="00993D97">
      <w:pPr>
        <w:pStyle w:val="FootnoteText"/>
      </w:pPr>
      <w:r>
        <w:rPr>
          <w:rStyle w:val="FootnoteReference"/>
        </w:rPr>
        <w:footnoteRef/>
      </w:r>
      <w:r>
        <w:t xml:space="preserve"> </w:t>
      </w:r>
      <w:hyperlink r:id="rId41" w:history="1">
        <w:r w:rsidRPr="00FF3BB2">
          <w:rPr>
            <w:rStyle w:val="Hyperlink"/>
          </w:rPr>
          <w:t>https://psnc.org.uk/contract-it/the-pharmacy-contract/cpcf-settlement-2019-20-to-2023-24/</w:t>
        </w:r>
      </w:hyperlink>
      <w:r>
        <w:t xml:space="preserve"> (accessed May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DAB7" w14:textId="77777777" w:rsidR="00D52091" w:rsidRDefault="00D52091">
    <w:pPr>
      <w:pStyle w:val="Header"/>
    </w:pPr>
  </w:p>
  <w:p w14:paraId="2A747869" w14:textId="77777777" w:rsidR="005A6637" w:rsidRDefault="005A66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7EA4" w14:textId="4485586B" w:rsidR="005A6637" w:rsidRDefault="005A66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23FF" w14:textId="7745525B" w:rsidR="005A6637" w:rsidRDefault="005A66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7B21" w14:textId="77777777" w:rsidR="00E65D78" w:rsidRDefault="00E65D78" w:rsidP="007249A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093" w14:textId="77777777" w:rsidR="00E65D78" w:rsidRDefault="00E65D78" w:rsidP="009B3D0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3296" w14:textId="77777777" w:rsidR="00E65D78" w:rsidRDefault="00E65D78" w:rsidP="007249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D97"/>
    <w:multiLevelType w:val="hybridMultilevel"/>
    <w:tmpl w:val="720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47086"/>
    <w:multiLevelType w:val="hybridMultilevel"/>
    <w:tmpl w:val="3918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214E3"/>
    <w:multiLevelType w:val="multilevel"/>
    <w:tmpl w:val="0D4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E09E7"/>
    <w:multiLevelType w:val="hybridMultilevel"/>
    <w:tmpl w:val="07C0B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123E5"/>
    <w:multiLevelType w:val="hybridMultilevel"/>
    <w:tmpl w:val="73724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05146"/>
    <w:multiLevelType w:val="multilevel"/>
    <w:tmpl w:val="6D5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F456B"/>
    <w:multiLevelType w:val="hybridMultilevel"/>
    <w:tmpl w:val="CC9C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9D6355"/>
    <w:multiLevelType w:val="hybridMultilevel"/>
    <w:tmpl w:val="298E9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90BE7"/>
    <w:multiLevelType w:val="hybridMultilevel"/>
    <w:tmpl w:val="B040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663F46"/>
    <w:multiLevelType w:val="hybridMultilevel"/>
    <w:tmpl w:val="2778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487E1B"/>
    <w:multiLevelType w:val="multilevel"/>
    <w:tmpl w:val="3864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6143B3"/>
    <w:multiLevelType w:val="hybridMultilevel"/>
    <w:tmpl w:val="CC4E846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2" w15:restartNumberingAfterBreak="0">
    <w:nsid w:val="171B269E"/>
    <w:multiLevelType w:val="hybridMultilevel"/>
    <w:tmpl w:val="6AF2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CA55A2"/>
    <w:multiLevelType w:val="hybridMultilevel"/>
    <w:tmpl w:val="C5A4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DC33A1"/>
    <w:multiLevelType w:val="hybridMultilevel"/>
    <w:tmpl w:val="A51A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4754EC"/>
    <w:multiLevelType w:val="hybridMultilevel"/>
    <w:tmpl w:val="43383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9C11B0"/>
    <w:multiLevelType w:val="hybridMultilevel"/>
    <w:tmpl w:val="635AF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C56CEC"/>
    <w:multiLevelType w:val="multilevel"/>
    <w:tmpl w:val="BBAC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D6764E"/>
    <w:multiLevelType w:val="hybridMultilevel"/>
    <w:tmpl w:val="AE7E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BB7C8A"/>
    <w:multiLevelType w:val="hybridMultilevel"/>
    <w:tmpl w:val="2E7EE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13355F"/>
    <w:multiLevelType w:val="multilevel"/>
    <w:tmpl w:val="92008D80"/>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pStyle w:val="Heading9"/>
      <w:lvlText w:val=""/>
      <w:lvlJc w:val="left"/>
      <w:pPr>
        <w:tabs>
          <w:tab w:val="num" w:pos="6480"/>
        </w:tabs>
        <w:ind w:left="6480" w:hanging="360"/>
      </w:pPr>
      <w:rPr>
        <w:rFonts w:ascii="Wingdings" w:hAnsi="Wingdings" w:hint="default"/>
      </w:rPr>
    </w:lvl>
  </w:abstractNum>
  <w:abstractNum w:abstractNumId="21" w15:restartNumberingAfterBreak="0">
    <w:nsid w:val="2B6A2A38"/>
    <w:multiLevelType w:val="hybridMultilevel"/>
    <w:tmpl w:val="FD601350"/>
    <w:styleLink w:val="Bulleted"/>
    <w:lvl w:ilvl="0" w:tplc="6B889A4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3D4E31"/>
    <w:multiLevelType w:val="hybridMultilevel"/>
    <w:tmpl w:val="F6B0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23F2D"/>
    <w:multiLevelType w:val="multilevel"/>
    <w:tmpl w:val="E8D8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513161"/>
    <w:multiLevelType w:val="hybridMultilevel"/>
    <w:tmpl w:val="1578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6806E9"/>
    <w:multiLevelType w:val="hybridMultilevel"/>
    <w:tmpl w:val="9384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834AE7"/>
    <w:multiLevelType w:val="hybridMultilevel"/>
    <w:tmpl w:val="936E6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A85CF7"/>
    <w:multiLevelType w:val="multilevel"/>
    <w:tmpl w:val="6D7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847655"/>
    <w:multiLevelType w:val="hybridMultilevel"/>
    <w:tmpl w:val="C8AE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BF620B"/>
    <w:multiLevelType w:val="multilevel"/>
    <w:tmpl w:val="3B76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061D46"/>
    <w:multiLevelType w:val="hybridMultilevel"/>
    <w:tmpl w:val="9F18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125871"/>
    <w:multiLevelType w:val="hybridMultilevel"/>
    <w:tmpl w:val="764E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EF6EC4"/>
    <w:multiLevelType w:val="hybridMultilevel"/>
    <w:tmpl w:val="41A0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B34FDF"/>
    <w:multiLevelType w:val="hybridMultilevel"/>
    <w:tmpl w:val="C9E28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535A02"/>
    <w:multiLevelType w:val="multilevel"/>
    <w:tmpl w:val="8DEAC7DA"/>
    <w:lvl w:ilvl="0">
      <w:start w:val="1"/>
      <w:numFmt w:val="decimal"/>
      <w:pStyle w:val="Tablerowtotal"/>
      <w:lvlText w:val="%1."/>
      <w:lvlJc w:val="left"/>
      <w:pPr>
        <w:tabs>
          <w:tab w:val="num" w:pos="284"/>
        </w:tabs>
        <w:ind w:left="0" w:firstLine="0"/>
      </w:pPr>
      <w:rPr>
        <w:rFonts w:hint="default"/>
      </w:rPr>
    </w:lvl>
    <w:lvl w:ilvl="1">
      <w:start w:val="1"/>
      <w:numFmt w:val="lowerLetter"/>
      <w:lvlText w:val="%2."/>
      <w:lvlJc w:val="left"/>
      <w:pPr>
        <w:tabs>
          <w:tab w:val="num" w:pos="567"/>
        </w:tabs>
        <w:ind w:left="284" w:firstLine="0"/>
      </w:pPr>
      <w:rPr>
        <w:rFonts w:hint="default"/>
      </w:rPr>
    </w:lvl>
    <w:lvl w:ilvl="2">
      <w:start w:val="1"/>
      <w:numFmt w:val="decimal"/>
      <w:lvlText w:val="%3)"/>
      <w:lvlJc w:val="left"/>
      <w:pPr>
        <w:tabs>
          <w:tab w:val="num" w:pos="851"/>
        </w:tabs>
        <w:ind w:left="568" w:firstLine="0"/>
      </w:pPr>
      <w:rPr>
        <w:rFonts w:hint="default"/>
      </w:rPr>
    </w:lvl>
    <w:lvl w:ilvl="3">
      <w:start w:val="1"/>
      <w:numFmt w:val="lowerLetter"/>
      <w:lvlText w:val="%4)"/>
      <w:lvlJc w:val="left"/>
      <w:pPr>
        <w:tabs>
          <w:tab w:val="num" w:pos="1134"/>
        </w:tabs>
        <w:ind w:left="852" w:firstLine="0"/>
      </w:pPr>
      <w:rPr>
        <w:rFonts w:hint="default"/>
      </w:rPr>
    </w:lvl>
    <w:lvl w:ilvl="4">
      <w:start w:val="1"/>
      <w:numFmt w:val="lowerRoman"/>
      <w:lvlText w:val="%5."/>
      <w:lvlJc w:val="left"/>
      <w:pPr>
        <w:tabs>
          <w:tab w:val="num" w:pos="1418"/>
        </w:tabs>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35" w15:restartNumberingAfterBreak="0">
    <w:nsid w:val="3D6D3BE0"/>
    <w:multiLevelType w:val="hybridMultilevel"/>
    <w:tmpl w:val="FD601350"/>
    <w:lvl w:ilvl="0" w:tplc="6B889A4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DA10001"/>
    <w:multiLevelType w:val="multilevel"/>
    <w:tmpl w:val="91E2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CF63BA"/>
    <w:multiLevelType w:val="hybridMultilevel"/>
    <w:tmpl w:val="42E4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A27B17"/>
    <w:multiLevelType w:val="multilevel"/>
    <w:tmpl w:val="D758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F956ABD"/>
    <w:multiLevelType w:val="hybridMultilevel"/>
    <w:tmpl w:val="6782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8A3F40"/>
    <w:multiLevelType w:val="hybridMultilevel"/>
    <w:tmpl w:val="6BA87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6054F4"/>
    <w:multiLevelType w:val="multilevel"/>
    <w:tmpl w:val="B1E4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720AE0"/>
    <w:multiLevelType w:val="hybridMultilevel"/>
    <w:tmpl w:val="AC48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954497"/>
    <w:multiLevelType w:val="hybridMultilevel"/>
    <w:tmpl w:val="23FC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7E7BE8"/>
    <w:multiLevelType w:val="hybridMultilevel"/>
    <w:tmpl w:val="87F08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C7109A"/>
    <w:multiLevelType w:val="hybridMultilevel"/>
    <w:tmpl w:val="1F148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C03A51"/>
    <w:multiLevelType w:val="hybridMultilevel"/>
    <w:tmpl w:val="C84C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674FAB"/>
    <w:multiLevelType w:val="hybridMultilevel"/>
    <w:tmpl w:val="53B0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2F2AE1"/>
    <w:multiLevelType w:val="hybridMultilevel"/>
    <w:tmpl w:val="107EF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3FE0590"/>
    <w:multiLevelType w:val="hybridMultilevel"/>
    <w:tmpl w:val="3F88A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156DF5"/>
    <w:multiLevelType w:val="multilevel"/>
    <w:tmpl w:val="5FAA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BBA26CA"/>
    <w:multiLevelType w:val="hybridMultilevel"/>
    <w:tmpl w:val="7DA0B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A6661B"/>
    <w:multiLevelType w:val="hybridMultilevel"/>
    <w:tmpl w:val="D802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245E85"/>
    <w:multiLevelType w:val="hybridMultilevel"/>
    <w:tmpl w:val="BD785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F23374"/>
    <w:multiLevelType w:val="multilevel"/>
    <w:tmpl w:val="6D34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20369BB"/>
    <w:multiLevelType w:val="hybridMultilevel"/>
    <w:tmpl w:val="11B47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737157"/>
    <w:multiLevelType w:val="hybridMultilevel"/>
    <w:tmpl w:val="D294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933BFC"/>
    <w:multiLevelType w:val="hybridMultilevel"/>
    <w:tmpl w:val="D5C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3C555A1"/>
    <w:multiLevelType w:val="multilevel"/>
    <w:tmpl w:val="8F20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051EDE"/>
    <w:multiLevelType w:val="hybridMultilevel"/>
    <w:tmpl w:val="D16C9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B7331A"/>
    <w:multiLevelType w:val="hybridMultilevel"/>
    <w:tmpl w:val="4E0A5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C60A2E"/>
    <w:multiLevelType w:val="multilevel"/>
    <w:tmpl w:val="5EB8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BA431AD"/>
    <w:multiLevelType w:val="hybridMultilevel"/>
    <w:tmpl w:val="F090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1561B1"/>
    <w:multiLevelType w:val="hybridMultilevel"/>
    <w:tmpl w:val="FCA2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8D0B76"/>
    <w:multiLevelType w:val="multilevel"/>
    <w:tmpl w:val="A924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6044562"/>
    <w:multiLevelType w:val="hybridMultilevel"/>
    <w:tmpl w:val="FEE4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EA2034"/>
    <w:multiLevelType w:val="multilevel"/>
    <w:tmpl w:val="4376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9DB1582"/>
    <w:multiLevelType w:val="multilevel"/>
    <w:tmpl w:val="6FF6C41E"/>
    <w:lvl w:ilvl="0">
      <w:numFmt w:val="none"/>
      <w:lvlText w:val=""/>
      <w:lvlJc w:val="left"/>
      <w:pPr>
        <w:tabs>
          <w:tab w:val="num" w:pos="360"/>
        </w:tabs>
      </w:pPr>
    </w:lvl>
    <w:lvl w:ilvl="1">
      <w:numFmt w:val="decimal"/>
      <w:lvlText w:val=""/>
      <w:lvlJc w:val="left"/>
    </w:lvl>
    <w:lvl w:ilvl="2">
      <w:numFmt w:val="decimal"/>
      <w:pStyle w:val="Heading3"/>
      <w:lvlText w:val=""/>
      <w:lvlJc w:val="left"/>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rPr>
        <w:rFonts w:ascii="Courier New" w:hAnsi="Courier New" w:cs="Courier New" w:hint="default"/>
        <w14:glow w14:rad="0">
          <w14:srgbClr w14:val="000000"/>
        </w14:glow>
        <w14:scene3d>
          <w14:camera w14:prst="orthographicFront"/>
          <w14:lightRig w14:rig="threePt" w14:dir="t">
            <w14:rot w14:lat="0" w14:lon="0" w14:rev="0"/>
          </w14:lightRig>
        </w14:scene3d>
      </w:rPr>
    </w:lvl>
    <w:lvl w:ilvl="8">
      <w:numFmt w:val="decimal"/>
      <w:lvlText w:val=""/>
      <w:lvlJc w:val="left"/>
    </w:lvl>
  </w:abstractNum>
  <w:abstractNum w:abstractNumId="68" w15:restartNumberingAfterBreak="0">
    <w:nsid w:val="7A7B17B0"/>
    <w:multiLevelType w:val="hybridMultilevel"/>
    <w:tmpl w:val="E30AB6B0"/>
    <w:lvl w:ilvl="0" w:tplc="08090017">
      <w:numFmt w:val="decimal"/>
      <w:lvlText w:val=""/>
      <w:lvlJc w:val="left"/>
    </w:lvl>
    <w:lvl w:ilvl="1" w:tplc="08090019">
      <w:numFmt w:val="none"/>
      <w:lvlText w:val=""/>
      <w:lvlJc w:val="left"/>
      <w:pPr>
        <w:tabs>
          <w:tab w:val="num" w:pos="360"/>
        </w:tabs>
      </w:pPr>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none"/>
      <w:lvlText w:val=""/>
      <w:lvlJc w:val="left"/>
      <w:pPr>
        <w:tabs>
          <w:tab w:val="num" w:pos="360"/>
        </w:tabs>
      </w:pPr>
    </w:lvl>
    <w:lvl w:ilvl="6" w:tplc="0809000F">
      <w:numFmt w:val="decimal"/>
      <w:lvlText w:val="✀"/>
      <w:lvlJc w:val="left"/>
    </w:lvl>
    <w:lvl w:ilvl="7" w:tplc="08090019">
      <w:numFmt w:val="none"/>
      <w:lvlText w:val=""/>
      <w:lvlJc w:val="left"/>
      <w:pPr>
        <w:tabs>
          <w:tab w:val="num" w:pos="360"/>
        </w:tabs>
      </w:pPr>
    </w:lvl>
    <w:lvl w:ilvl="8" w:tplc="0809001B">
      <w:numFmt w:val="none"/>
      <w:lvlText w:val=""/>
      <w:lvlJc w:val="left"/>
      <w:pPr>
        <w:tabs>
          <w:tab w:val="num" w:pos="360"/>
        </w:tabs>
      </w:pPr>
    </w:lvl>
  </w:abstractNum>
  <w:abstractNum w:abstractNumId="69" w15:restartNumberingAfterBreak="0">
    <w:nsid w:val="7AD62657"/>
    <w:multiLevelType w:val="hybridMultilevel"/>
    <w:tmpl w:val="40AEB5E4"/>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0" w15:restartNumberingAfterBreak="0">
    <w:nsid w:val="7AF43242"/>
    <w:multiLevelType w:val="hybridMultilevel"/>
    <w:tmpl w:val="B1EE9FAA"/>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71" w15:restartNumberingAfterBreak="0">
    <w:nsid w:val="7B9B3D1C"/>
    <w:multiLevelType w:val="hybridMultilevel"/>
    <w:tmpl w:val="2F96D446"/>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2" w15:restartNumberingAfterBreak="0">
    <w:nsid w:val="7C2C656D"/>
    <w:multiLevelType w:val="hybridMultilevel"/>
    <w:tmpl w:val="837C8F3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3" w15:restartNumberingAfterBreak="0">
    <w:nsid w:val="7F11168D"/>
    <w:multiLevelType w:val="hybridMultilevel"/>
    <w:tmpl w:val="B2D89DA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4" w15:restartNumberingAfterBreak="0">
    <w:nsid w:val="7F164C08"/>
    <w:multiLevelType w:val="hybridMultilevel"/>
    <w:tmpl w:val="16ECB796"/>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num w:numId="1">
    <w:abstractNumId w:val="35"/>
  </w:num>
  <w:num w:numId="2">
    <w:abstractNumId w:val="20"/>
  </w:num>
  <w:num w:numId="3">
    <w:abstractNumId w:val="34"/>
  </w:num>
  <w:num w:numId="4">
    <w:abstractNumId w:val="67"/>
  </w:num>
  <w:num w:numId="5">
    <w:abstractNumId w:val="18"/>
  </w:num>
  <w:num w:numId="6">
    <w:abstractNumId w:val="13"/>
  </w:num>
  <w:num w:numId="7">
    <w:abstractNumId w:val="33"/>
  </w:num>
  <w:num w:numId="8">
    <w:abstractNumId w:val="73"/>
  </w:num>
  <w:num w:numId="9">
    <w:abstractNumId w:val="9"/>
  </w:num>
  <w:num w:numId="10">
    <w:abstractNumId w:val="16"/>
  </w:num>
  <w:num w:numId="11">
    <w:abstractNumId w:val="24"/>
  </w:num>
  <w:num w:numId="12">
    <w:abstractNumId w:val="55"/>
  </w:num>
  <w:num w:numId="13">
    <w:abstractNumId w:val="48"/>
  </w:num>
  <w:num w:numId="14">
    <w:abstractNumId w:val="49"/>
  </w:num>
  <w:num w:numId="15">
    <w:abstractNumId w:val="0"/>
  </w:num>
  <w:num w:numId="16">
    <w:abstractNumId w:val="32"/>
  </w:num>
  <w:num w:numId="17">
    <w:abstractNumId w:val="56"/>
  </w:num>
  <w:num w:numId="18">
    <w:abstractNumId w:val="52"/>
  </w:num>
  <w:num w:numId="19">
    <w:abstractNumId w:val="8"/>
  </w:num>
  <w:num w:numId="20">
    <w:abstractNumId w:val="3"/>
  </w:num>
  <w:num w:numId="21">
    <w:abstractNumId w:val="43"/>
  </w:num>
  <w:num w:numId="22">
    <w:abstractNumId w:val="39"/>
  </w:num>
  <w:num w:numId="23">
    <w:abstractNumId w:val="7"/>
  </w:num>
  <w:num w:numId="24">
    <w:abstractNumId w:val="57"/>
  </w:num>
  <w:num w:numId="25">
    <w:abstractNumId w:val="53"/>
  </w:num>
  <w:num w:numId="26">
    <w:abstractNumId w:val="1"/>
  </w:num>
  <w:num w:numId="27">
    <w:abstractNumId w:val="30"/>
  </w:num>
  <w:num w:numId="28">
    <w:abstractNumId w:val="42"/>
  </w:num>
  <w:num w:numId="29">
    <w:abstractNumId w:val="68"/>
  </w:num>
  <w:num w:numId="30">
    <w:abstractNumId w:val="6"/>
  </w:num>
  <w:num w:numId="31">
    <w:abstractNumId w:val="70"/>
  </w:num>
  <w:num w:numId="32">
    <w:abstractNumId w:val="63"/>
  </w:num>
  <w:num w:numId="33">
    <w:abstractNumId w:val="72"/>
  </w:num>
  <w:num w:numId="34">
    <w:abstractNumId w:val="28"/>
  </w:num>
  <w:num w:numId="35">
    <w:abstractNumId w:val="59"/>
  </w:num>
  <w:num w:numId="36">
    <w:abstractNumId w:val="40"/>
  </w:num>
  <w:num w:numId="37">
    <w:abstractNumId w:val="47"/>
  </w:num>
  <w:num w:numId="38">
    <w:abstractNumId w:val="11"/>
  </w:num>
  <w:num w:numId="39">
    <w:abstractNumId w:val="66"/>
  </w:num>
  <w:num w:numId="40">
    <w:abstractNumId w:val="23"/>
  </w:num>
  <w:num w:numId="41">
    <w:abstractNumId w:val="36"/>
  </w:num>
  <w:num w:numId="42">
    <w:abstractNumId w:val="27"/>
  </w:num>
  <w:num w:numId="43">
    <w:abstractNumId w:val="41"/>
  </w:num>
  <w:num w:numId="44">
    <w:abstractNumId w:val="38"/>
  </w:num>
  <w:num w:numId="45">
    <w:abstractNumId w:val="58"/>
  </w:num>
  <w:num w:numId="46">
    <w:abstractNumId w:val="61"/>
  </w:num>
  <w:num w:numId="47">
    <w:abstractNumId w:val="5"/>
  </w:num>
  <w:num w:numId="48">
    <w:abstractNumId w:val="17"/>
  </w:num>
  <w:num w:numId="49">
    <w:abstractNumId w:val="54"/>
  </w:num>
  <w:num w:numId="50">
    <w:abstractNumId w:val="10"/>
  </w:num>
  <w:num w:numId="51">
    <w:abstractNumId w:val="64"/>
  </w:num>
  <w:num w:numId="52">
    <w:abstractNumId w:val="50"/>
  </w:num>
  <w:num w:numId="53">
    <w:abstractNumId w:val="2"/>
  </w:num>
  <w:num w:numId="54">
    <w:abstractNumId w:val="29"/>
  </w:num>
  <w:num w:numId="55">
    <w:abstractNumId w:val="44"/>
  </w:num>
  <w:num w:numId="56">
    <w:abstractNumId w:val="62"/>
  </w:num>
  <w:num w:numId="57">
    <w:abstractNumId w:val="31"/>
  </w:num>
  <w:num w:numId="58">
    <w:abstractNumId w:val="74"/>
  </w:num>
  <w:num w:numId="59">
    <w:abstractNumId w:val="4"/>
  </w:num>
  <w:num w:numId="60">
    <w:abstractNumId w:val="19"/>
  </w:num>
  <w:num w:numId="61">
    <w:abstractNumId w:val="12"/>
  </w:num>
  <w:num w:numId="62">
    <w:abstractNumId w:val="26"/>
  </w:num>
  <w:num w:numId="63">
    <w:abstractNumId w:val="65"/>
  </w:num>
  <w:num w:numId="64">
    <w:abstractNumId w:val="25"/>
  </w:num>
  <w:num w:numId="65">
    <w:abstractNumId w:val="37"/>
  </w:num>
  <w:num w:numId="66">
    <w:abstractNumId w:val="46"/>
  </w:num>
  <w:num w:numId="67">
    <w:abstractNumId w:val="69"/>
  </w:num>
  <w:num w:numId="68">
    <w:abstractNumId w:val="51"/>
  </w:num>
  <w:num w:numId="69">
    <w:abstractNumId w:val="21"/>
  </w:num>
  <w:num w:numId="70">
    <w:abstractNumId w:val="60"/>
  </w:num>
  <w:num w:numId="71">
    <w:abstractNumId w:val="15"/>
  </w:num>
  <w:num w:numId="72">
    <w:abstractNumId w:val="71"/>
  </w:num>
  <w:num w:numId="73">
    <w:abstractNumId w:val="14"/>
  </w:num>
  <w:num w:numId="74">
    <w:abstractNumId w:val="45"/>
  </w:num>
  <w:num w:numId="75">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FA5"/>
    <w:rsid w:val="000001AF"/>
    <w:rsid w:val="00000201"/>
    <w:rsid w:val="0000064C"/>
    <w:rsid w:val="000007B4"/>
    <w:rsid w:val="00000962"/>
    <w:rsid w:val="00000A5F"/>
    <w:rsid w:val="00000D72"/>
    <w:rsid w:val="00001198"/>
    <w:rsid w:val="000013DC"/>
    <w:rsid w:val="00001951"/>
    <w:rsid w:val="00001AF4"/>
    <w:rsid w:val="0000220D"/>
    <w:rsid w:val="0000259B"/>
    <w:rsid w:val="000027F0"/>
    <w:rsid w:val="000029DB"/>
    <w:rsid w:val="0000316B"/>
    <w:rsid w:val="0000375D"/>
    <w:rsid w:val="00003979"/>
    <w:rsid w:val="00003E21"/>
    <w:rsid w:val="000044BF"/>
    <w:rsid w:val="00004D5A"/>
    <w:rsid w:val="00005062"/>
    <w:rsid w:val="00005084"/>
    <w:rsid w:val="000053CD"/>
    <w:rsid w:val="00005442"/>
    <w:rsid w:val="000056B3"/>
    <w:rsid w:val="00005F83"/>
    <w:rsid w:val="0000689B"/>
    <w:rsid w:val="00006952"/>
    <w:rsid w:val="00006A5A"/>
    <w:rsid w:val="00006EB4"/>
    <w:rsid w:val="00006EC8"/>
    <w:rsid w:val="00006FC1"/>
    <w:rsid w:val="00007271"/>
    <w:rsid w:val="000072BC"/>
    <w:rsid w:val="00007590"/>
    <w:rsid w:val="000106B0"/>
    <w:rsid w:val="00010CED"/>
    <w:rsid w:val="00010D36"/>
    <w:rsid w:val="00010EEF"/>
    <w:rsid w:val="00011120"/>
    <w:rsid w:val="000118C2"/>
    <w:rsid w:val="00011961"/>
    <w:rsid w:val="00011A9B"/>
    <w:rsid w:val="00011AF2"/>
    <w:rsid w:val="00011BAA"/>
    <w:rsid w:val="0001267D"/>
    <w:rsid w:val="00012F6B"/>
    <w:rsid w:val="00013090"/>
    <w:rsid w:val="0001376F"/>
    <w:rsid w:val="00013DEE"/>
    <w:rsid w:val="000144C3"/>
    <w:rsid w:val="000146C6"/>
    <w:rsid w:val="00014704"/>
    <w:rsid w:val="0001548B"/>
    <w:rsid w:val="00015C73"/>
    <w:rsid w:val="000165D4"/>
    <w:rsid w:val="000169BC"/>
    <w:rsid w:val="000174A2"/>
    <w:rsid w:val="00020265"/>
    <w:rsid w:val="00020A4C"/>
    <w:rsid w:val="00020BA5"/>
    <w:rsid w:val="00020D79"/>
    <w:rsid w:val="00020E8A"/>
    <w:rsid w:val="00020FE3"/>
    <w:rsid w:val="000213B9"/>
    <w:rsid w:val="000217D9"/>
    <w:rsid w:val="00021A69"/>
    <w:rsid w:val="000227A0"/>
    <w:rsid w:val="00022CFC"/>
    <w:rsid w:val="00022E0B"/>
    <w:rsid w:val="00023DA3"/>
    <w:rsid w:val="00023FB8"/>
    <w:rsid w:val="0002443D"/>
    <w:rsid w:val="00024473"/>
    <w:rsid w:val="00024707"/>
    <w:rsid w:val="00024BFF"/>
    <w:rsid w:val="00025174"/>
    <w:rsid w:val="000253A3"/>
    <w:rsid w:val="00025535"/>
    <w:rsid w:val="0002578B"/>
    <w:rsid w:val="000257D7"/>
    <w:rsid w:val="00025B71"/>
    <w:rsid w:val="00025C83"/>
    <w:rsid w:val="00025E95"/>
    <w:rsid w:val="000262E6"/>
    <w:rsid w:val="00026390"/>
    <w:rsid w:val="0002654E"/>
    <w:rsid w:val="00026EA4"/>
    <w:rsid w:val="00026F2D"/>
    <w:rsid w:val="000271F0"/>
    <w:rsid w:val="00027662"/>
    <w:rsid w:val="00027F87"/>
    <w:rsid w:val="00030058"/>
    <w:rsid w:val="000301D6"/>
    <w:rsid w:val="0003095A"/>
    <w:rsid w:val="00030C96"/>
    <w:rsid w:val="0003101D"/>
    <w:rsid w:val="000311B6"/>
    <w:rsid w:val="0003150B"/>
    <w:rsid w:val="00031F2D"/>
    <w:rsid w:val="00032165"/>
    <w:rsid w:val="000323AD"/>
    <w:rsid w:val="00032697"/>
    <w:rsid w:val="00032B5E"/>
    <w:rsid w:val="00033075"/>
    <w:rsid w:val="000330C6"/>
    <w:rsid w:val="0003342F"/>
    <w:rsid w:val="00033A86"/>
    <w:rsid w:val="000352EE"/>
    <w:rsid w:val="0003537B"/>
    <w:rsid w:val="0003599A"/>
    <w:rsid w:val="00035EE3"/>
    <w:rsid w:val="00036A57"/>
    <w:rsid w:val="00036B83"/>
    <w:rsid w:val="00036D9B"/>
    <w:rsid w:val="00036F17"/>
    <w:rsid w:val="00037610"/>
    <w:rsid w:val="00037882"/>
    <w:rsid w:val="00037D3B"/>
    <w:rsid w:val="00037F83"/>
    <w:rsid w:val="00040B28"/>
    <w:rsid w:val="00040C4E"/>
    <w:rsid w:val="0004150B"/>
    <w:rsid w:val="00041B1B"/>
    <w:rsid w:val="00041BF1"/>
    <w:rsid w:val="0004266C"/>
    <w:rsid w:val="0004272F"/>
    <w:rsid w:val="0004279C"/>
    <w:rsid w:val="0004317A"/>
    <w:rsid w:val="0004323A"/>
    <w:rsid w:val="00043672"/>
    <w:rsid w:val="00043847"/>
    <w:rsid w:val="00043B24"/>
    <w:rsid w:val="00043D12"/>
    <w:rsid w:val="00043DCA"/>
    <w:rsid w:val="00044080"/>
    <w:rsid w:val="000442C2"/>
    <w:rsid w:val="000444BC"/>
    <w:rsid w:val="00044B70"/>
    <w:rsid w:val="00045082"/>
    <w:rsid w:val="000450A1"/>
    <w:rsid w:val="0004583B"/>
    <w:rsid w:val="000458E4"/>
    <w:rsid w:val="00045992"/>
    <w:rsid w:val="000459FA"/>
    <w:rsid w:val="00045BD8"/>
    <w:rsid w:val="000460D5"/>
    <w:rsid w:val="00046179"/>
    <w:rsid w:val="00046472"/>
    <w:rsid w:val="00046CAD"/>
    <w:rsid w:val="00046FCD"/>
    <w:rsid w:val="000474F4"/>
    <w:rsid w:val="00047924"/>
    <w:rsid w:val="00047EA5"/>
    <w:rsid w:val="00047FB6"/>
    <w:rsid w:val="0005031A"/>
    <w:rsid w:val="000504CC"/>
    <w:rsid w:val="00050A8A"/>
    <w:rsid w:val="00050B11"/>
    <w:rsid w:val="000510F8"/>
    <w:rsid w:val="000512AD"/>
    <w:rsid w:val="000518B3"/>
    <w:rsid w:val="00051A91"/>
    <w:rsid w:val="00051E85"/>
    <w:rsid w:val="00052258"/>
    <w:rsid w:val="0005263A"/>
    <w:rsid w:val="000526B4"/>
    <w:rsid w:val="0005273E"/>
    <w:rsid w:val="000529C5"/>
    <w:rsid w:val="00053011"/>
    <w:rsid w:val="0005353D"/>
    <w:rsid w:val="00053948"/>
    <w:rsid w:val="00054134"/>
    <w:rsid w:val="000544CC"/>
    <w:rsid w:val="00054607"/>
    <w:rsid w:val="00054990"/>
    <w:rsid w:val="00054B5F"/>
    <w:rsid w:val="00054FF9"/>
    <w:rsid w:val="00055276"/>
    <w:rsid w:val="00055317"/>
    <w:rsid w:val="00055613"/>
    <w:rsid w:val="00055C44"/>
    <w:rsid w:val="00055E9D"/>
    <w:rsid w:val="0005672F"/>
    <w:rsid w:val="00056732"/>
    <w:rsid w:val="000567B0"/>
    <w:rsid w:val="00056838"/>
    <w:rsid w:val="00056B9E"/>
    <w:rsid w:val="00056C6A"/>
    <w:rsid w:val="00057240"/>
    <w:rsid w:val="000576E9"/>
    <w:rsid w:val="00057A77"/>
    <w:rsid w:val="00057AEB"/>
    <w:rsid w:val="00057C43"/>
    <w:rsid w:val="00057E43"/>
    <w:rsid w:val="000606DB"/>
    <w:rsid w:val="00060C14"/>
    <w:rsid w:val="00060F76"/>
    <w:rsid w:val="0006134E"/>
    <w:rsid w:val="00061B13"/>
    <w:rsid w:val="00062B0F"/>
    <w:rsid w:val="00062DB8"/>
    <w:rsid w:val="00063174"/>
    <w:rsid w:val="00063191"/>
    <w:rsid w:val="0006333F"/>
    <w:rsid w:val="000644CB"/>
    <w:rsid w:val="000646E9"/>
    <w:rsid w:val="00064EEB"/>
    <w:rsid w:val="0006512B"/>
    <w:rsid w:val="0006571D"/>
    <w:rsid w:val="00065761"/>
    <w:rsid w:val="00065AE4"/>
    <w:rsid w:val="00066130"/>
    <w:rsid w:val="00066B38"/>
    <w:rsid w:val="00066EDE"/>
    <w:rsid w:val="000673FE"/>
    <w:rsid w:val="00067FF4"/>
    <w:rsid w:val="00070833"/>
    <w:rsid w:val="000710AD"/>
    <w:rsid w:val="0007148E"/>
    <w:rsid w:val="000716E4"/>
    <w:rsid w:val="0007170C"/>
    <w:rsid w:val="00071F36"/>
    <w:rsid w:val="0007230F"/>
    <w:rsid w:val="000723F3"/>
    <w:rsid w:val="000732D7"/>
    <w:rsid w:val="000735CF"/>
    <w:rsid w:val="0007434A"/>
    <w:rsid w:val="0007454F"/>
    <w:rsid w:val="000746B9"/>
    <w:rsid w:val="000746C5"/>
    <w:rsid w:val="000750EE"/>
    <w:rsid w:val="0007544D"/>
    <w:rsid w:val="0007579D"/>
    <w:rsid w:val="000759D2"/>
    <w:rsid w:val="00076029"/>
    <w:rsid w:val="000762EB"/>
    <w:rsid w:val="00076D3A"/>
    <w:rsid w:val="000772C4"/>
    <w:rsid w:val="00077757"/>
    <w:rsid w:val="00077899"/>
    <w:rsid w:val="00077BB3"/>
    <w:rsid w:val="00080141"/>
    <w:rsid w:val="00080363"/>
    <w:rsid w:val="000808E8"/>
    <w:rsid w:val="00080AD0"/>
    <w:rsid w:val="00080C4C"/>
    <w:rsid w:val="00080EFD"/>
    <w:rsid w:val="00080F30"/>
    <w:rsid w:val="00081965"/>
    <w:rsid w:val="00081CEF"/>
    <w:rsid w:val="00081FDD"/>
    <w:rsid w:val="00082171"/>
    <w:rsid w:val="00082DE6"/>
    <w:rsid w:val="0008305E"/>
    <w:rsid w:val="00083179"/>
    <w:rsid w:val="0008383E"/>
    <w:rsid w:val="00083E61"/>
    <w:rsid w:val="000842DD"/>
    <w:rsid w:val="000846D8"/>
    <w:rsid w:val="00084924"/>
    <w:rsid w:val="00084BA1"/>
    <w:rsid w:val="0008539B"/>
    <w:rsid w:val="00085581"/>
    <w:rsid w:val="00085692"/>
    <w:rsid w:val="000859A1"/>
    <w:rsid w:val="00085B06"/>
    <w:rsid w:val="00085D82"/>
    <w:rsid w:val="00085E66"/>
    <w:rsid w:val="000872CA"/>
    <w:rsid w:val="000874C1"/>
    <w:rsid w:val="000879CA"/>
    <w:rsid w:val="00087BE3"/>
    <w:rsid w:val="00087D82"/>
    <w:rsid w:val="00087F3B"/>
    <w:rsid w:val="00090719"/>
    <w:rsid w:val="00090A22"/>
    <w:rsid w:val="00090AAC"/>
    <w:rsid w:val="00090EF7"/>
    <w:rsid w:val="000912C1"/>
    <w:rsid w:val="000917A1"/>
    <w:rsid w:val="000918D5"/>
    <w:rsid w:val="00091D27"/>
    <w:rsid w:val="00091F45"/>
    <w:rsid w:val="00092173"/>
    <w:rsid w:val="00092373"/>
    <w:rsid w:val="00092B39"/>
    <w:rsid w:val="00092C5A"/>
    <w:rsid w:val="00093219"/>
    <w:rsid w:val="00093AA6"/>
    <w:rsid w:val="00093AC8"/>
    <w:rsid w:val="00093B8B"/>
    <w:rsid w:val="00093BC0"/>
    <w:rsid w:val="00093F41"/>
    <w:rsid w:val="0009403F"/>
    <w:rsid w:val="000941B9"/>
    <w:rsid w:val="00094521"/>
    <w:rsid w:val="0009485E"/>
    <w:rsid w:val="000948EC"/>
    <w:rsid w:val="00094ECF"/>
    <w:rsid w:val="00094FEA"/>
    <w:rsid w:val="0009511E"/>
    <w:rsid w:val="000953CC"/>
    <w:rsid w:val="000956E8"/>
    <w:rsid w:val="00095AF5"/>
    <w:rsid w:val="00095FC2"/>
    <w:rsid w:val="00096223"/>
    <w:rsid w:val="00096717"/>
    <w:rsid w:val="00096A08"/>
    <w:rsid w:val="00096B83"/>
    <w:rsid w:val="000973D3"/>
    <w:rsid w:val="00097768"/>
    <w:rsid w:val="00097BDB"/>
    <w:rsid w:val="000A105A"/>
    <w:rsid w:val="000A122C"/>
    <w:rsid w:val="000A15AD"/>
    <w:rsid w:val="000A1AE7"/>
    <w:rsid w:val="000A1CC7"/>
    <w:rsid w:val="000A21EC"/>
    <w:rsid w:val="000A2FF9"/>
    <w:rsid w:val="000A329C"/>
    <w:rsid w:val="000A34DC"/>
    <w:rsid w:val="000A352B"/>
    <w:rsid w:val="000A3959"/>
    <w:rsid w:val="000A3BB6"/>
    <w:rsid w:val="000A3D49"/>
    <w:rsid w:val="000A4904"/>
    <w:rsid w:val="000A4B70"/>
    <w:rsid w:val="000A4F30"/>
    <w:rsid w:val="000A52EF"/>
    <w:rsid w:val="000A5AA2"/>
    <w:rsid w:val="000A5BD4"/>
    <w:rsid w:val="000A5D7C"/>
    <w:rsid w:val="000A62F3"/>
    <w:rsid w:val="000A6E3E"/>
    <w:rsid w:val="000A749B"/>
    <w:rsid w:val="000A7516"/>
    <w:rsid w:val="000A7933"/>
    <w:rsid w:val="000A7D1C"/>
    <w:rsid w:val="000A7D71"/>
    <w:rsid w:val="000B0BB1"/>
    <w:rsid w:val="000B0CDC"/>
    <w:rsid w:val="000B12BD"/>
    <w:rsid w:val="000B13D8"/>
    <w:rsid w:val="000B15D6"/>
    <w:rsid w:val="000B164A"/>
    <w:rsid w:val="000B1A77"/>
    <w:rsid w:val="000B1CCE"/>
    <w:rsid w:val="000B283F"/>
    <w:rsid w:val="000B2DB0"/>
    <w:rsid w:val="000B31BF"/>
    <w:rsid w:val="000B32FF"/>
    <w:rsid w:val="000B378C"/>
    <w:rsid w:val="000B37B5"/>
    <w:rsid w:val="000B4552"/>
    <w:rsid w:val="000B4765"/>
    <w:rsid w:val="000B47AB"/>
    <w:rsid w:val="000B49CE"/>
    <w:rsid w:val="000B4C1D"/>
    <w:rsid w:val="000B4F2A"/>
    <w:rsid w:val="000B4F93"/>
    <w:rsid w:val="000B502D"/>
    <w:rsid w:val="000B505D"/>
    <w:rsid w:val="000B5300"/>
    <w:rsid w:val="000B55BC"/>
    <w:rsid w:val="000B55E0"/>
    <w:rsid w:val="000B584C"/>
    <w:rsid w:val="000B5A3C"/>
    <w:rsid w:val="000B5C08"/>
    <w:rsid w:val="000B5E49"/>
    <w:rsid w:val="000B5F58"/>
    <w:rsid w:val="000B61F8"/>
    <w:rsid w:val="000B6A27"/>
    <w:rsid w:val="000B6C2A"/>
    <w:rsid w:val="000B6DBA"/>
    <w:rsid w:val="000B723A"/>
    <w:rsid w:val="000B76DD"/>
    <w:rsid w:val="000B7BAE"/>
    <w:rsid w:val="000B7C29"/>
    <w:rsid w:val="000B7CAD"/>
    <w:rsid w:val="000B7F52"/>
    <w:rsid w:val="000C0D45"/>
    <w:rsid w:val="000C197E"/>
    <w:rsid w:val="000C1B7E"/>
    <w:rsid w:val="000C1F42"/>
    <w:rsid w:val="000C2B55"/>
    <w:rsid w:val="000C2D05"/>
    <w:rsid w:val="000C2DF1"/>
    <w:rsid w:val="000C3166"/>
    <w:rsid w:val="000C3249"/>
    <w:rsid w:val="000C330A"/>
    <w:rsid w:val="000C3453"/>
    <w:rsid w:val="000C3968"/>
    <w:rsid w:val="000C3F47"/>
    <w:rsid w:val="000C4039"/>
    <w:rsid w:val="000C410A"/>
    <w:rsid w:val="000C446A"/>
    <w:rsid w:val="000C50E2"/>
    <w:rsid w:val="000C5159"/>
    <w:rsid w:val="000C53D5"/>
    <w:rsid w:val="000C5740"/>
    <w:rsid w:val="000C5F8A"/>
    <w:rsid w:val="000C7063"/>
    <w:rsid w:val="000C71CE"/>
    <w:rsid w:val="000C71F5"/>
    <w:rsid w:val="000C76F4"/>
    <w:rsid w:val="000C79D4"/>
    <w:rsid w:val="000C7CE7"/>
    <w:rsid w:val="000C7E05"/>
    <w:rsid w:val="000D0066"/>
    <w:rsid w:val="000D0110"/>
    <w:rsid w:val="000D01BD"/>
    <w:rsid w:val="000D0207"/>
    <w:rsid w:val="000D0B92"/>
    <w:rsid w:val="000D0FA7"/>
    <w:rsid w:val="000D138D"/>
    <w:rsid w:val="000D17D9"/>
    <w:rsid w:val="000D1A21"/>
    <w:rsid w:val="000D1E07"/>
    <w:rsid w:val="000D1FF4"/>
    <w:rsid w:val="000D2019"/>
    <w:rsid w:val="000D22A9"/>
    <w:rsid w:val="000D2BEC"/>
    <w:rsid w:val="000D2DDA"/>
    <w:rsid w:val="000D2E93"/>
    <w:rsid w:val="000D3121"/>
    <w:rsid w:val="000D340D"/>
    <w:rsid w:val="000D378E"/>
    <w:rsid w:val="000D37F4"/>
    <w:rsid w:val="000D3AC7"/>
    <w:rsid w:val="000D3E38"/>
    <w:rsid w:val="000D3E9F"/>
    <w:rsid w:val="000D3ECC"/>
    <w:rsid w:val="000D575F"/>
    <w:rsid w:val="000D5BBE"/>
    <w:rsid w:val="000D621A"/>
    <w:rsid w:val="000D63E5"/>
    <w:rsid w:val="000D661F"/>
    <w:rsid w:val="000D6692"/>
    <w:rsid w:val="000D67C3"/>
    <w:rsid w:val="000D68DF"/>
    <w:rsid w:val="000D6DC7"/>
    <w:rsid w:val="000D6E52"/>
    <w:rsid w:val="000D6FF7"/>
    <w:rsid w:val="000D7342"/>
    <w:rsid w:val="000D7736"/>
    <w:rsid w:val="000D7D3E"/>
    <w:rsid w:val="000E000B"/>
    <w:rsid w:val="000E04E5"/>
    <w:rsid w:val="000E0689"/>
    <w:rsid w:val="000E0962"/>
    <w:rsid w:val="000E14C2"/>
    <w:rsid w:val="000E1756"/>
    <w:rsid w:val="000E1D40"/>
    <w:rsid w:val="000E1F7E"/>
    <w:rsid w:val="000E2374"/>
    <w:rsid w:val="000E2523"/>
    <w:rsid w:val="000E252E"/>
    <w:rsid w:val="000E26AD"/>
    <w:rsid w:val="000E28E0"/>
    <w:rsid w:val="000E3C1E"/>
    <w:rsid w:val="000E3DEC"/>
    <w:rsid w:val="000E42B5"/>
    <w:rsid w:val="000E42EA"/>
    <w:rsid w:val="000E4825"/>
    <w:rsid w:val="000E4C64"/>
    <w:rsid w:val="000E4DF1"/>
    <w:rsid w:val="000E4ECF"/>
    <w:rsid w:val="000E4F27"/>
    <w:rsid w:val="000E5452"/>
    <w:rsid w:val="000E5536"/>
    <w:rsid w:val="000E55AD"/>
    <w:rsid w:val="000E5C33"/>
    <w:rsid w:val="000E5C95"/>
    <w:rsid w:val="000E5F83"/>
    <w:rsid w:val="000E62D8"/>
    <w:rsid w:val="000E700D"/>
    <w:rsid w:val="000E70E8"/>
    <w:rsid w:val="000E7A91"/>
    <w:rsid w:val="000E7C99"/>
    <w:rsid w:val="000E7CFF"/>
    <w:rsid w:val="000F01BB"/>
    <w:rsid w:val="000F043F"/>
    <w:rsid w:val="000F08F1"/>
    <w:rsid w:val="000F0F4B"/>
    <w:rsid w:val="000F1327"/>
    <w:rsid w:val="000F166B"/>
    <w:rsid w:val="000F17BF"/>
    <w:rsid w:val="000F1D71"/>
    <w:rsid w:val="000F2547"/>
    <w:rsid w:val="000F2B69"/>
    <w:rsid w:val="000F2BD8"/>
    <w:rsid w:val="000F2DED"/>
    <w:rsid w:val="000F2E52"/>
    <w:rsid w:val="000F3266"/>
    <w:rsid w:val="000F3873"/>
    <w:rsid w:val="000F3DD4"/>
    <w:rsid w:val="000F42E1"/>
    <w:rsid w:val="000F45AD"/>
    <w:rsid w:val="000F466F"/>
    <w:rsid w:val="000F4699"/>
    <w:rsid w:val="000F4928"/>
    <w:rsid w:val="000F5382"/>
    <w:rsid w:val="000F54E1"/>
    <w:rsid w:val="000F5FD9"/>
    <w:rsid w:val="000F62E1"/>
    <w:rsid w:val="000F6A7F"/>
    <w:rsid w:val="000F6E69"/>
    <w:rsid w:val="000F7043"/>
    <w:rsid w:val="000F709D"/>
    <w:rsid w:val="000F771A"/>
    <w:rsid w:val="000F78EF"/>
    <w:rsid w:val="000F7AC7"/>
    <w:rsid w:val="000F7D64"/>
    <w:rsid w:val="0010021F"/>
    <w:rsid w:val="00100265"/>
    <w:rsid w:val="001002F2"/>
    <w:rsid w:val="00100451"/>
    <w:rsid w:val="00100790"/>
    <w:rsid w:val="00100ABB"/>
    <w:rsid w:val="00100BE0"/>
    <w:rsid w:val="00100ED3"/>
    <w:rsid w:val="001014CE"/>
    <w:rsid w:val="00101718"/>
    <w:rsid w:val="001017DC"/>
    <w:rsid w:val="00102349"/>
    <w:rsid w:val="0010259B"/>
    <w:rsid w:val="001025F2"/>
    <w:rsid w:val="00102CB8"/>
    <w:rsid w:val="00102F77"/>
    <w:rsid w:val="0010328F"/>
    <w:rsid w:val="001033E0"/>
    <w:rsid w:val="00103DE4"/>
    <w:rsid w:val="0010460B"/>
    <w:rsid w:val="001047F0"/>
    <w:rsid w:val="00104DEE"/>
    <w:rsid w:val="00105007"/>
    <w:rsid w:val="001055B5"/>
    <w:rsid w:val="0010561E"/>
    <w:rsid w:val="001057A7"/>
    <w:rsid w:val="00105A70"/>
    <w:rsid w:val="0010751B"/>
    <w:rsid w:val="0010772C"/>
    <w:rsid w:val="00107978"/>
    <w:rsid w:val="00107B52"/>
    <w:rsid w:val="00107CD4"/>
    <w:rsid w:val="00107F74"/>
    <w:rsid w:val="00110B94"/>
    <w:rsid w:val="00110BB3"/>
    <w:rsid w:val="00110DF2"/>
    <w:rsid w:val="00110E2B"/>
    <w:rsid w:val="001113AA"/>
    <w:rsid w:val="00111BCB"/>
    <w:rsid w:val="00111E79"/>
    <w:rsid w:val="00111F26"/>
    <w:rsid w:val="0011259E"/>
    <w:rsid w:val="001127A5"/>
    <w:rsid w:val="00112A33"/>
    <w:rsid w:val="0011306F"/>
    <w:rsid w:val="001130C9"/>
    <w:rsid w:val="00113651"/>
    <w:rsid w:val="00113FAB"/>
    <w:rsid w:val="0011467C"/>
    <w:rsid w:val="001148FE"/>
    <w:rsid w:val="00114FED"/>
    <w:rsid w:val="001151FC"/>
    <w:rsid w:val="00115438"/>
    <w:rsid w:val="001154A0"/>
    <w:rsid w:val="001157C8"/>
    <w:rsid w:val="001158F8"/>
    <w:rsid w:val="00115C88"/>
    <w:rsid w:val="00115CB5"/>
    <w:rsid w:val="00115F5A"/>
    <w:rsid w:val="00115F96"/>
    <w:rsid w:val="00116512"/>
    <w:rsid w:val="00116561"/>
    <w:rsid w:val="00116D5A"/>
    <w:rsid w:val="00117928"/>
    <w:rsid w:val="00117994"/>
    <w:rsid w:val="00117AA0"/>
    <w:rsid w:val="00120228"/>
    <w:rsid w:val="001204FD"/>
    <w:rsid w:val="00120ECB"/>
    <w:rsid w:val="0012166A"/>
    <w:rsid w:val="00121D49"/>
    <w:rsid w:val="00122123"/>
    <w:rsid w:val="00122223"/>
    <w:rsid w:val="0012298F"/>
    <w:rsid w:val="00123009"/>
    <w:rsid w:val="00123135"/>
    <w:rsid w:val="00123655"/>
    <w:rsid w:val="0012436B"/>
    <w:rsid w:val="00125127"/>
    <w:rsid w:val="00125A8E"/>
    <w:rsid w:val="00126003"/>
    <w:rsid w:val="001267F2"/>
    <w:rsid w:val="00126DED"/>
    <w:rsid w:val="001270E7"/>
    <w:rsid w:val="0012748D"/>
    <w:rsid w:val="0012773F"/>
    <w:rsid w:val="00127BAC"/>
    <w:rsid w:val="00127BFA"/>
    <w:rsid w:val="0013003E"/>
    <w:rsid w:val="00130168"/>
    <w:rsid w:val="001301E3"/>
    <w:rsid w:val="00130E68"/>
    <w:rsid w:val="001310D5"/>
    <w:rsid w:val="0013229C"/>
    <w:rsid w:val="00132501"/>
    <w:rsid w:val="00133A1B"/>
    <w:rsid w:val="00133BBC"/>
    <w:rsid w:val="00133E0A"/>
    <w:rsid w:val="0013452A"/>
    <w:rsid w:val="00134B5C"/>
    <w:rsid w:val="0013519C"/>
    <w:rsid w:val="001356F8"/>
    <w:rsid w:val="00135828"/>
    <w:rsid w:val="00135C79"/>
    <w:rsid w:val="00136170"/>
    <w:rsid w:val="001364C8"/>
    <w:rsid w:val="001369F7"/>
    <w:rsid w:val="00136A51"/>
    <w:rsid w:val="00136BD5"/>
    <w:rsid w:val="00136E08"/>
    <w:rsid w:val="00136F19"/>
    <w:rsid w:val="00137014"/>
    <w:rsid w:val="001370EE"/>
    <w:rsid w:val="0013730F"/>
    <w:rsid w:val="00137473"/>
    <w:rsid w:val="00137A53"/>
    <w:rsid w:val="001405AD"/>
    <w:rsid w:val="00140CB7"/>
    <w:rsid w:val="001411FA"/>
    <w:rsid w:val="00141416"/>
    <w:rsid w:val="00141691"/>
    <w:rsid w:val="00141B4B"/>
    <w:rsid w:val="001427D8"/>
    <w:rsid w:val="00142A94"/>
    <w:rsid w:val="00142F41"/>
    <w:rsid w:val="001444F0"/>
    <w:rsid w:val="001446B1"/>
    <w:rsid w:val="001446C1"/>
    <w:rsid w:val="00144804"/>
    <w:rsid w:val="0014495C"/>
    <w:rsid w:val="001449C0"/>
    <w:rsid w:val="001452C0"/>
    <w:rsid w:val="001455E6"/>
    <w:rsid w:val="00145D8A"/>
    <w:rsid w:val="00146752"/>
    <w:rsid w:val="00146A35"/>
    <w:rsid w:val="00146CF7"/>
    <w:rsid w:val="00146D8B"/>
    <w:rsid w:val="001473EA"/>
    <w:rsid w:val="001475DC"/>
    <w:rsid w:val="00147AB1"/>
    <w:rsid w:val="001503E0"/>
    <w:rsid w:val="001506C4"/>
    <w:rsid w:val="00150A1A"/>
    <w:rsid w:val="00150B07"/>
    <w:rsid w:val="00150DB9"/>
    <w:rsid w:val="00150F32"/>
    <w:rsid w:val="001511F8"/>
    <w:rsid w:val="00151D86"/>
    <w:rsid w:val="00151F42"/>
    <w:rsid w:val="0015270E"/>
    <w:rsid w:val="0015328B"/>
    <w:rsid w:val="00153307"/>
    <w:rsid w:val="00153720"/>
    <w:rsid w:val="00153B81"/>
    <w:rsid w:val="00153E10"/>
    <w:rsid w:val="00153FA5"/>
    <w:rsid w:val="001540B2"/>
    <w:rsid w:val="00154277"/>
    <w:rsid w:val="001542B4"/>
    <w:rsid w:val="001546B7"/>
    <w:rsid w:val="00154D90"/>
    <w:rsid w:val="00155089"/>
    <w:rsid w:val="001554D2"/>
    <w:rsid w:val="0015553F"/>
    <w:rsid w:val="00155D91"/>
    <w:rsid w:val="00156195"/>
    <w:rsid w:val="001565B8"/>
    <w:rsid w:val="001573C9"/>
    <w:rsid w:val="001578D4"/>
    <w:rsid w:val="00160234"/>
    <w:rsid w:val="0016045C"/>
    <w:rsid w:val="00160A5E"/>
    <w:rsid w:val="00160ABE"/>
    <w:rsid w:val="00160F1D"/>
    <w:rsid w:val="00160F6B"/>
    <w:rsid w:val="00161663"/>
    <w:rsid w:val="00161C77"/>
    <w:rsid w:val="00161CDD"/>
    <w:rsid w:val="00162880"/>
    <w:rsid w:val="00162AA3"/>
    <w:rsid w:val="00162AA9"/>
    <w:rsid w:val="00162B91"/>
    <w:rsid w:val="00163197"/>
    <w:rsid w:val="00163287"/>
    <w:rsid w:val="00163290"/>
    <w:rsid w:val="001633B1"/>
    <w:rsid w:val="0016436B"/>
    <w:rsid w:val="0016455F"/>
    <w:rsid w:val="0016488F"/>
    <w:rsid w:val="001651D6"/>
    <w:rsid w:val="00165290"/>
    <w:rsid w:val="00165293"/>
    <w:rsid w:val="00165C0B"/>
    <w:rsid w:val="00165C74"/>
    <w:rsid w:val="00165EFB"/>
    <w:rsid w:val="001661A6"/>
    <w:rsid w:val="001661D8"/>
    <w:rsid w:val="001661F6"/>
    <w:rsid w:val="0016657F"/>
    <w:rsid w:val="001670D7"/>
    <w:rsid w:val="0017040E"/>
    <w:rsid w:val="00170D93"/>
    <w:rsid w:val="00171012"/>
    <w:rsid w:val="00171340"/>
    <w:rsid w:val="00172979"/>
    <w:rsid w:val="00172A0E"/>
    <w:rsid w:val="00172C62"/>
    <w:rsid w:val="00172D03"/>
    <w:rsid w:val="001735B0"/>
    <w:rsid w:val="00173778"/>
    <w:rsid w:val="00173BC8"/>
    <w:rsid w:val="00173EA3"/>
    <w:rsid w:val="00173FF5"/>
    <w:rsid w:val="001741FC"/>
    <w:rsid w:val="00174885"/>
    <w:rsid w:val="00174BE0"/>
    <w:rsid w:val="00174E9C"/>
    <w:rsid w:val="001750FD"/>
    <w:rsid w:val="00175430"/>
    <w:rsid w:val="00175806"/>
    <w:rsid w:val="00175915"/>
    <w:rsid w:val="00175935"/>
    <w:rsid w:val="00175ACF"/>
    <w:rsid w:val="001761CE"/>
    <w:rsid w:val="00176433"/>
    <w:rsid w:val="001766DA"/>
    <w:rsid w:val="00176A44"/>
    <w:rsid w:val="00176EF2"/>
    <w:rsid w:val="00177C27"/>
    <w:rsid w:val="00177C74"/>
    <w:rsid w:val="00180552"/>
    <w:rsid w:val="00180DC7"/>
    <w:rsid w:val="001818F1"/>
    <w:rsid w:val="00181E2E"/>
    <w:rsid w:val="00181EA0"/>
    <w:rsid w:val="001821A3"/>
    <w:rsid w:val="00182AB2"/>
    <w:rsid w:val="00182C63"/>
    <w:rsid w:val="00183665"/>
    <w:rsid w:val="00183915"/>
    <w:rsid w:val="00183D35"/>
    <w:rsid w:val="001844C7"/>
    <w:rsid w:val="001850F3"/>
    <w:rsid w:val="00185179"/>
    <w:rsid w:val="0018520B"/>
    <w:rsid w:val="00185581"/>
    <w:rsid w:val="00185F0B"/>
    <w:rsid w:val="001864AC"/>
    <w:rsid w:val="001867D4"/>
    <w:rsid w:val="00186998"/>
    <w:rsid w:val="00186A73"/>
    <w:rsid w:val="00186E1B"/>
    <w:rsid w:val="001900F2"/>
    <w:rsid w:val="00190595"/>
    <w:rsid w:val="001905F6"/>
    <w:rsid w:val="001907FC"/>
    <w:rsid w:val="001908B6"/>
    <w:rsid w:val="00190A9D"/>
    <w:rsid w:val="00191275"/>
    <w:rsid w:val="0019141A"/>
    <w:rsid w:val="00191A3F"/>
    <w:rsid w:val="00191E35"/>
    <w:rsid w:val="00192616"/>
    <w:rsid w:val="00192B81"/>
    <w:rsid w:val="00192D93"/>
    <w:rsid w:val="00192F52"/>
    <w:rsid w:val="00193269"/>
    <w:rsid w:val="001934B6"/>
    <w:rsid w:val="001936C7"/>
    <w:rsid w:val="00193DD2"/>
    <w:rsid w:val="00193E25"/>
    <w:rsid w:val="00194747"/>
    <w:rsid w:val="00194C03"/>
    <w:rsid w:val="00194F4C"/>
    <w:rsid w:val="00195072"/>
    <w:rsid w:val="0019526A"/>
    <w:rsid w:val="00195540"/>
    <w:rsid w:val="00196483"/>
    <w:rsid w:val="00196A0A"/>
    <w:rsid w:val="00197E69"/>
    <w:rsid w:val="001A038E"/>
    <w:rsid w:val="001A0652"/>
    <w:rsid w:val="001A0A53"/>
    <w:rsid w:val="001A0DB8"/>
    <w:rsid w:val="001A1558"/>
    <w:rsid w:val="001A19E4"/>
    <w:rsid w:val="001A1FC0"/>
    <w:rsid w:val="001A233F"/>
    <w:rsid w:val="001A2C96"/>
    <w:rsid w:val="001A39E0"/>
    <w:rsid w:val="001A469F"/>
    <w:rsid w:val="001A5417"/>
    <w:rsid w:val="001A587E"/>
    <w:rsid w:val="001A5A6E"/>
    <w:rsid w:val="001A6076"/>
    <w:rsid w:val="001A6635"/>
    <w:rsid w:val="001A684C"/>
    <w:rsid w:val="001A7227"/>
    <w:rsid w:val="001A793B"/>
    <w:rsid w:val="001B040E"/>
    <w:rsid w:val="001B0544"/>
    <w:rsid w:val="001B0925"/>
    <w:rsid w:val="001B0E6E"/>
    <w:rsid w:val="001B1862"/>
    <w:rsid w:val="001B2590"/>
    <w:rsid w:val="001B26DA"/>
    <w:rsid w:val="001B2C2F"/>
    <w:rsid w:val="001B4043"/>
    <w:rsid w:val="001B4867"/>
    <w:rsid w:val="001B4987"/>
    <w:rsid w:val="001B4ABA"/>
    <w:rsid w:val="001B51BF"/>
    <w:rsid w:val="001B5525"/>
    <w:rsid w:val="001B5561"/>
    <w:rsid w:val="001B58D3"/>
    <w:rsid w:val="001B5CEA"/>
    <w:rsid w:val="001B62FB"/>
    <w:rsid w:val="001B64C4"/>
    <w:rsid w:val="001B6562"/>
    <w:rsid w:val="001B6627"/>
    <w:rsid w:val="001B6869"/>
    <w:rsid w:val="001B7002"/>
    <w:rsid w:val="001B776F"/>
    <w:rsid w:val="001B78F3"/>
    <w:rsid w:val="001B7C26"/>
    <w:rsid w:val="001C005B"/>
    <w:rsid w:val="001C04FA"/>
    <w:rsid w:val="001C0B11"/>
    <w:rsid w:val="001C0B2B"/>
    <w:rsid w:val="001C0D46"/>
    <w:rsid w:val="001C0F61"/>
    <w:rsid w:val="001C107A"/>
    <w:rsid w:val="001C10B2"/>
    <w:rsid w:val="001C1118"/>
    <w:rsid w:val="001C1168"/>
    <w:rsid w:val="001C1242"/>
    <w:rsid w:val="001C187B"/>
    <w:rsid w:val="001C1928"/>
    <w:rsid w:val="001C1E83"/>
    <w:rsid w:val="001C1F9B"/>
    <w:rsid w:val="001C1FCF"/>
    <w:rsid w:val="001C23AD"/>
    <w:rsid w:val="001C23F2"/>
    <w:rsid w:val="001C2569"/>
    <w:rsid w:val="001C2616"/>
    <w:rsid w:val="001C2771"/>
    <w:rsid w:val="001C2D7D"/>
    <w:rsid w:val="001C2EC1"/>
    <w:rsid w:val="001C3226"/>
    <w:rsid w:val="001C3251"/>
    <w:rsid w:val="001C32A1"/>
    <w:rsid w:val="001C3411"/>
    <w:rsid w:val="001C3742"/>
    <w:rsid w:val="001C3B2C"/>
    <w:rsid w:val="001C3CB0"/>
    <w:rsid w:val="001C4379"/>
    <w:rsid w:val="001C5116"/>
    <w:rsid w:val="001C5789"/>
    <w:rsid w:val="001C59CC"/>
    <w:rsid w:val="001C6D94"/>
    <w:rsid w:val="001C6F6D"/>
    <w:rsid w:val="001C744D"/>
    <w:rsid w:val="001C7F38"/>
    <w:rsid w:val="001D0602"/>
    <w:rsid w:val="001D07B2"/>
    <w:rsid w:val="001D143C"/>
    <w:rsid w:val="001D14C2"/>
    <w:rsid w:val="001D18BE"/>
    <w:rsid w:val="001D1CC4"/>
    <w:rsid w:val="001D3496"/>
    <w:rsid w:val="001D37EF"/>
    <w:rsid w:val="001D3AD1"/>
    <w:rsid w:val="001D4659"/>
    <w:rsid w:val="001D4830"/>
    <w:rsid w:val="001D4F43"/>
    <w:rsid w:val="001D5D17"/>
    <w:rsid w:val="001D613B"/>
    <w:rsid w:val="001D75A1"/>
    <w:rsid w:val="001D783A"/>
    <w:rsid w:val="001D7A47"/>
    <w:rsid w:val="001D7BC7"/>
    <w:rsid w:val="001D7DBD"/>
    <w:rsid w:val="001E0342"/>
    <w:rsid w:val="001E0EB5"/>
    <w:rsid w:val="001E0ED1"/>
    <w:rsid w:val="001E1C17"/>
    <w:rsid w:val="001E1ED5"/>
    <w:rsid w:val="001E2267"/>
    <w:rsid w:val="001E29DE"/>
    <w:rsid w:val="001E2B6A"/>
    <w:rsid w:val="001E3066"/>
    <w:rsid w:val="001E30F8"/>
    <w:rsid w:val="001E3412"/>
    <w:rsid w:val="001E35BA"/>
    <w:rsid w:val="001E3D18"/>
    <w:rsid w:val="001E3F92"/>
    <w:rsid w:val="001E4329"/>
    <w:rsid w:val="001E45F4"/>
    <w:rsid w:val="001E4901"/>
    <w:rsid w:val="001E4E2C"/>
    <w:rsid w:val="001E4F7D"/>
    <w:rsid w:val="001E51BA"/>
    <w:rsid w:val="001E54A7"/>
    <w:rsid w:val="001E5602"/>
    <w:rsid w:val="001E5BD7"/>
    <w:rsid w:val="001E60FE"/>
    <w:rsid w:val="001E6157"/>
    <w:rsid w:val="001E62DE"/>
    <w:rsid w:val="001E635B"/>
    <w:rsid w:val="001E6827"/>
    <w:rsid w:val="001E6A05"/>
    <w:rsid w:val="001E6D28"/>
    <w:rsid w:val="001E6FAB"/>
    <w:rsid w:val="001E7091"/>
    <w:rsid w:val="001E70DF"/>
    <w:rsid w:val="001E7410"/>
    <w:rsid w:val="001E796B"/>
    <w:rsid w:val="001F07A5"/>
    <w:rsid w:val="001F0F06"/>
    <w:rsid w:val="001F12E9"/>
    <w:rsid w:val="001F1858"/>
    <w:rsid w:val="001F1B09"/>
    <w:rsid w:val="001F1B58"/>
    <w:rsid w:val="001F215B"/>
    <w:rsid w:val="001F2603"/>
    <w:rsid w:val="001F2BDB"/>
    <w:rsid w:val="001F2C38"/>
    <w:rsid w:val="001F355E"/>
    <w:rsid w:val="001F3A45"/>
    <w:rsid w:val="001F3DEB"/>
    <w:rsid w:val="001F461E"/>
    <w:rsid w:val="001F4BAE"/>
    <w:rsid w:val="001F4ED8"/>
    <w:rsid w:val="001F55B6"/>
    <w:rsid w:val="001F56C9"/>
    <w:rsid w:val="001F5967"/>
    <w:rsid w:val="001F5B5A"/>
    <w:rsid w:val="001F7034"/>
    <w:rsid w:val="001F7138"/>
    <w:rsid w:val="001F72C3"/>
    <w:rsid w:val="001F72D0"/>
    <w:rsid w:val="001F786D"/>
    <w:rsid w:val="001F7B10"/>
    <w:rsid w:val="001F7D27"/>
    <w:rsid w:val="002000B0"/>
    <w:rsid w:val="002001B5"/>
    <w:rsid w:val="002006BA"/>
    <w:rsid w:val="0020198B"/>
    <w:rsid w:val="00201AA1"/>
    <w:rsid w:val="00202A11"/>
    <w:rsid w:val="002033D7"/>
    <w:rsid w:val="002042F9"/>
    <w:rsid w:val="00204334"/>
    <w:rsid w:val="002046CB"/>
    <w:rsid w:val="00204C69"/>
    <w:rsid w:val="00204D02"/>
    <w:rsid w:val="00205A99"/>
    <w:rsid w:val="00206C37"/>
    <w:rsid w:val="00206F8E"/>
    <w:rsid w:val="002070DD"/>
    <w:rsid w:val="00207CB2"/>
    <w:rsid w:val="00207EF9"/>
    <w:rsid w:val="00207F5F"/>
    <w:rsid w:val="002101EF"/>
    <w:rsid w:val="002107FE"/>
    <w:rsid w:val="00210A19"/>
    <w:rsid w:val="00210DC9"/>
    <w:rsid w:val="002113C9"/>
    <w:rsid w:val="00211DC1"/>
    <w:rsid w:val="00212ACE"/>
    <w:rsid w:val="00212AFA"/>
    <w:rsid w:val="00212D71"/>
    <w:rsid w:val="00213163"/>
    <w:rsid w:val="00213239"/>
    <w:rsid w:val="00213298"/>
    <w:rsid w:val="0021463E"/>
    <w:rsid w:val="00214979"/>
    <w:rsid w:val="002151B6"/>
    <w:rsid w:val="00215303"/>
    <w:rsid w:val="00216047"/>
    <w:rsid w:val="002161B8"/>
    <w:rsid w:val="00216508"/>
    <w:rsid w:val="00216733"/>
    <w:rsid w:val="002167BA"/>
    <w:rsid w:val="00220B99"/>
    <w:rsid w:val="00221051"/>
    <w:rsid w:val="002212D3"/>
    <w:rsid w:val="002213B0"/>
    <w:rsid w:val="00221ACC"/>
    <w:rsid w:val="00221FDA"/>
    <w:rsid w:val="0022212C"/>
    <w:rsid w:val="002225A0"/>
    <w:rsid w:val="00223130"/>
    <w:rsid w:val="00223299"/>
    <w:rsid w:val="0022337D"/>
    <w:rsid w:val="0022341C"/>
    <w:rsid w:val="002239CB"/>
    <w:rsid w:val="00224605"/>
    <w:rsid w:val="00224741"/>
    <w:rsid w:val="00224806"/>
    <w:rsid w:val="002248D4"/>
    <w:rsid w:val="00224A62"/>
    <w:rsid w:val="00225332"/>
    <w:rsid w:val="00225880"/>
    <w:rsid w:val="00225998"/>
    <w:rsid w:val="00225B36"/>
    <w:rsid w:val="00225B5D"/>
    <w:rsid w:val="00225E24"/>
    <w:rsid w:val="002261AF"/>
    <w:rsid w:val="0022654E"/>
    <w:rsid w:val="00226576"/>
    <w:rsid w:val="00226C22"/>
    <w:rsid w:val="00226FDA"/>
    <w:rsid w:val="0022746F"/>
    <w:rsid w:val="00227E38"/>
    <w:rsid w:val="00230314"/>
    <w:rsid w:val="0023055A"/>
    <w:rsid w:val="00230855"/>
    <w:rsid w:val="00230A1F"/>
    <w:rsid w:val="00230DE4"/>
    <w:rsid w:val="00230FA3"/>
    <w:rsid w:val="00231447"/>
    <w:rsid w:val="002315BC"/>
    <w:rsid w:val="002316B1"/>
    <w:rsid w:val="00231866"/>
    <w:rsid w:val="002319AD"/>
    <w:rsid w:val="00231C7B"/>
    <w:rsid w:val="00231D92"/>
    <w:rsid w:val="002322DB"/>
    <w:rsid w:val="00232456"/>
    <w:rsid w:val="00233C16"/>
    <w:rsid w:val="002340F5"/>
    <w:rsid w:val="00234B9B"/>
    <w:rsid w:val="00234C90"/>
    <w:rsid w:val="00234F5E"/>
    <w:rsid w:val="00235250"/>
    <w:rsid w:val="002356A1"/>
    <w:rsid w:val="002364B6"/>
    <w:rsid w:val="002366E7"/>
    <w:rsid w:val="00236741"/>
    <w:rsid w:val="00236B5F"/>
    <w:rsid w:val="00236D7F"/>
    <w:rsid w:val="00237522"/>
    <w:rsid w:val="00237AB4"/>
    <w:rsid w:val="00237FE2"/>
    <w:rsid w:val="0024045D"/>
    <w:rsid w:val="0024064E"/>
    <w:rsid w:val="002408D2"/>
    <w:rsid w:val="0024090C"/>
    <w:rsid w:val="00240AC4"/>
    <w:rsid w:val="00240B02"/>
    <w:rsid w:val="00240E46"/>
    <w:rsid w:val="002414DF"/>
    <w:rsid w:val="00241526"/>
    <w:rsid w:val="00241582"/>
    <w:rsid w:val="00241913"/>
    <w:rsid w:val="002419EE"/>
    <w:rsid w:val="00241A40"/>
    <w:rsid w:val="00241AF5"/>
    <w:rsid w:val="002429B4"/>
    <w:rsid w:val="00242B0D"/>
    <w:rsid w:val="00242C64"/>
    <w:rsid w:val="00242CFA"/>
    <w:rsid w:val="002431EB"/>
    <w:rsid w:val="00243D01"/>
    <w:rsid w:val="00243EA2"/>
    <w:rsid w:val="002442D6"/>
    <w:rsid w:val="00244A47"/>
    <w:rsid w:val="00244BEF"/>
    <w:rsid w:val="00245150"/>
    <w:rsid w:val="002451BA"/>
    <w:rsid w:val="00245415"/>
    <w:rsid w:val="00245D96"/>
    <w:rsid w:val="00246382"/>
    <w:rsid w:val="00246576"/>
    <w:rsid w:val="0024660D"/>
    <w:rsid w:val="002468FE"/>
    <w:rsid w:val="00246D19"/>
    <w:rsid w:val="00247573"/>
    <w:rsid w:val="002476D5"/>
    <w:rsid w:val="00247787"/>
    <w:rsid w:val="00247A78"/>
    <w:rsid w:val="002500CB"/>
    <w:rsid w:val="00250A21"/>
    <w:rsid w:val="00250DD5"/>
    <w:rsid w:val="00250FEC"/>
    <w:rsid w:val="0025120E"/>
    <w:rsid w:val="00251396"/>
    <w:rsid w:val="00251637"/>
    <w:rsid w:val="00251A26"/>
    <w:rsid w:val="00252167"/>
    <w:rsid w:val="002528C2"/>
    <w:rsid w:val="00252EDC"/>
    <w:rsid w:val="0025321F"/>
    <w:rsid w:val="002535A8"/>
    <w:rsid w:val="0025373A"/>
    <w:rsid w:val="002538A9"/>
    <w:rsid w:val="002538D2"/>
    <w:rsid w:val="00253E27"/>
    <w:rsid w:val="00253E66"/>
    <w:rsid w:val="002548C2"/>
    <w:rsid w:val="002549DC"/>
    <w:rsid w:val="00254EFE"/>
    <w:rsid w:val="00255442"/>
    <w:rsid w:val="002556AB"/>
    <w:rsid w:val="00255AA8"/>
    <w:rsid w:val="0025602D"/>
    <w:rsid w:val="0025620D"/>
    <w:rsid w:val="00256CD8"/>
    <w:rsid w:val="00256E0B"/>
    <w:rsid w:val="00257813"/>
    <w:rsid w:val="00257AFC"/>
    <w:rsid w:val="00259A39"/>
    <w:rsid w:val="00260D55"/>
    <w:rsid w:val="0026112E"/>
    <w:rsid w:val="00261A23"/>
    <w:rsid w:val="00261EE4"/>
    <w:rsid w:val="00262055"/>
    <w:rsid w:val="00262702"/>
    <w:rsid w:val="00262958"/>
    <w:rsid w:val="00262A87"/>
    <w:rsid w:val="00262CC4"/>
    <w:rsid w:val="00262E70"/>
    <w:rsid w:val="002635E8"/>
    <w:rsid w:val="0026373E"/>
    <w:rsid w:val="0026374F"/>
    <w:rsid w:val="0026383D"/>
    <w:rsid w:val="00263ECD"/>
    <w:rsid w:val="00264087"/>
    <w:rsid w:val="0026412F"/>
    <w:rsid w:val="002641A6"/>
    <w:rsid w:val="002651EF"/>
    <w:rsid w:val="0026556C"/>
    <w:rsid w:val="0026563F"/>
    <w:rsid w:val="00265676"/>
    <w:rsid w:val="00265682"/>
    <w:rsid w:val="00265849"/>
    <w:rsid w:val="00266075"/>
    <w:rsid w:val="00266196"/>
    <w:rsid w:val="002667EE"/>
    <w:rsid w:val="002667F4"/>
    <w:rsid w:val="002669C3"/>
    <w:rsid w:val="00266D79"/>
    <w:rsid w:val="002671C7"/>
    <w:rsid w:val="00267684"/>
    <w:rsid w:val="0026779F"/>
    <w:rsid w:val="00267EE7"/>
    <w:rsid w:val="00270945"/>
    <w:rsid w:val="00270DB0"/>
    <w:rsid w:val="002710F9"/>
    <w:rsid w:val="002718A2"/>
    <w:rsid w:val="00272010"/>
    <w:rsid w:val="002724C2"/>
    <w:rsid w:val="00272C8A"/>
    <w:rsid w:val="00273096"/>
    <w:rsid w:val="002733C6"/>
    <w:rsid w:val="00273958"/>
    <w:rsid w:val="00273B38"/>
    <w:rsid w:val="00273B97"/>
    <w:rsid w:val="002740E4"/>
    <w:rsid w:val="00274135"/>
    <w:rsid w:val="00274230"/>
    <w:rsid w:val="002742B8"/>
    <w:rsid w:val="002747D1"/>
    <w:rsid w:val="00275426"/>
    <w:rsid w:val="00275698"/>
    <w:rsid w:val="00275782"/>
    <w:rsid w:val="002758EE"/>
    <w:rsid w:val="00275ABB"/>
    <w:rsid w:val="00275DA0"/>
    <w:rsid w:val="002761A8"/>
    <w:rsid w:val="0027664E"/>
    <w:rsid w:val="00276684"/>
    <w:rsid w:val="002767FB"/>
    <w:rsid w:val="002769D7"/>
    <w:rsid w:val="00276B9C"/>
    <w:rsid w:val="00276E86"/>
    <w:rsid w:val="00276EA4"/>
    <w:rsid w:val="00277A23"/>
    <w:rsid w:val="00277D3C"/>
    <w:rsid w:val="00277D4A"/>
    <w:rsid w:val="00280656"/>
    <w:rsid w:val="00280B17"/>
    <w:rsid w:val="00280EAC"/>
    <w:rsid w:val="00280F30"/>
    <w:rsid w:val="00280FEE"/>
    <w:rsid w:val="00281A40"/>
    <w:rsid w:val="00281B85"/>
    <w:rsid w:val="00281FA9"/>
    <w:rsid w:val="0028209D"/>
    <w:rsid w:val="002831CF"/>
    <w:rsid w:val="00283A82"/>
    <w:rsid w:val="00283D28"/>
    <w:rsid w:val="0028403C"/>
    <w:rsid w:val="002842B9"/>
    <w:rsid w:val="002844E4"/>
    <w:rsid w:val="00284609"/>
    <w:rsid w:val="00284955"/>
    <w:rsid w:val="00284BCE"/>
    <w:rsid w:val="00284D53"/>
    <w:rsid w:val="0028501F"/>
    <w:rsid w:val="002850E1"/>
    <w:rsid w:val="00285180"/>
    <w:rsid w:val="00285754"/>
    <w:rsid w:val="00285D44"/>
    <w:rsid w:val="00285E76"/>
    <w:rsid w:val="002864BF"/>
    <w:rsid w:val="00286530"/>
    <w:rsid w:val="00286F86"/>
    <w:rsid w:val="00286FFF"/>
    <w:rsid w:val="002875BD"/>
    <w:rsid w:val="00287692"/>
    <w:rsid w:val="0028796C"/>
    <w:rsid w:val="00287A0E"/>
    <w:rsid w:val="00287C66"/>
    <w:rsid w:val="00287D51"/>
    <w:rsid w:val="00290917"/>
    <w:rsid w:val="00291326"/>
    <w:rsid w:val="00291D27"/>
    <w:rsid w:val="00292395"/>
    <w:rsid w:val="0029251D"/>
    <w:rsid w:val="0029283C"/>
    <w:rsid w:val="002931B2"/>
    <w:rsid w:val="0029327A"/>
    <w:rsid w:val="00293298"/>
    <w:rsid w:val="00293E3B"/>
    <w:rsid w:val="002941AF"/>
    <w:rsid w:val="002946E0"/>
    <w:rsid w:val="00294842"/>
    <w:rsid w:val="00294BCB"/>
    <w:rsid w:val="002950CB"/>
    <w:rsid w:val="00295979"/>
    <w:rsid w:val="00296488"/>
    <w:rsid w:val="0029685B"/>
    <w:rsid w:val="00296892"/>
    <w:rsid w:val="00296AA1"/>
    <w:rsid w:val="00297323"/>
    <w:rsid w:val="00297759"/>
    <w:rsid w:val="0029794F"/>
    <w:rsid w:val="00297B71"/>
    <w:rsid w:val="00297BF1"/>
    <w:rsid w:val="00297D49"/>
    <w:rsid w:val="00297F13"/>
    <w:rsid w:val="002A0034"/>
    <w:rsid w:val="002A003E"/>
    <w:rsid w:val="002A01C6"/>
    <w:rsid w:val="002A04AF"/>
    <w:rsid w:val="002A0694"/>
    <w:rsid w:val="002A074D"/>
    <w:rsid w:val="002A0D74"/>
    <w:rsid w:val="002A0F44"/>
    <w:rsid w:val="002A265E"/>
    <w:rsid w:val="002A2B3D"/>
    <w:rsid w:val="002A3740"/>
    <w:rsid w:val="002A38DC"/>
    <w:rsid w:val="002A42B8"/>
    <w:rsid w:val="002A4543"/>
    <w:rsid w:val="002A4599"/>
    <w:rsid w:val="002A4AAC"/>
    <w:rsid w:val="002A4D7B"/>
    <w:rsid w:val="002A4EE4"/>
    <w:rsid w:val="002A6544"/>
    <w:rsid w:val="002A7ABB"/>
    <w:rsid w:val="002A7AE6"/>
    <w:rsid w:val="002A7CC4"/>
    <w:rsid w:val="002B0197"/>
    <w:rsid w:val="002B116E"/>
    <w:rsid w:val="002B1879"/>
    <w:rsid w:val="002B19DB"/>
    <w:rsid w:val="002B1D90"/>
    <w:rsid w:val="002B1FBE"/>
    <w:rsid w:val="002B20C5"/>
    <w:rsid w:val="002B25CB"/>
    <w:rsid w:val="002B2989"/>
    <w:rsid w:val="002B2B28"/>
    <w:rsid w:val="002B2ECB"/>
    <w:rsid w:val="002B37AA"/>
    <w:rsid w:val="002B3841"/>
    <w:rsid w:val="002B3F13"/>
    <w:rsid w:val="002B4AC7"/>
    <w:rsid w:val="002B4CBB"/>
    <w:rsid w:val="002B4E07"/>
    <w:rsid w:val="002B5350"/>
    <w:rsid w:val="002B5536"/>
    <w:rsid w:val="002B573A"/>
    <w:rsid w:val="002B6094"/>
    <w:rsid w:val="002B6187"/>
    <w:rsid w:val="002B635B"/>
    <w:rsid w:val="002B6716"/>
    <w:rsid w:val="002B681E"/>
    <w:rsid w:val="002B710D"/>
    <w:rsid w:val="002B7649"/>
    <w:rsid w:val="002B7C01"/>
    <w:rsid w:val="002C057F"/>
    <w:rsid w:val="002C0996"/>
    <w:rsid w:val="002C0AFB"/>
    <w:rsid w:val="002C0D09"/>
    <w:rsid w:val="002C0D5B"/>
    <w:rsid w:val="002C1055"/>
    <w:rsid w:val="002C146C"/>
    <w:rsid w:val="002C15AB"/>
    <w:rsid w:val="002C17A9"/>
    <w:rsid w:val="002C18EC"/>
    <w:rsid w:val="002C1DA3"/>
    <w:rsid w:val="002C233E"/>
    <w:rsid w:val="002C273C"/>
    <w:rsid w:val="002C2823"/>
    <w:rsid w:val="002C2927"/>
    <w:rsid w:val="002C29EB"/>
    <w:rsid w:val="002C2A25"/>
    <w:rsid w:val="002C309B"/>
    <w:rsid w:val="002C3406"/>
    <w:rsid w:val="002C379F"/>
    <w:rsid w:val="002C3F03"/>
    <w:rsid w:val="002C3F9E"/>
    <w:rsid w:val="002C44D3"/>
    <w:rsid w:val="002C5041"/>
    <w:rsid w:val="002C5622"/>
    <w:rsid w:val="002C5E0D"/>
    <w:rsid w:val="002C6581"/>
    <w:rsid w:val="002C65E0"/>
    <w:rsid w:val="002C6756"/>
    <w:rsid w:val="002C6AD3"/>
    <w:rsid w:val="002C6DAC"/>
    <w:rsid w:val="002C7099"/>
    <w:rsid w:val="002C71CB"/>
    <w:rsid w:val="002C7631"/>
    <w:rsid w:val="002C7663"/>
    <w:rsid w:val="002C7B8B"/>
    <w:rsid w:val="002C7D46"/>
    <w:rsid w:val="002C7E8A"/>
    <w:rsid w:val="002D018A"/>
    <w:rsid w:val="002D01FE"/>
    <w:rsid w:val="002D04BD"/>
    <w:rsid w:val="002D0592"/>
    <w:rsid w:val="002D08AE"/>
    <w:rsid w:val="002D0D2F"/>
    <w:rsid w:val="002D1C11"/>
    <w:rsid w:val="002D1DA6"/>
    <w:rsid w:val="002D1F6A"/>
    <w:rsid w:val="002D264C"/>
    <w:rsid w:val="002D3265"/>
    <w:rsid w:val="002D3686"/>
    <w:rsid w:val="002D3976"/>
    <w:rsid w:val="002D44F9"/>
    <w:rsid w:val="002D4902"/>
    <w:rsid w:val="002D4B11"/>
    <w:rsid w:val="002D51B4"/>
    <w:rsid w:val="002D530E"/>
    <w:rsid w:val="002D5428"/>
    <w:rsid w:val="002D5A05"/>
    <w:rsid w:val="002D5A8A"/>
    <w:rsid w:val="002D60CD"/>
    <w:rsid w:val="002D6288"/>
    <w:rsid w:val="002D62C2"/>
    <w:rsid w:val="002D6313"/>
    <w:rsid w:val="002D68F7"/>
    <w:rsid w:val="002D6BF1"/>
    <w:rsid w:val="002D6CC9"/>
    <w:rsid w:val="002D6F5B"/>
    <w:rsid w:val="002E01A9"/>
    <w:rsid w:val="002E05F6"/>
    <w:rsid w:val="002E0B0F"/>
    <w:rsid w:val="002E11E2"/>
    <w:rsid w:val="002E13EE"/>
    <w:rsid w:val="002E183F"/>
    <w:rsid w:val="002E19A4"/>
    <w:rsid w:val="002E1E32"/>
    <w:rsid w:val="002E1F87"/>
    <w:rsid w:val="002E2B42"/>
    <w:rsid w:val="002E2F99"/>
    <w:rsid w:val="002E30DD"/>
    <w:rsid w:val="002E3202"/>
    <w:rsid w:val="002E323A"/>
    <w:rsid w:val="002E38BA"/>
    <w:rsid w:val="002E3E73"/>
    <w:rsid w:val="002E3EBB"/>
    <w:rsid w:val="002E40BD"/>
    <w:rsid w:val="002E40EB"/>
    <w:rsid w:val="002E419E"/>
    <w:rsid w:val="002E45B3"/>
    <w:rsid w:val="002E46BC"/>
    <w:rsid w:val="002E4A1F"/>
    <w:rsid w:val="002E4D35"/>
    <w:rsid w:val="002E4DF6"/>
    <w:rsid w:val="002E552C"/>
    <w:rsid w:val="002E56D0"/>
    <w:rsid w:val="002E5971"/>
    <w:rsid w:val="002E5CDF"/>
    <w:rsid w:val="002E60F1"/>
    <w:rsid w:val="002E67B2"/>
    <w:rsid w:val="002E7196"/>
    <w:rsid w:val="002E74DF"/>
    <w:rsid w:val="002E7891"/>
    <w:rsid w:val="002E7A68"/>
    <w:rsid w:val="002F0452"/>
    <w:rsid w:val="002F06A7"/>
    <w:rsid w:val="002F1AA6"/>
    <w:rsid w:val="002F22F6"/>
    <w:rsid w:val="002F2393"/>
    <w:rsid w:val="002F26D5"/>
    <w:rsid w:val="002F2D70"/>
    <w:rsid w:val="002F391E"/>
    <w:rsid w:val="002F3A4E"/>
    <w:rsid w:val="002F3C55"/>
    <w:rsid w:val="002F401B"/>
    <w:rsid w:val="002F4486"/>
    <w:rsid w:val="002F4832"/>
    <w:rsid w:val="002F4A0E"/>
    <w:rsid w:val="002F4CDA"/>
    <w:rsid w:val="002F55A0"/>
    <w:rsid w:val="002F55D5"/>
    <w:rsid w:val="002F5A30"/>
    <w:rsid w:val="002F5E43"/>
    <w:rsid w:val="002F6887"/>
    <w:rsid w:val="002F68B3"/>
    <w:rsid w:val="002F6BA1"/>
    <w:rsid w:val="002F6C10"/>
    <w:rsid w:val="002F6DC5"/>
    <w:rsid w:val="002F6E59"/>
    <w:rsid w:val="002F7D64"/>
    <w:rsid w:val="002F7F52"/>
    <w:rsid w:val="003003AC"/>
    <w:rsid w:val="00300864"/>
    <w:rsid w:val="003009A3"/>
    <w:rsid w:val="00300A09"/>
    <w:rsid w:val="00300B01"/>
    <w:rsid w:val="0030133D"/>
    <w:rsid w:val="003013B6"/>
    <w:rsid w:val="003015CF"/>
    <w:rsid w:val="00301E2D"/>
    <w:rsid w:val="003023A5"/>
    <w:rsid w:val="00302670"/>
    <w:rsid w:val="003027A4"/>
    <w:rsid w:val="00302DA4"/>
    <w:rsid w:val="00302E39"/>
    <w:rsid w:val="0030378F"/>
    <w:rsid w:val="00303880"/>
    <w:rsid w:val="0030523D"/>
    <w:rsid w:val="003055E3"/>
    <w:rsid w:val="00305B28"/>
    <w:rsid w:val="00307CDE"/>
    <w:rsid w:val="003104D9"/>
    <w:rsid w:val="003105A5"/>
    <w:rsid w:val="00310EC4"/>
    <w:rsid w:val="00311072"/>
    <w:rsid w:val="0031150D"/>
    <w:rsid w:val="00311597"/>
    <w:rsid w:val="003119BC"/>
    <w:rsid w:val="00312314"/>
    <w:rsid w:val="00312375"/>
    <w:rsid w:val="00312795"/>
    <w:rsid w:val="003131FD"/>
    <w:rsid w:val="003133EA"/>
    <w:rsid w:val="00313953"/>
    <w:rsid w:val="00313CDA"/>
    <w:rsid w:val="00313DAF"/>
    <w:rsid w:val="00313EE3"/>
    <w:rsid w:val="003146A3"/>
    <w:rsid w:val="00314AEE"/>
    <w:rsid w:val="0031541F"/>
    <w:rsid w:val="00315881"/>
    <w:rsid w:val="003158DF"/>
    <w:rsid w:val="00315F50"/>
    <w:rsid w:val="003162B4"/>
    <w:rsid w:val="0031634B"/>
    <w:rsid w:val="0031670C"/>
    <w:rsid w:val="0031674B"/>
    <w:rsid w:val="003172BC"/>
    <w:rsid w:val="003175D2"/>
    <w:rsid w:val="00317638"/>
    <w:rsid w:val="00317685"/>
    <w:rsid w:val="00317E6D"/>
    <w:rsid w:val="0032003D"/>
    <w:rsid w:val="0032022E"/>
    <w:rsid w:val="003207C9"/>
    <w:rsid w:val="003219BF"/>
    <w:rsid w:val="003219D7"/>
    <w:rsid w:val="00321E74"/>
    <w:rsid w:val="00321E97"/>
    <w:rsid w:val="00322734"/>
    <w:rsid w:val="00322811"/>
    <w:rsid w:val="00322A07"/>
    <w:rsid w:val="00322C9B"/>
    <w:rsid w:val="00322E8C"/>
    <w:rsid w:val="00323057"/>
    <w:rsid w:val="003232A8"/>
    <w:rsid w:val="00323374"/>
    <w:rsid w:val="0032408D"/>
    <w:rsid w:val="00324602"/>
    <w:rsid w:val="00324791"/>
    <w:rsid w:val="0032528F"/>
    <w:rsid w:val="003252D9"/>
    <w:rsid w:val="00325DF7"/>
    <w:rsid w:val="00325EAD"/>
    <w:rsid w:val="00326E4F"/>
    <w:rsid w:val="0032706F"/>
    <w:rsid w:val="0032712B"/>
    <w:rsid w:val="00327265"/>
    <w:rsid w:val="003276E7"/>
    <w:rsid w:val="00330145"/>
    <w:rsid w:val="0033178D"/>
    <w:rsid w:val="003318FA"/>
    <w:rsid w:val="003319D8"/>
    <w:rsid w:val="00331D56"/>
    <w:rsid w:val="00331D97"/>
    <w:rsid w:val="00331DA1"/>
    <w:rsid w:val="00331E41"/>
    <w:rsid w:val="00331EE8"/>
    <w:rsid w:val="0033203D"/>
    <w:rsid w:val="00332348"/>
    <w:rsid w:val="0033251E"/>
    <w:rsid w:val="00332947"/>
    <w:rsid w:val="00332BFF"/>
    <w:rsid w:val="00332C15"/>
    <w:rsid w:val="003333CF"/>
    <w:rsid w:val="0033367D"/>
    <w:rsid w:val="0033402F"/>
    <w:rsid w:val="00334227"/>
    <w:rsid w:val="00334765"/>
    <w:rsid w:val="00334D69"/>
    <w:rsid w:val="00334F05"/>
    <w:rsid w:val="0033524D"/>
    <w:rsid w:val="00335786"/>
    <w:rsid w:val="003359DA"/>
    <w:rsid w:val="00336501"/>
    <w:rsid w:val="003366DF"/>
    <w:rsid w:val="003368F2"/>
    <w:rsid w:val="00336E77"/>
    <w:rsid w:val="00336FC8"/>
    <w:rsid w:val="0033702C"/>
    <w:rsid w:val="003371FE"/>
    <w:rsid w:val="00337796"/>
    <w:rsid w:val="00337DCD"/>
    <w:rsid w:val="003403C8"/>
    <w:rsid w:val="0034040D"/>
    <w:rsid w:val="003405ED"/>
    <w:rsid w:val="00340774"/>
    <w:rsid w:val="003407F0"/>
    <w:rsid w:val="00340A34"/>
    <w:rsid w:val="00340CA2"/>
    <w:rsid w:val="00340E50"/>
    <w:rsid w:val="003410EC"/>
    <w:rsid w:val="00341BDC"/>
    <w:rsid w:val="00341CC0"/>
    <w:rsid w:val="0034248E"/>
    <w:rsid w:val="00342A4C"/>
    <w:rsid w:val="00342D91"/>
    <w:rsid w:val="00343F5C"/>
    <w:rsid w:val="003440CE"/>
    <w:rsid w:val="003443B0"/>
    <w:rsid w:val="003443F6"/>
    <w:rsid w:val="003445C3"/>
    <w:rsid w:val="00345615"/>
    <w:rsid w:val="00345845"/>
    <w:rsid w:val="00345A15"/>
    <w:rsid w:val="00345A25"/>
    <w:rsid w:val="00345CE4"/>
    <w:rsid w:val="003462D5"/>
    <w:rsid w:val="00346756"/>
    <w:rsid w:val="00346C5D"/>
    <w:rsid w:val="00347DFB"/>
    <w:rsid w:val="003502A0"/>
    <w:rsid w:val="00350555"/>
    <w:rsid w:val="00350ACC"/>
    <w:rsid w:val="00350D84"/>
    <w:rsid w:val="0035116E"/>
    <w:rsid w:val="003513CB"/>
    <w:rsid w:val="00351ACA"/>
    <w:rsid w:val="00352104"/>
    <w:rsid w:val="0035279B"/>
    <w:rsid w:val="00352E88"/>
    <w:rsid w:val="00352EAE"/>
    <w:rsid w:val="00353199"/>
    <w:rsid w:val="003535F2"/>
    <w:rsid w:val="0035360B"/>
    <w:rsid w:val="0035422B"/>
    <w:rsid w:val="003543D3"/>
    <w:rsid w:val="003546CA"/>
    <w:rsid w:val="003549F5"/>
    <w:rsid w:val="003558BF"/>
    <w:rsid w:val="00355A6F"/>
    <w:rsid w:val="00355C1B"/>
    <w:rsid w:val="00355D2F"/>
    <w:rsid w:val="00355E93"/>
    <w:rsid w:val="00356513"/>
    <w:rsid w:val="003569E2"/>
    <w:rsid w:val="00356AA4"/>
    <w:rsid w:val="0035705D"/>
    <w:rsid w:val="00357822"/>
    <w:rsid w:val="003578A5"/>
    <w:rsid w:val="00357B11"/>
    <w:rsid w:val="00357E5A"/>
    <w:rsid w:val="003602CA"/>
    <w:rsid w:val="0036091F"/>
    <w:rsid w:val="00360C54"/>
    <w:rsid w:val="00360D2B"/>
    <w:rsid w:val="00360D77"/>
    <w:rsid w:val="003617FA"/>
    <w:rsid w:val="0036180B"/>
    <w:rsid w:val="0036199D"/>
    <w:rsid w:val="00361AAD"/>
    <w:rsid w:val="00361C8F"/>
    <w:rsid w:val="003621F1"/>
    <w:rsid w:val="0036232A"/>
    <w:rsid w:val="00362873"/>
    <w:rsid w:val="00363725"/>
    <w:rsid w:val="00363B55"/>
    <w:rsid w:val="00363B6A"/>
    <w:rsid w:val="00363B92"/>
    <w:rsid w:val="00363F09"/>
    <w:rsid w:val="003643B7"/>
    <w:rsid w:val="00364443"/>
    <w:rsid w:val="00364842"/>
    <w:rsid w:val="00364960"/>
    <w:rsid w:val="003649B4"/>
    <w:rsid w:val="00364A24"/>
    <w:rsid w:val="003654A0"/>
    <w:rsid w:val="003657AF"/>
    <w:rsid w:val="003659A4"/>
    <w:rsid w:val="00365AC0"/>
    <w:rsid w:val="00365B36"/>
    <w:rsid w:val="00365BE1"/>
    <w:rsid w:val="00365E4F"/>
    <w:rsid w:val="00365EF3"/>
    <w:rsid w:val="003664CB"/>
    <w:rsid w:val="003664D1"/>
    <w:rsid w:val="0036664A"/>
    <w:rsid w:val="0036780D"/>
    <w:rsid w:val="00367B2F"/>
    <w:rsid w:val="00367E0E"/>
    <w:rsid w:val="0037026C"/>
    <w:rsid w:val="003705DF"/>
    <w:rsid w:val="00371310"/>
    <w:rsid w:val="0037135E"/>
    <w:rsid w:val="003713D4"/>
    <w:rsid w:val="003715AF"/>
    <w:rsid w:val="003716F8"/>
    <w:rsid w:val="00371942"/>
    <w:rsid w:val="00371A73"/>
    <w:rsid w:val="0037208A"/>
    <w:rsid w:val="00372565"/>
    <w:rsid w:val="003727B8"/>
    <w:rsid w:val="00372B37"/>
    <w:rsid w:val="00373FD2"/>
    <w:rsid w:val="0037465A"/>
    <w:rsid w:val="00374AD9"/>
    <w:rsid w:val="00374C6C"/>
    <w:rsid w:val="0037578F"/>
    <w:rsid w:val="00375943"/>
    <w:rsid w:val="00375AA1"/>
    <w:rsid w:val="00375E6A"/>
    <w:rsid w:val="003763EF"/>
    <w:rsid w:val="0037663C"/>
    <w:rsid w:val="0037736F"/>
    <w:rsid w:val="0037761F"/>
    <w:rsid w:val="00377637"/>
    <w:rsid w:val="00380136"/>
    <w:rsid w:val="00380272"/>
    <w:rsid w:val="003802F8"/>
    <w:rsid w:val="003803C1"/>
    <w:rsid w:val="003805C8"/>
    <w:rsid w:val="00380C06"/>
    <w:rsid w:val="00380C0E"/>
    <w:rsid w:val="00381585"/>
    <w:rsid w:val="003819DA"/>
    <w:rsid w:val="00381B61"/>
    <w:rsid w:val="003821D1"/>
    <w:rsid w:val="00382457"/>
    <w:rsid w:val="0038270F"/>
    <w:rsid w:val="003830A2"/>
    <w:rsid w:val="003831E0"/>
    <w:rsid w:val="00383EA6"/>
    <w:rsid w:val="00384A8C"/>
    <w:rsid w:val="00385984"/>
    <w:rsid w:val="00385F48"/>
    <w:rsid w:val="00386571"/>
    <w:rsid w:val="003867C0"/>
    <w:rsid w:val="003867DC"/>
    <w:rsid w:val="00386B9B"/>
    <w:rsid w:val="00386EB9"/>
    <w:rsid w:val="003873D4"/>
    <w:rsid w:val="0038754A"/>
    <w:rsid w:val="003906D0"/>
    <w:rsid w:val="00391724"/>
    <w:rsid w:val="0039187F"/>
    <w:rsid w:val="00391B40"/>
    <w:rsid w:val="00392669"/>
    <w:rsid w:val="003926C4"/>
    <w:rsid w:val="003928AA"/>
    <w:rsid w:val="00392B4B"/>
    <w:rsid w:val="00392C70"/>
    <w:rsid w:val="00392D50"/>
    <w:rsid w:val="0039316C"/>
    <w:rsid w:val="00393870"/>
    <w:rsid w:val="00393B83"/>
    <w:rsid w:val="00393F87"/>
    <w:rsid w:val="00394070"/>
    <w:rsid w:val="00394815"/>
    <w:rsid w:val="00394BC4"/>
    <w:rsid w:val="00394E30"/>
    <w:rsid w:val="003952F2"/>
    <w:rsid w:val="00395412"/>
    <w:rsid w:val="003956A2"/>
    <w:rsid w:val="00395AC0"/>
    <w:rsid w:val="00395C05"/>
    <w:rsid w:val="00395EF9"/>
    <w:rsid w:val="003963A9"/>
    <w:rsid w:val="0039669B"/>
    <w:rsid w:val="00396774"/>
    <w:rsid w:val="0039720C"/>
    <w:rsid w:val="003973C7"/>
    <w:rsid w:val="0039786F"/>
    <w:rsid w:val="0039797A"/>
    <w:rsid w:val="00397F97"/>
    <w:rsid w:val="003A019C"/>
    <w:rsid w:val="003A0DF9"/>
    <w:rsid w:val="003A10AD"/>
    <w:rsid w:val="003A130C"/>
    <w:rsid w:val="003A141B"/>
    <w:rsid w:val="003A1B6B"/>
    <w:rsid w:val="003A1C9F"/>
    <w:rsid w:val="003A1E55"/>
    <w:rsid w:val="003A1FD8"/>
    <w:rsid w:val="003A29B3"/>
    <w:rsid w:val="003A2B09"/>
    <w:rsid w:val="003A2E9F"/>
    <w:rsid w:val="003A330D"/>
    <w:rsid w:val="003A3B0C"/>
    <w:rsid w:val="003A3F4D"/>
    <w:rsid w:val="003A4074"/>
    <w:rsid w:val="003A4374"/>
    <w:rsid w:val="003A4BE1"/>
    <w:rsid w:val="003A4C16"/>
    <w:rsid w:val="003A4F45"/>
    <w:rsid w:val="003A556A"/>
    <w:rsid w:val="003A56CA"/>
    <w:rsid w:val="003A5818"/>
    <w:rsid w:val="003A5EBE"/>
    <w:rsid w:val="003A6A1E"/>
    <w:rsid w:val="003A6CD3"/>
    <w:rsid w:val="003A6D1C"/>
    <w:rsid w:val="003A7010"/>
    <w:rsid w:val="003A7424"/>
    <w:rsid w:val="003A7994"/>
    <w:rsid w:val="003B03C9"/>
    <w:rsid w:val="003B0780"/>
    <w:rsid w:val="003B0C88"/>
    <w:rsid w:val="003B0CA0"/>
    <w:rsid w:val="003B0E16"/>
    <w:rsid w:val="003B0E89"/>
    <w:rsid w:val="003B11DD"/>
    <w:rsid w:val="003B12A9"/>
    <w:rsid w:val="003B1703"/>
    <w:rsid w:val="003B17B2"/>
    <w:rsid w:val="003B19D6"/>
    <w:rsid w:val="003B1A46"/>
    <w:rsid w:val="003B1BCB"/>
    <w:rsid w:val="003B205B"/>
    <w:rsid w:val="003B2139"/>
    <w:rsid w:val="003B2E17"/>
    <w:rsid w:val="003B3015"/>
    <w:rsid w:val="003B3156"/>
    <w:rsid w:val="003B3158"/>
    <w:rsid w:val="003B3670"/>
    <w:rsid w:val="003B3AA2"/>
    <w:rsid w:val="003B4111"/>
    <w:rsid w:val="003B454C"/>
    <w:rsid w:val="003B496D"/>
    <w:rsid w:val="003B4EEC"/>
    <w:rsid w:val="003B4F9A"/>
    <w:rsid w:val="003B50B9"/>
    <w:rsid w:val="003B5303"/>
    <w:rsid w:val="003B57A2"/>
    <w:rsid w:val="003B5B62"/>
    <w:rsid w:val="003B5ECF"/>
    <w:rsid w:val="003B5FB9"/>
    <w:rsid w:val="003B643E"/>
    <w:rsid w:val="003B6633"/>
    <w:rsid w:val="003B678E"/>
    <w:rsid w:val="003B6CD4"/>
    <w:rsid w:val="003B7034"/>
    <w:rsid w:val="003B748D"/>
    <w:rsid w:val="003B7898"/>
    <w:rsid w:val="003B7A84"/>
    <w:rsid w:val="003B7C13"/>
    <w:rsid w:val="003C0056"/>
    <w:rsid w:val="003C0380"/>
    <w:rsid w:val="003C05CA"/>
    <w:rsid w:val="003C0666"/>
    <w:rsid w:val="003C097D"/>
    <w:rsid w:val="003C1225"/>
    <w:rsid w:val="003C13B9"/>
    <w:rsid w:val="003C1469"/>
    <w:rsid w:val="003C3000"/>
    <w:rsid w:val="003C30E5"/>
    <w:rsid w:val="003C350C"/>
    <w:rsid w:val="003C3903"/>
    <w:rsid w:val="003C3AB0"/>
    <w:rsid w:val="003C3B6F"/>
    <w:rsid w:val="003C3BFD"/>
    <w:rsid w:val="003C3DBA"/>
    <w:rsid w:val="003C3DEC"/>
    <w:rsid w:val="003C4508"/>
    <w:rsid w:val="003C5554"/>
    <w:rsid w:val="003C5753"/>
    <w:rsid w:val="003C6C5C"/>
    <w:rsid w:val="003C6E6A"/>
    <w:rsid w:val="003C7DB2"/>
    <w:rsid w:val="003D043E"/>
    <w:rsid w:val="003D0AAD"/>
    <w:rsid w:val="003D0B30"/>
    <w:rsid w:val="003D0F34"/>
    <w:rsid w:val="003D1463"/>
    <w:rsid w:val="003D14BE"/>
    <w:rsid w:val="003D21A5"/>
    <w:rsid w:val="003D23AC"/>
    <w:rsid w:val="003D23B4"/>
    <w:rsid w:val="003D26B5"/>
    <w:rsid w:val="003D28DE"/>
    <w:rsid w:val="003D33C4"/>
    <w:rsid w:val="003D3598"/>
    <w:rsid w:val="003D362B"/>
    <w:rsid w:val="003D4982"/>
    <w:rsid w:val="003D4C70"/>
    <w:rsid w:val="003D4D3E"/>
    <w:rsid w:val="003D4F53"/>
    <w:rsid w:val="003D4F93"/>
    <w:rsid w:val="003D4F99"/>
    <w:rsid w:val="003D513B"/>
    <w:rsid w:val="003D645F"/>
    <w:rsid w:val="003D6570"/>
    <w:rsid w:val="003D6989"/>
    <w:rsid w:val="003D6A88"/>
    <w:rsid w:val="003D7012"/>
    <w:rsid w:val="003D746B"/>
    <w:rsid w:val="003D7C3A"/>
    <w:rsid w:val="003E04B0"/>
    <w:rsid w:val="003E05A8"/>
    <w:rsid w:val="003E0BEF"/>
    <w:rsid w:val="003E0E64"/>
    <w:rsid w:val="003E1012"/>
    <w:rsid w:val="003E10B4"/>
    <w:rsid w:val="003E1104"/>
    <w:rsid w:val="003E274D"/>
    <w:rsid w:val="003E27EC"/>
    <w:rsid w:val="003E27F9"/>
    <w:rsid w:val="003E291A"/>
    <w:rsid w:val="003E2A15"/>
    <w:rsid w:val="003E2F49"/>
    <w:rsid w:val="003E3186"/>
    <w:rsid w:val="003E3327"/>
    <w:rsid w:val="003E36CC"/>
    <w:rsid w:val="003E376F"/>
    <w:rsid w:val="003E3FD6"/>
    <w:rsid w:val="003E4152"/>
    <w:rsid w:val="003E4519"/>
    <w:rsid w:val="003E45FA"/>
    <w:rsid w:val="003E4647"/>
    <w:rsid w:val="003E4D5F"/>
    <w:rsid w:val="003E5454"/>
    <w:rsid w:val="003E5B6B"/>
    <w:rsid w:val="003E5E02"/>
    <w:rsid w:val="003E6305"/>
    <w:rsid w:val="003E6532"/>
    <w:rsid w:val="003E6553"/>
    <w:rsid w:val="003E7580"/>
    <w:rsid w:val="003F018C"/>
    <w:rsid w:val="003F0697"/>
    <w:rsid w:val="003F08B7"/>
    <w:rsid w:val="003F0A17"/>
    <w:rsid w:val="003F10DC"/>
    <w:rsid w:val="003F153B"/>
    <w:rsid w:val="003F24D0"/>
    <w:rsid w:val="003F2751"/>
    <w:rsid w:val="003F2876"/>
    <w:rsid w:val="003F29AE"/>
    <w:rsid w:val="003F2A29"/>
    <w:rsid w:val="003F2DA8"/>
    <w:rsid w:val="003F2DB8"/>
    <w:rsid w:val="003F324F"/>
    <w:rsid w:val="003F389B"/>
    <w:rsid w:val="003F3AEC"/>
    <w:rsid w:val="003F3DC1"/>
    <w:rsid w:val="003F42FA"/>
    <w:rsid w:val="003F47C9"/>
    <w:rsid w:val="003F4986"/>
    <w:rsid w:val="003F4DB0"/>
    <w:rsid w:val="003F4F52"/>
    <w:rsid w:val="003F5185"/>
    <w:rsid w:val="003F5285"/>
    <w:rsid w:val="003F55FD"/>
    <w:rsid w:val="003F5C2D"/>
    <w:rsid w:val="003F5E2D"/>
    <w:rsid w:val="003F5F1C"/>
    <w:rsid w:val="003F6001"/>
    <w:rsid w:val="003F63E4"/>
    <w:rsid w:val="003F6423"/>
    <w:rsid w:val="003F6A5A"/>
    <w:rsid w:val="003F7756"/>
    <w:rsid w:val="003F79DD"/>
    <w:rsid w:val="003F7B07"/>
    <w:rsid w:val="0040027E"/>
    <w:rsid w:val="00400703"/>
    <w:rsid w:val="00400B7D"/>
    <w:rsid w:val="00400D8C"/>
    <w:rsid w:val="00400E49"/>
    <w:rsid w:val="004016C9"/>
    <w:rsid w:val="00401E18"/>
    <w:rsid w:val="004020C3"/>
    <w:rsid w:val="0040219B"/>
    <w:rsid w:val="004024A0"/>
    <w:rsid w:val="00402961"/>
    <w:rsid w:val="00403272"/>
    <w:rsid w:val="00403377"/>
    <w:rsid w:val="00403392"/>
    <w:rsid w:val="00403781"/>
    <w:rsid w:val="004040B8"/>
    <w:rsid w:val="004042B3"/>
    <w:rsid w:val="004043A4"/>
    <w:rsid w:val="00404673"/>
    <w:rsid w:val="0040495C"/>
    <w:rsid w:val="0040496E"/>
    <w:rsid w:val="00404C23"/>
    <w:rsid w:val="004051A1"/>
    <w:rsid w:val="00405883"/>
    <w:rsid w:val="00405966"/>
    <w:rsid w:val="00405E79"/>
    <w:rsid w:val="004062AC"/>
    <w:rsid w:val="00406304"/>
    <w:rsid w:val="00406354"/>
    <w:rsid w:val="0040689A"/>
    <w:rsid w:val="00407D5D"/>
    <w:rsid w:val="00407FD2"/>
    <w:rsid w:val="00410B4A"/>
    <w:rsid w:val="00410C49"/>
    <w:rsid w:val="00410C50"/>
    <w:rsid w:val="00411388"/>
    <w:rsid w:val="0041161A"/>
    <w:rsid w:val="004116BE"/>
    <w:rsid w:val="004116C2"/>
    <w:rsid w:val="0041170F"/>
    <w:rsid w:val="00411A9A"/>
    <w:rsid w:val="00411DED"/>
    <w:rsid w:val="00411F9C"/>
    <w:rsid w:val="0041230E"/>
    <w:rsid w:val="0041285A"/>
    <w:rsid w:val="0041313B"/>
    <w:rsid w:val="0041319B"/>
    <w:rsid w:val="00413673"/>
    <w:rsid w:val="0041369C"/>
    <w:rsid w:val="0041395A"/>
    <w:rsid w:val="00413D21"/>
    <w:rsid w:val="00414AB7"/>
    <w:rsid w:val="00414B56"/>
    <w:rsid w:val="00414C2A"/>
    <w:rsid w:val="0041538B"/>
    <w:rsid w:val="0041576A"/>
    <w:rsid w:val="00415AF5"/>
    <w:rsid w:val="00415D30"/>
    <w:rsid w:val="00416133"/>
    <w:rsid w:val="00416190"/>
    <w:rsid w:val="00416682"/>
    <w:rsid w:val="00416BFE"/>
    <w:rsid w:val="00416F62"/>
    <w:rsid w:val="00417357"/>
    <w:rsid w:val="004174B9"/>
    <w:rsid w:val="004176C9"/>
    <w:rsid w:val="00417CF4"/>
    <w:rsid w:val="00417D17"/>
    <w:rsid w:val="00417DE8"/>
    <w:rsid w:val="00417EE5"/>
    <w:rsid w:val="00420BCD"/>
    <w:rsid w:val="00421FAC"/>
    <w:rsid w:val="0042344A"/>
    <w:rsid w:val="004237A9"/>
    <w:rsid w:val="00423E59"/>
    <w:rsid w:val="00423F29"/>
    <w:rsid w:val="00424154"/>
    <w:rsid w:val="004243C9"/>
    <w:rsid w:val="004244B8"/>
    <w:rsid w:val="004248F2"/>
    <w:rsid w:val="00424C5D"/>
    <w:rsid w:val="00424FF2"/>
    <w:rsid w:val="00424FF4"/>
    <w:rsid w:val="0042514D"/>
    <w:rsid w:val="0042530A"/>
    <w:rsid w:val="00425A99"/>
    <w:rsid w:val="00426107"/>
    <w:rsid w:val="004265AC"/>
    <w:rsid w:val="0042684D"/>
    <w:rsid w:val="00426854"/>
    <w:rsid w:val="004269D7"/>
    <w:rsid w:val="00426A18"/>
    <w:rsid w:val="00427008"/>
    <w:rsid w:val="0042700F"/>
    <w:rsid w:val="0042714A"/>
    <w:rsid w:val="004277C1"/>
    <w:rsid w:val="004279DB"/>
    <w:rsid w:val="00430783"/>
    <w:rsid w:val="00430F9B"/>
    <w:rsid w:val="0043168F"/>
    <w:rsid w:val="00431C77"/>
    <w:rsid w:val="00431F19"/>
    <w:rsid w:val="0043230C"/>
    <w:rsid w:val="00432CB1"/>
    <w:rsid w:val="004330F1"/>
    <w:rsid w:val="004338EB"/>
    <w:rsid w:val="0043398D"/>
    <w:rsid w:val="00433C59"/>
    <w:rsid w:val="00433E45"/>
    <w:rsid w:val="004349A5"/>
    <w:rsid w:val="004360B5"/>
    <w:rsid w:val="004361B1"/>
    <w:rsid w:val="0043632C"/>
    <w:rsid w:val="004363F9"/>
    <w:rsid w:val="00436941"/>
    <w:rsid w:val="00436E55"/>
    <w:rsid w:val="0043715C"/>
    <w:rsid w:val="004371FA"/>
    <w:rsid w:val="0043731F"/>
    <w:rsid w:val="00437C73"/>
    <w:rsid w:val="00440025"/>
    <w:rsid w:val="00440027"/>
    <w:rsid w:val="0044005F"/>
    <w:rsid w:val="00440107"/>
    <w:rsid w:val="00440253"/>
    <w:rsid w:val="00440BC0"/>
    <w:rsid w:val="00441466"/>
    <w:rsid w:val="004414FE"/>
    <w:rsid w:val="00441776"/>
    <w:rsid w:val="00441AAC"/>
    <w:rsid w:val="00441F93"/>
    <w:rsid w:val="00441FD3"/>
    <w:rsid w:val="00442409"/>
    <w:rsid w:val="00442A42"/>
    <w:rsid w:val="0044304F"/>
    <w:rsid w:val="0044339B"/>
    <w:rsid w:val="00443963"/>
    <w:rsid w:val="00443B49"/>
    <w:rsid w:val="00444018"/>
    <w:rsid w:val="004441BC"/>
    <w:rsid w:val="004447E6"/>
    <w:rsid w:val="004448A4"/>
    <w:rsid w:val="00445838"/>
    <w:rsid w:val="0044586E"/>
    <w:rsid w:val="004458C4"/>
    <w:rsid w:val="00445C25"/>
    <w:rsid w:val="00445E66"/>
    <w:rsid w:val="00445ED3"/>
    <w:rsid w:val="00445F55"/>
    <w:rsid w:val="00446348"/>
    <w:rsid w:val="0044675A"/>
    <w:rsid w:val="00446769"/>
    <w:rsid w:val="00447293"/>
    <w:rsid w:val="00447589"/>
    <w:rsid w:val="004478B0"/>
    <w:rsid w:val="00447ADB"/>
    <w:rsid w:val="00447D5F"/>
    <w:rsid w:val="00447E59"/>
    <w:rsid w:val="00447F05"/>
    <w:rsid w:val="0045048C"/>
    <w:rsid w:val="004507B5"/>
    <w:rsid w:val="00450B3D"/>
    <w:rsid w:val="00451BED"/>
    <w:rsid w:val="00451E19"/>
    <w:rsid w:val="0045227B"/>
    <w:rsid w:val="004530C6"/>
    <w:rsid w:val="0045349F"/>
    <w:rsid w:val="004534F4"/>
    <w:rsid w:val="00453736"/>
    <w:rsid w:val="00454111"/>
    <w:rsid w:val="004541C8"/>
    <w:rsid w:val="00454257"/>
    <w:rsid w:val="00454812"/>
    <w:rsid w:val="00454894"/>
    <w:rsid w:val="00454AB6"/>
    <w:rsid w:val="00454CC0"/>
    <w:rsid w:val="00455342"/>
    <w:rsid w:val="00455870"/>
    <w:rsid w:val="00455C52"/>
    <w:rsid w:val="00456354"/>
    <w:rsid w:val="004568B0"/>
    <w:rsid w:val="00456927"/>
    <w:rsid w:val="00456EC2"/>
    <w:rsid w:val="004573D0"/>
    <w:rsid w:val="00457A75"/>
    <w:rsid w:val="00457BDA"/>
    <w:rsid w:val="00457EB0"/>
    <w:rsid w:val="00460169"/>
    <w:rsid w:val="00460891"/>
    <w:rsid w:val="004608F2"/>
    <w:rsid w:val="00460F14"/>
    <w:rsid w:val="00461007"/>
    <w:rsid w:val="00461156"/>
    <w:rsid w:val="0046142D"/>
    <w:rsid w:val="0046155A"/>
    <w:rsid w:val="004617DB"/>
    <w:rsid w:val="00461AE0"/>
    <w:rsid w:val="00461C80"/>
    <w:rsid w:val="00461E5E"/>
    <w:rsid w:val="0046215A"/>
    <w:rsid w:val="0046226C"/>
    <w:rsid w:val="0046231D"/>
    <w:rsid w:val="0046275E"/>
    <w:rsid w:val="0046369B"/>
    <w:rsid w:val="0046390A"/>
    <w:rsid w:val="00464814"/>
    <w:rsid w:val="004648DA"/>
    <w:rsid w:val="00464994"/>
    <w:rsid w:val="004649B9"/>
    <w:rsid w:val="004649E1"/>
    <w:rsid w:val="00464C41"/>
    <w:rsid w:val="0046525D"/>
    <w:rsid w:val="004653ED"/>
    <w:rsid w:val="004654FE"/>
    <w:rsid w:val="004655C5"/>
    <w:rsid w:val="00465C5C"/>
    <w:rsid w:val="00465CB8"/>
    <w:rsid w:val="004664A8"/>
    <w:rsid w:val="00466733"/>
    <w:rsid w:val="004669BD"/>
    <w:rsid w:val="00466A5C"/>
    <w:rsid w:val="00470019"/>
    <w:rsid w:val="0047019E"/>
    <w:rsid w:val="004702BC"/>
    <w:rsid w:val="004703CA"/>
    <w:rsid w:val="0047043C"/>
    <w:rsid w:val="004707A7"/>
    <w:rsid w:val="0047093B"/>
    <w:rsid w:val="00470B60"/>
    <w:rsid w:val="00470D3B"/>
    <w:rsid w:val="00471581"/>
    <w:rsid w:val="00471AFE"/>
    <w:rsid w:val="00471B31"/>
    <w:rsid w:val="00472BD1"/>
    <w:rsid w:val="0047368B"/>
    <w:rsid w:val="0047393C"/>
    <w:rsid w:val="00474019"/>
    <w:rsid w:val="00474307"/>
    <w:rsid w:val="004749D7"/>
    <w:rsid w:val="00474D2F"/>
    <w:rsid w:val="00474E6E"/>
    <w:rsid w:val="00475177"/>
    <w:rsid w:val="004752FC"/>
    <w:rsid w:val="00475BF2"/>
    <w:rsid w:val="00475D08"/>
    <w:rsid w:val="00476304"/>
    <w:rsid w:val="00476729"/>
    <w:rsid w:val="00476F20"/>
    <w:rsid w:val="00477295"/>
    <w:rsid w:val="0047765A"/>
    <w:rsid w:val="0047768C"/>
    <w:rsid w:val="00477747"/>
    <w:rsid w:val="00477EE7"/>
    <w:rsid w:val="004800E3"/>
    <w:rsid w:val="0048011A"/>
    <w:rsid w:val="00480129"/>
    <w:rsid w:val="00480230"/>
    <w:rsid w:val="00480454"/>
    <w:rsid w:val="00480933"/>
    <w:rsid w:val="00480CDB"/>
    <w:rsid w:val="00480E47"/>
    <w:rsid w:val="004810A0"/>
    <w:rsid w:val="004813BE"/>
    <w:rsid w:val="00482788"/>
    <w:rsid w:val="00483105"/>
    <w:rsid w:val="004834BA"/>
    <w:rsid w:val="00483704"/>
    <w:rsid w:val="00483801"/>
    <w:rsid w:val="0048403A"/>
    <w:rsid w:val="00484073"/>
    <w:rsid w:val="0048407D"/>
    <w:rsid w:val="00484275"/>
    <w:rsid w:val="00484F5F"/>
    <w:rsid w:val="004850F3"/>
    <w:rsid w:val="0048652E"/>
    <w:rsid w:val="0048694F"/>
    <w:rsid w:val="00486BAA"/>
    <w:rsid w:val="00486BC5"/>
    <w:rsid w:val="00486C3F"/>
    <w:rsid w:val="00486C99"/>
    <w:rsid w:val="0048729B"/>
    <w:rsid w:val="004879DA"/>
    <w:rsid w:val="00487FA5"/>
    <w:rsid w:val="00490355"/>
    <w:rsid w:val="004903C2"/>
    <w:rsid w:val="00490B9A"/>
    <w:rsid w:val="00490DA5"/>
    <w:rsid w:val="00490EFE"/>
    <w:rsid w:val="00491492"/>
    <w:rsid w:val="00491656"/>
    <w:rsid w:val="004916DE"/>
    <w:rsid w:val="004917A3"/>
    <w:rsid w:val="00491A25"/>
    <w:rsid w:val="004924E5"/>
    <w:rsid w:val="0049258B"/>
    <w:rsid w:val="00492806"/>
    <w:rsid w:val="00492D14"/>
    <w:rsid w:val="00493219"/>
    <w:rsid w:val="004934F0"/>
    <w:rsid w:val="00493814"/>
    <w:rsid w:val="00493DE5"/>
    <w:rsid w:val="004940B6"/>
    <w:rsid w:val="00494B68"/>
    <w:rsid w:val="00494D00"/>
    <w:rsid w:val="0049549F"/>
    <w:rsid w:val="00495630"/>
    <w:rsid w:val="004957E7"/>
    <w:rsid w:val="0049596D"/>
    <w:rsid w:val="00495A32"/>
    <w:rsid w:val="00495CA4"/>
    <w:rsid w:val="00496539"/>
    <w:rsid w:val="00496548"/>
    <w:rsid w:val="00496563"/>
    <w:rsid w:val="0049669C"/>
    <w:rsid w:val="004967AE"/>
    <w:rsid w:val="00496EA0"/>
    <w:rsid w:val="00496F77"/>
    <w:rsid w:val="004972C0"/>
    <w:rsid w:val="00497A26"/>
    <w:rsid w:val="00497F35"/>
    <w:rsid w:val="004A00E7"/>
    <w:rsid w:val="004A0296"/>
    <w:rsid w:val="004A034D"/>
    <w:rsid w:val="004A0448"/>
    <w:rsid w:val="004A04E4"/>
    <w:rsid w:val="004A0D3A"/>
    <w:rsid w:val="004A0DEA"/>
    <w:rsid w:val="004A14AB"/>
    <w:rsid w:val="004A1897"/>
    <w:rsid w:val="004A18C0"/>
    <w:rsid w:val="004A1E07"/>
    <w:rsid w:val="004A21F3"/>
    <w:rsid w:val="004A2E2A"/>
    <w:rsid w:val="004A31AA"/>
    <w:rsid w:val="004A3576"/>
    <w:rsid w:val="004A376D"/>
    <w:rsid w:val="004A462E"/>
    <w:rsid w:val="004A4CA2"/>
    <w:rsid w:val="004A4F12"/>
    <w:rsid w:val="004A4FE5"/>
    <w:rsid w:val="004A5112"/>
    <w:rsid w:val="004A6105"/>
    <w:rsid w:val="004A6411"/>
    <w:rsid w:val="004A68FA"/>
    <w:rsid w:val="004A6B2B"/>
    <w:rsid w:val="004A6F04"/>
    <w:rsid w:val="004A7AE1"/>
    <w:rsid w:val="004A7B15"/>
    <w:rsid w:val="004A7B28"/>
    <w:rsid w:val="004A7FE2"/>
    <w:rsid w:val="004B0AA9"/>
    <w:rsid w:val="004B0FFE"/>
    <w:rsid w:val="004B104E"/>
    <w:rsid w:val="004B1B9C"/>
    <w:rsid w:val="004B1CC1"/>
    <w:rsid w:val="004B1EBA"/>
    <w:rsid w:val="004B1EBE"/>
    <w:rsid w:val="004B1F68"/>
    <w:rsid w:val="004B2123"/>
    <w:rsid w:val="004B2529"/>
    <w:rsid w:val="004B2765"/>
    <w:rsid w:val="004B3982"/>
    <w:rsid w:val="004B3C92"/>
    <w:rsid w:val="004B4B49"/>
    <w:rsid w:val="004B4E50"/>
    <w:rsid w:val="004B55CD"/>
    <w:rsid w:val="004B58DA"/>
    <w:rsid w:val="004B5A38"/>
    <w:rsid w:val="004B5EFA"/>
    <w:rsid w:val="004B5F24"/>
    <w:rsid w:val="004B6599"/>
    <w:rsid w:val="004B67AB"/>
    <w:rsid w:val="004B67BB"/>
    <w:rsid w:val="004B6A0C"/>
    <w:rsid w:val="004B6C97"/>
    <w:rsid w:val="004B73E5"/>
    <w:rsid w:val="004B75C7"/>
    <w:rsid w:val="004B7704"/>
    <w:rsid w:val="004B79C2"/>
    <w:rsid w:val="004B7E05"/>
    <w:rsid w:val="004B7E6A"/>
    <w:rsid w:val="004B7EFC"/>
    <w:rsid w:val="004C031C"/>
    <w:rsid w:val="004C0DCF"/>
    <w:rsid w:val="004C0F72"/>
    <w:rsid w:val="004C1772"/>
    <w:rsid w:val="004C1F26"/>
    <w:rsid w:val="004C2403"/>
    <w:rsid w:val="004C2428"/>
    <w:rsid w:val="004C26C1"/>
    <w:rsid w:val="004C2E2C"/>
    <w:rsid w:val="004C321E"/>
    <w:rsid w:val="004C349A"/>
    <w:rsid w:val="004C377F"/>
    <w:rsid w:val="004C3967"/>
    <w:rsid w:val="004C3C20"/>
    <w:rsid w:val="004C3EF2"/>
    <w:rsid w:val="004C40C2"/>
    <w:rsid w:val="004C4880"/>
    <w:rsid w:val="004C48E2"/>
    <w:rsid w:val="004C4BF3"/>
    <w:rsid w:val="004C4CBC"/>
    <w:rsid w:val="004C4D1A"/>
    <w:rsid w:val="004C528B"/>
    <w:rsid w:val="004C57C6"/>
    <w:rsid w:val="004C5D5F"/>
    <w:rsid w:val="004C6281"/>
    <w:rsid w:val="004C6898"/>
    <w:rsid w:val="004C698B"/>
    <w:rsid w:val="004C7578"/>
    <w:rsid w:val="004C76AD"/>
    <w:rsid w:val="004C76B1"/>
    <w:rsid w:val="004C76F6"/>
    <w:rsid w:val="004C7C6F"/>
    <w:rsid w:val="004C7DF4"/>
    <w:rsid w:val="004D0C14"/>
    <w:rsid w:val="004D1977"/>
    <w:rsid w:val="004D1F6D"/>
    <w:rsid w:val="004D1FC6"/>
    <w:rsid w:val="004D2282"/>
    <w:rsid w:val="004D257F"/>
    <w:rsid w:val="004D2873"/>
    <w:rsid w:val="004D2D7F"/>
    <w:rsid w:val="004D2EE6"/>
    <w:rsid w:val="004D34B6"/>
    <w:rsid w:val="004D390D"/>
    <w:rsid w:val="004D4020"/>
    <w:rsid w:val="004D429E"/>
    <w:rsid w:val="004D42F3"/>
    <w:rsid w:val="004D44DF"/>
    <w:rsid w:val="004D499D"/>
    <w:rsid w:val="004D4E98"/>
    <w:rsid w:val="004D53EA"/>
    <w:rsid w:val="004D551E"/>
    <w:rsid w:val="004D5824"/>
    <w:rsid w:val="004D595D"/>
    <w:rsid w:val="004D61AF"/>
    <w:rsid w:val="004D69D3"/>
    <w:rsid w:val="004D6A0A"/>
    <w:rsid w:val="004D6B9C"/>
    <w:rsid w:val="004D6E6B"/>
    <w:rsid w:val="004D704B"/>
    <w:rsid w:val="004D73A0"/>
    <w:rsid w:val="004D745D"/>
    <w:rsid w:val="004D7523"/>
    <w:rsid w:val="004D797D"/>
    <w:rsid w:val="004E0363"/>
    <w:rsid w:val="004E0876"/>
    <w:rsid w:val="004E0DC3"/>
    <w:rsid w:val="004E283F"/>
    <w:rsid w:val="004E2C6D"/>
    <w:rsid w:val="004E2F8F"/>
    <w:rsid w:val="004E3D6A"/>
    <w:rsid w:val="004E3F3F"/>
    <w:rsid w:val="004E44BA"/>
    <w:rsid w:val="004E4EF6"/>
    <w:rsid w:val="004E5098"/>
    <w:rsid w:val="004E5260"/>
    <w:rsid w:val="004E53A0"/>
    <w:rsid w:val="004E5A0D"/>
    <w:rsid w:val="004E5AEA"/>
    <w:rsid w:val="004E5FC7"/>
    <w:rsid w:val="004E6B8C"/>
    <w:rsid w:val="004E78D3"/>
    <w:rsid w:val="004E7A8E"/>
    <w:rsid w:val="004E7CFA"/>
    <w:rsid w:val="004E7D9B"/>
    <w:rsid w:val="004F0219"/>
    <w:rsid w:val="004F06CE"/>
    <w:rsid w:val="004F06D0"/>
    <w:rsid w:val="004F07BC"/>
    <w:rsid w:val="004F08B9"/>
    <w:rsid w:val="004F09F8"/>
    <w:rsid w:val="004F0C7B"/>
    <w:rsid w:val="004F0DFC"/>
    <w:rsid w:val="004F2390"/>
    <w:rsid w:val="004F2AB3"/>
    <w:rsid w:val="004F2F4D"/>
    <w:rsid w:val="004F30E9"/>
    <w:rsid w:val="004F35F9"/>
    <w:rsid w:val="004F3801"/>
    <w:rsid w:val="004F3A42"/>
    <w:rsid w:val="004F3DD8"/>
    <w:rsid w:val="004F3E6D"/>
    <w:rsid w:val="004F3E9F"/>
    <w:rsid w:val="004F413C"/>
    <w:rsid w:val="004F4E0D"/>
    <w:rsid w:val="004F5633"/>
    <w:rsid w:val="004F5F06"/>
    <w:rsid w:val="004F7BCA"/>
    <w:rsid w:val="004F7C05"/>
    <w:rsid w:val="0050021F"/>
    <w:rsid w:val="0050078F"/>
    <w:rsid w:val="00500FF3"/>
    <w:rsid w:val="0050128C"/>
    <w:rsid w:val="00501374"/>
    <w:rsid w:val="00501953"/>
    <w:rsid w:val="00502350"/>
    <w:rsid w:val="0050297C"/>
    <w:rsid w:val="00502ABF"/>
    <w:rsid w:val="00503025"/>
    <w:rsid w:val="0050315F"/>
    <w:rsid w:val="00503284"/>
    <w:rsid w:val="00503960"/>
    <w:rsid w:val="00503A49"/>
    <w:rsid w:val="00503C71"/>
    <w:rsid w:val="00503DD1"/>
    <w:rsid w:val="005052C9"/>
    <w:rsid w:val="00505520"/>
    <w:rsid w:val="005055C9"/>
    <w:rsid w:val="005056DE"/>
    <w:rsid w:val="00505808"/>
    <w:rsid w:val="00505876"/>
    <w:rsid w:val="00505971"/>
    <w:rsid w:val="00505C1B"/>
    <w:rsid w:val="00506321"/>
    <w:rsid w:val="005063F8"/>
    <w:rsid w:val="005067D9"/>
    <w:rsid w:val="00507352"/>
    <w:rsid w:val="00507443"/>
    <w:rsid w:val="0050782E"/>
    <w:rsid w:val="00507AA3"/>
    <w:rsid w:val="005101A9"/>
    <w:rsid w:val="00510934"/>
    <w:rsid w:val="00510BAA"/>
    <w:rsid w:val="005116B2"/>
    <w:rsid w:val="005118EF"/>
    <w:rsid w:val="00512301"/>
    <w:rsid w:val="00512798"/>
    <w:rsid w:val="0051282B"/>
    <w:rsid w:val="00512833"/>
    <w:rsid w:val="00512ACC"/>
    <w:rsid w:val="00512BC4"/>
    <w:rsid w:val="0051307E"/>
    <w:rsid w:val="0051399C"/>
    <w:rsid w:val="00513BB4"/>
    <w:rsid w:val="00513FB8"/>
    <w:rsid w:val="00514A8B"/>
    <w:rsid w:val="00514CC0"/>
    <w:rsid w:val="00514F88"/>
    <w:rsid w:val="00514FED"/>
    <w:rsid w:val="0051508F"/>
    <w:rsid w:val="005150E0"/>
    <w:rsid w:val="00515259"/>
    <w:rsid w:val="00515291"/>
    <w:rsid w:val="005153F0"/>
    <w:rsid w:val="00515CD1"/>
    <w:rsid w:val="005162E0"/>
    <w:rsid w:val="00516765"/>
    <w:rsid w:val="005167DF"/>
    <w:rsid w:val="005169F3"/>
    <w:rsid w:val="00516B4A"/>
    <w:rsid w:val="00516EB9"/>
    <w:rsid w:val="005173DF"/>
    <w:rsid w:val="00517E70"/>
    <w:rsid w:val="00520139"/>
    <w:rsid w:val="005201A3"/>
    <w:rsid w:val="00520CF1"/>
    <w:rsid w:val="005212C1"/>
    <w:rsid w:val="0052168C"/>
    <w:rsid w:val="00521739"/>
    <w:rsid w:val="0052175D"/>
    <w:rsid w:val="005227A3"/>
    <w:rsid w:val="00522EF9"/>
    <w:rsid w:val="00522F9B"/>
    <w:rsid w:val="00522FC5"/>
    <w:rsid w:val="00523190"/>
    <w:rsid w:val="005237BB"/>
    <w:rsid w:val="00523A38"/>
    <w:rsid w:val="005243C0"/>
    <w:rsid w:val="00524829"/>
    <w:rsid w:val="00524925"/>
    <w:rsid w:val="00524B1F"/>
    <w:rsid w:val="0052561E"/>
    <w:rsid w:val="00525C71"/>
    <w:rsid w:val="005262C6"/>
    <w:rsid w:val="005273D2"/>
    <w:rsid w:val="00527E40"/>
    <w:rsid w:val="005300BD"/>
    <w:rsid w:val="00530560"/>
    <w:rsid w:val="00530598"/>
    <w:rsid w:val="005310DA"/>
    <w:rsid w:val="0053157B"/>
    <w:rsid w:val="005316FD"/>
    <w:rsid w:val="00531C7F"/>
    <w:rsid w:val="005329E6"/>
    <w:rsid w:val="00532E6C"/>
    <w:rsid w:val="00532EBE"/>
    <w:rsid w:val="00532F98"/>
    <w:rsid w:val="005334E9"/>
    <w:rsid w:val="0053365B"/>
    <w:rsid w:val="00533851"/>
    <w:rsid w:val="00533B3A"/>
    <w:rsid w:val="005342B3"/>
    <w:rsid w:val="005346A7"/>
    <w:rsid w:val="005366BA"/>
    <w:rsid w:val="00536984"/>
    <w:rsid w:val="00536EDC"/>
    <w:rsid w:val="00536F61"/>
    <w:rsid w:val="00536FE8"/>
    <w:rsid w:val="005371F4"/>
    <w:rsid w:val="00537626"/>
    <w:rsid w:val="005378FC"/>
    <w:rsid w:val="00537C13"/>
    <w:rsid w:val="00540108"/>
    <w:rsid w:val="0054076B"/>
    <w:rsid w:val="00540A39"/>
    <w:rsid w:val="00541140"/>
    <w:rsid w:val="005412A7"/>
    <w:rsid w:val="0054160D"/>
    <w:rsid w:val="00541710"/>
    <w:rsid w:val="00541AA9"/>
    <w:rsid w:val="00541CD6"/>
    <w:rsid w:val="005425B8"/>
    <w:rsid w:val="00543724"/>
    <w:rsid w:val="0054377B"/>
    <w:rsid w:val="005443FD"/>
    <w:rsid w:val="0054472A"/>
    <w:rsid w:val="005447C4"/>
    <w:rsid w:val="00544A59"/>
    <w:rsid w:val="00544D54"/>
    <w:rsid w:val="00544E18"/>
    <w:rsid w:val="0054510D"/>
    <w:rsid w:val="005452BC"/>
    <w:rsid w:val="00545C34"/>
    <w:rsid w:val="00545CC9"/>
    <w:rsid w:val="0054655F"/>
    <w:rsid w:val="00546868"/>
    <w:rsid w:val="00546C17"/>
    <w:rsid w:val="00546C83"/>
    <w:rsid w:val="00546FDE"/>
    <w:rsid w:val="0054762E"/>
    <w:rsid w:val="00547F9B"/>
    <w:rsid w:val="00550732"/>
    <w:rsid w:val="00550B62"/>
    <w:rsid w:val="00550D5E"/>
    <w:rsid w:val="00550F3D"/>
    <w:rsid w:val="00550F6F"/>
    <w:rsid w:val="005512C5"/>
    <w:rsid w:val="00551788"/>
    <w:rsid w:val="00551B48"/>
    <w:rsid w:val="00551BDF"/>
    <w:rsid w:val="0055269E"/>
    <w:rsid w:val="00552937"/>
    <w:rsid w:val="00552E1C"/>
    <w:rsid w:val="00552F9C"/>
    <w:rsid w:val="005536E9"/>
    <w:rsid w:val="005538FF"/>
    <w:rsid w:val="00553B23"/>
    <w:rsid w:val="00553FA0"/>
    <w:rsid w:val="00554104"/>
    <w:rsid w:val="00554148"/>
    <w:rsid w:val="00554A78"/>
    <w:rsid w:val="00554CF7"/>
    <w:rsid w:val="00555540"/>
    <w:rsid w:val="005555AD"/>
    <w:rsid w:val="005558CF"/>
    <w:rsid w:val="00555C3D"/>
    <w:rsid w:val="00556136"/>
    <w:rsid w:val="00556641"/>
    <w:rsid w:val="00556949"/>
    <w:rsid w:val="00556BDD"/>
    <w:rsid w:val="00557B71"/>
    <w:rsid w:val="00557E54"/>
    <w:rsid w:val="00557F4D"/>
    <w:rsid w:val="00560BD6"/>
    <w:rsid w:val="00560FED"/>
    <w:rsid w:val="0056130D"/>
    <w:rsid w:val="00561767"/>
    <w:rsid w:val="0056189E"/>
    <w:rsid w:val="00561AE1"/>
    <w:rsid w:val="00561FBA"/>
    <w:rsid w:val="0056212B"/>
    <w:rsid w:val="00562E6D"/>
    <w:rsid w:val="00562FE1"/>
    <w:rsid w:val="00563499"/>
    <w:rsid w:val="005638B1"/>
    <w:rsid w:val="00563A39"/>
    <w:rsid w:val="005641CE"/>
    <w:rsid w:val="00564441"/>
    <w:rsid w:val="00564551"/>
    <w:rsid w:val="00564BEF"/>
    <w:rsid w:val="00565C6C"/>
    <w:rsid w:val="005662BA"/>
    <w:rsid w:val="0056634E"/>
    <w:rsid w:val="00566421"/>
    <w:rsid w:val="0056674A"/>
    <w:rsid w:val="00566FF4"/>
    <w:rsid w:val="00567251"/>
    <w:rsid w:val="005673F4"/>
    <w:rsid w:val="0056740A"/>
    <w:rsid w:val="005677E5"/>
    <w:rsid w:val="0056786C"/>
    <w:rsid w:val="00567C9C"/>
    <w:rsid w:val="00567D39"/>
    <w:rsid w:val="00567F22"/>
    <w:rsid w:val="00567F5D"/>
    <w:rsid w:val="005700D7"/>
    <w:rsid w:val="00570324"/>
    <w:rsid w:val="005703FD"/>
    <w:rsid w:val="005708BF"/>
    <w:rsid w:val="0057096B"/>
    <w:rsid w:val="00571238"/>
    <w:rsid w:val="005712F7"/>
    <w:rsid w:val="00571ADA"/>
    <w:rsid w:val="00571CC1"/>
    <w:rsid w:val="00572B9C"/>
    <w:rsid w:val="00572C5C"/>
    <w:rsid w:val="00572F18"/>
    <w:rsid w:val="00572FB1"/>
    <w:rsid w:val="005730CC"/>
    <w:rsid w:val="00573542"/>
    <w:rsid w:val="00573EDC"/>
    <w:rsid w:val="00574097"/>
    <w:rsid w:val="005741E1"/>
    <w:rsid w:val="005743CD"/>
    <w:rsid w:val="00574514"/>
    <w:rsid w:val="00574C95"/>
    <w:rsid w:val="00574F9A"/>
    <w:rsid w:val="00575417"/>
    <w:rsid w:val="00575434"/>
    <w:rsid w:val="005755C0"/>
    <w:rsid w:val="005757E2"/>
    <w:rsid w:val="00576573"/>
    <w:rsid w:val="00576F57"/>
    <w:rsid w:val="00576F68"/>
    <w:rsid w:val="00577D44"/>
    <w:rsid w:val="00577D84"/>
    <w:rsid w:val="00577E4E"/>
    <w:rsid w:val="00577E76"/>
    <w:rsid w:val="0058001C"/>
    <w:rsid w:val="005801E7"/>
    <w:rsid w:val="00580633"/>
    <w:rsid w:val="005807AE"/>
    <w:rsid w:val="0058094A"/>
    <w:rsid w:val="00580AEB"/>
    <w:rsid w:val="00580BF9"/>
    <w:rsid w:val="00580C8C"/>
    <w:rsid w:val="00581716"/>
    <w:rsid w:val="00581830"/>
    <w:rsid w:val="00581C6E"/>
    <w:rsid w:val="00581CDA"/>
    <w:rsid w:val="005824F2"/>
    <w:rsid w:val="00582CB9"/>
    <w:rsid w:val="005834D0"/>
    <w:rsid w:val="00583558"/>
    <w:rsid w:val="00583890"/>
    <w:rsid w:val="0058429B"/>
    <w:rsid w:val="0058517A"/>
    <w:rsid w:val="0058598F"/>
    <w:rsid w:val="00585C23"/>
    <w:rsid w:val="0058686D"/>
    <w:rsid w:val="00586B0A"/>
    <w:rsid w:val="00587C9B"/>
    <w:rsid w:val="00587CC0"/>
    <w:rsid w:val="00587F9E"/>
    <w:rsid w:val="00590015"/>
    <w:rsid w:val="005905D9"/>
    <w:rsid w:val="005906F4"/>
    <w:rsid w:val="00590923"/>
    <w:rsid w:val="0059106C"/>
    <w:rsid w:val="00591683"/>
    <w:rsid w:val="00591735"/>
    <w:rsid w:val="00591CB1"/>
    <w:rsid w:val="00592423"/>
    <w:rsid w:val="005934CD"/>
    <w:rsid w:val="005939A6"/>
    <w:rsid w:val="00593C79"/>
    <w:rsid w:val="00593E1B"/>
    <w:rsid w:val="00594EE5"/>
    <w:rsid w:val="005951C3"/>
    <w:rsid w:val="0059541E"/>
    <w:rsid w:val="00595771"/>
    <w:rsid w:val="00595904"/>
    <w:rsid w:val="00595B57"/>
    <w:rsid w:val="00595D84"/>
    <w:rsid w:val="00595F6B"/>
    <w:rsid w:val="005960EA"/>
    <w:rsid w:val="00596147"/>
    <w:rsid w:val="00596576"/>
    <w:rsid w:val="005974F0"/>
    <w:rsid w:val="00597A2A"/>
    <w:rsid w:val="00597A35"/>
    <w:rsid w:val="00597AE7"/>
    <w:rsid w:val="00597F47"/>
    <w:rsid w:val="00597F68"/>
    <w:rsid w:val="00597FC8"/>
    <w:rsid w:val="005A02A0"/>
    <w:rsid w:val="005A045A"/>
    <w:rsid w:val="005A0842"/>
    <w:rsid w:val="005A0A6A"/>
    <w:rsid w:val="005A0E65"/>
    <w:rsid w:val="005A14DF"/>
    <w:rsid w:val="005A151B"/>
    <w:rsid w:val="005A17AA"/>
    <w:rsid w:val="005A18D7"/>
    <w:rsid w:val="005A1AE5"/>
    <w:rsid w:val="005A1C46"/>
    <w:rsid w:val="005A1CFD"/>
    <w:rsid w:val="005A2181"/>
    <w:rsid w:val="005A23C3"/>
    <w:rsid w:val="005A30C2"/>
    <w:rsid w:val="005A32A9"/>
    <w:rsid w:val="005A3840"/>
    <w:rsid w:val="005A399F"/>
    <w:rsid w:val="005A3D5C"/>
    <w:rsid w:val="005A3EC8"/>
    <w:rsid w:val="005A4242"/>
    <w:rsid w:val="005A4382"/>
    <w:rsid w:val="005A4BF1"/>
    <w:rsid w:val="005A50AE"/>
    <w:rsid w:val="005A50E5"/>
    <w:rsid w:val="005A5228"/>
    <w:rsid w:val="005A538E"/>
    <w:rsid w:val="005A651C"/>
    <w:rsid w:val="005A6637"/>
    <w:rsid w:val="005A6F24"/>
    <w:rsid w:val="005A78D0"/>
    <w:rsid w:val="005B0284"/>
    <w:rsid w:val="005B05AF"/>
    <w:rsid w:val="005B07C7"/>
    <w:rsid w:val="005B1460"/>
    <w:rsid w:val="005B152A"/>
    <w:rsid w:val="005B1D25"/>
    <w:rsid w:val="005B29AF"/>
    <w:rsid w:val="005B2AA4"/>
    <w:rsid w:val="005B354B"/>
    <w:rsid w:val="005B3960"/>
    <w:rsid w:val="005B3B99"/>
    <w:rsid w:val="005B3D77"/>
    <w:rsid w:val="005B4469"/>
    <w:rsid w:val="005B486C"/>
    <w:rsid w:val="005B4DA6"/>
    <w:rsid w:val="005B5183"/>
    <w:rsid w:val="005B54DF"/>
    <w:rsid w:val="005B5753"/>
    <w:rsid w:val="005B5F82"/>
    <w:rsid w:val="005B6423"/>
    <w:rsid w:val="005B6464"/>
    <w:rsid w:val="005B697F"/>
    <w:rsid w:val="005B6A78"/>
    <w:rsid w:val="005B6E9E"/>
    <w:rsid w:val="005B6EEF"/>
    <w:rsid w:val="005B72C5"/>
    <w:rsid w:val="005B7846"/>
    <w:rsid w:val="005B7907"/>
    <w:rsid w:val="005B7CCA"/>
    <w:rsid w:val="005C0324"/>
    <w:rsid w:val="005C03F4"/>
    <w:rsid w:val="005C0779"/>
    <w:rsid w:val="005C0B88"/>
    <w:rsid w:val="005C12C5"/>
    <w:rsid w:val="005C1585"/>
    <w:rsid w:val="005C1A6E"/>
    <w:rsid w:val="005C1A87"/>
    <w:rsid w:val="005C1BD5"/>
    <w:rsid w:val="005C26A1"/>
    <w:rsid w:val="005C3D7B"/>
    <w:rsid w:val="005C407B"/>
    <w:rsid w:val="005C4127"/>
    <w:rsid w:val="005C4628"/>
    <w:rsid w:val="005C4A44"/>
    <w:rsid w:val="005C4BA5"/>
    <w:rsid w:val="005C4CC9"/>
    <w:rsid w:val="005C4FB3"/>
    <w:rsid w:val="005C55A7"/>
    <w:rsid w:val="005C56A5"/>
    <w:rsid w:val="005C5E29"/>
    <w:rsid w:val="005C6181"/>
    <w:rsid w:val="005C62FC"/>
    <w:rsid w:val="005C656A"/>
    <w:rsid w:val="005C6617"/>
    <w:rsid w:val="005C67D0"/>
    <w:rsid w:val="005C7668"/>
    <w:rsid w:val="005C798D"/>
    <w:rsid w:val="005C7F44"/>
    <w:rsid w:val="005D0292"/>
    <w:rsid w:val="005D03CD"/>
    <w:rsid w:val="005D041E"/>
    <w:rsid w:val="005D0762"/>
    <w:rsid w:val="005D0799"/>
    <w:rsid w:val="005D0D50"/>
    <w:rsid w:val="005D0E6C"/>
    <w:rsid w:val="005D0E94"/>
    <w:rsid w:val="005D104D"/>
    <w:rsid w:val="005D1446"/>
    <w:rsid w:val="005D14D6"/>
    <w:rsid w:val="005D166A"/>
    <w:rsid w:val="005D16FE"/>
    <w:rsid w:val="005D1A98"/>
    <w:rsid w:val="005D1C7C"/>
    <w:rsid w:val="005D1CF2"/>
    <w:rsid w:val="005D21DE"/>
    <w:rsid w:val="005D238F"/>
    <w:rsid w:val="005D2B3A"/>
    <w:rsid w:val="005D2B75"/>
    <w:rsid w:val="005D3364"/>
    <w:rsid w:val="005D344C"/>
    <w:rsid w:val="005D36D4"/>
    <w:rsid w:val="005D3A1F"/>
    <w:rsid w:val="005D3B53"/>
    <w:rsid w:val="005D3DB6"/>
    <w:rsid w:val="005D4248"/>
    <w:rsid w:val="005D44C4"/>
    <w:rsid w:val="005D4CE0"/>
    <w:rsid w:val="005D5659"/>
    <w:rsid w:val="005D5AA3"/>
    <w:rsid w:val="005D5C2A"/>
    <w:rsid w:val="005D5E01"/>
    <w:rsid w:val="005D60C5"/>
    <w:rsid w:val="005D67FE"/>
    <w:rsid w:val="005D72DC"/>
    <w:rsid w:val="005D75AC"/>
    <w:rsid w:val="005D790A"/>
    <w:rsid w:val="005D7BAC"/>
    <w:rsid w:val="005D7E71"/>
    <w:rsid w:val="005D7E85"/>
    <w:rsid w:val="005D7F63"/>
    <w:rsid w:val="005E0A25"/>
    <w:rsid w:val="005E0A2A"/>
    <w:rsid w:val="005E1010"/>
    <w:rsid w:val="005E1397"/>
    <w:rsid w:val="005E17FD"/>
    <w:rsid w:val="005E1B2A"/>
    <w:rsid w:val="005E1EA8"/>
    <w:rsid w:val="005E2472"/>
    <w:rsid w:val="005E2854"/>
    <w:rsid w:val="005E2C23"/>
    <w:rsid w:val="005E318B"/>
    <w:rsid w:val="005E41DF"/>
    <w:rsid w:val="005E49E4"/>
    <w:rsid w:val="005E49F7"/>
    <w:rsid w:val="005E4A4E"/>
    <w:rsid w:val="005E4A94"/>
    <w:rsid w:val="005E4E49"/>
    <w:rsid w:val="005E5057"/>
    <w:rsid w:val="005E58CE"/>
    <w:rsid w:val="005E5A31"/>
    <w:rsid w:val="005E6C39"/>
    <w:rsid w:val="005E7812"/>
    <w:rsid w:val="005E7B5D"/>
    <w:rsid w:val="005E7C5C"/>
    <w:rsid w:val="005E7C61"/>
    <w:rsid w:val="005E7EDC"/>
    <w:rsid w:val="005F02D8"/>
    <w:rsid w:val="005F04C0"/>
    <w:rsid w:val="005F05B9"/>
    <w:rsid w:val="005F0835"/>
    <w:rsid w:val="005F0985"/>
    <w:rsid w:val="005F0B12"/>
    <w:rsid w:val="005F132B"/>
    <w:rsid w:val="005F1834"/>
    <w:rsid w:val="005F1C64"/>
    <w:rsid w:val="005F206D"/>
    <w:rsid w:val="005F2155"/>
    <w:rsid w:val="005F2837"/>
    <w:rsid w:val="005F2B3F"/>
    <w:rsid w:val="005F2D97"/>
    <w:rsid w:val="005F2DA2"/>
    <w:rsid w:val="005F3406"/>
    <w:rsid w:val="005F36DB"/>
    <w:rsid w:val="005F372F"/>
    <w:rsid w:val="005F3848"/>
    <w:rsid w:val="005F3E72"/>
    <w:rsid w:val="005F3EFA"/>
    <w:rsid w:val="005F4211"/>
    <w:rsid w:val="005F42CD"/>
    <w:rsid w:val="005F43ED"/>
    <w:rsid w:val="005F46B2"/>
    <w:rsid w:val="005F49C3"/>
    <w:rsid w:val="005F4D58"/>
    <w:rsid w:val="005F4DDD"/>
    <w:rsid w:val="005F529C"/>
    <w:rsid w:val="005F5FE2"/>
    <w:rsid w:val="005F601B"/>
    <w:rsid w:val="005F6110"/>
    <w:rsid w:val="005F6490"/>
    <w:rsid w:val="005F6723"/>
    <w:rsid w:val="005F6B6D"/>
    <w:rsid w:val="005F6C5C"/>
    <w:rsid w:val="005F7904"/>
    <w:rsid w:val="005F7A64"/>
    <w:rsid w:val="00600154"/>
    <w:rsid w:val="006001F3"/>
    <w:rsid w:val="00600B5C"/>
    <w:rsid w:val="00600B7D"/>
    <w:rsid w:val="00600C14"/>
    <w:rsid w:val="00600C27"/>
    <w:rsid w:val="00600C97"/>
    <w:rsid w:val="00601111"/>
    <w:rsid w:val="006012B3"/>
    <w:rsid w:val="006025D9"/>
    <w:rsid w:val="006025E2"/>
    <w:rsid w:val="006029D1"/>
    <w:rsid w:val="00603487"/>
    <w:rsid w:val="0060348A"/>
    <w:rsid w:val="00603574"/>
    <w:rsid w:val="00603711"/>
    <w:rsid w:val="00603BEF"/>
    <w:rsid w:val="00603DC2"/>
    <w:rsid w:val="006040A3"/>
    <w:rsid w:val="00604164"/>
    <w:rsid w:val="0060430F"/>
    <w:rsid w:val="006046AE"/>
    <w:rsid w:val="0060483B"/>
    <w:rsid w:val="00604DC5"/>
    <w:rsid w:val="00605260"/>
    <w:rsid w:val="006052CC"/>
    <w:rsid w:val="00605676"/>
    <w:rsid w:val="00605A12"/>
    <w:rsid w:val="00605D20"/>
    <w:rsid w:val="00605D66"/>
    <w:rsid w:val="00605ED1"/>
    <w:rsid w:val="00605F9A"/>
    <w:rsid w:val="006069B5"/>
    <w:rsid w:val="00606C97"/>
    <w:rsid w:val="00606E79"/>
    <w:rsid w:val="00607215"/>
    <w:rsid w:val="00607608"/>
    <w:rsid w:val="0060792C"/>
    <w:rsid w:val="00607F43"/>
    <w:rsid w:val="006101F3"/>
    <w:rsid w:val="0061056B"/>
    <w:rsid w:val="00610994"/>
    <w:rsid w:val="006109F0"/>
    <w:rsid w:val="00611040"/>
    <w:rsid w:val="006118C4"/>
    <w:rsid w:val="00611AFC"/>
    <w:rsid w:val="00611B9D"/>
    <w:rsid w:val="00611D28"/>
    <w:rsid w:val="00611E9E"/>
    <w:rsid w:val="00612138"/>
    <w:rsid w:val="00612277"/>
    <w:rsid w:val="006123F8"/>
    <w:rsid w:val="006124FF"/>
    <w:rsid w:val="00613071"/>
    <w:rsid w:val="00613230"/>
    <w:rsid w:val="00613350"/>
    <w:rsid w:val="00613EFF"/>
    <w:rsid w:val="00613F16"/>
    <w:rsid w:val="006140FF"/>
    <w:rsid w:val="006142AF"/>
    <w:rsid w:val="00614453"/>
    <w:rsid w:val="006146C8"/>
    <w:rsid w:val="00614AD8"/>
    <w:rsid w:val="00614DD0"/>
    <w:rsid w:val="00614E44"/>
    <w:rsid w:val="006152D8"/>
    <w:rsid w:val="0061576B"/>
    <w:rsid w:val="006157FC"/>
    <w:rsid w:val="00615A83"/>
    <w:rsid w:val="006160C7"/>
    <w:rsid w:val="00616848"/>
    <w:rsid w:val="00617115"/>
    <w:rsid w:val="006177EC"/>
    <w:rsid w:val="0061786A"/>
    <w:rsid w:val="0061796B"/>
    <w:rsid w:val="00620FED"/>
    <w:rsid w:val="00621172"/>
    <w:rsid w:val="0062165A"/>
    <w:rsid w:val="00621724"/>
    <w:rsid w:val="006217A0"/>
    <w:rsid w:val="0062202A"/>
    <w:rsid w:val="0062232C"/>
    <w:rsid w:val="00622551"/>
    <w:rsid w:val="006230CA"/>
    <w:rsid w:val="00623A98"/>
    <w:rsid w:val="00623FA8"/>
    <w:rsid w:val="0062415D"/>
    <w:rsid w:val="0062431A"/>
    <w:rsid w:val="00624324"/>
    <w:rsid w:val="006249FC"/>
    <w:rsid w:val="00624B88"/>
    <w:rsid w:val="00624C48"/>
    <w:rsid w:val="006251AA"/>
    <w:rsid w:val="00625461"/>
    <w:rsid w:val="00625A28"/>
    <w:rsid w:val="00625B20"/>
    <w:rsid w:val="0062609E"/>
    <w:rsid w:val="00626224"/>
    <w:rsid w:val="00626458"/>
    <w:rsid w:val="00626DDE"/>
    <w:rsid w:val="00626E61"/>
    <w:rsid w:val="00626EE0"/>
    <w:rsid w:val="006279D6"/>
    <w:rsid w:val="00627AA9"/>
    <w:rsid w:val="00627CC2"/>
    <w:rsid w:val="0063054E"/>
    <w:rsid w:val="00630607"/>
    <w:rsid w:val="006307AD"/>
    <w:rsid w:val="00630DA0"/>
    <w:rsid w:val="00631456"/>
    <w:rsid w:val="00631BB3"/>
    <w:rsid w:val="00631CCC"/>
    <w:rsid w:val="006321CC"/>
    <w:rsid w:val="006321E0"/>
    <w:rsid w:val="00632D60"/>
    <w:rsid w:val="006330B0"/>
    <w:rsid w:val="006334F3"/>
    <w:rsid w:val="00633884"/>
    <w:rsid w:val="00633AC0"/>
    <w:rsid w:val="0063430E"/>
    <w:rsid w:val="00634A20"/>
    <w:rsid w:val="00634DEC"/>
    <w:rsid w:val="00635118"/>
    <w:rsid w:val="0063561C"/>
    <w:rsid w:val="00635680"/>
    <w:rsid w:val="00636865"/>
    <w:rsid w:val="00636F23"/>
    <w:rsid w:val="00637594"/>
    <w:rsid w:val="00637921"/>
    <w:rsid w:val="00637A59"/>
    <w:rsid w:val="00637B9A"/>
    <w:rsid w:val="00637E95"/>
    <w:rsid w:val="00637FFE"/>
    <w:rsid w:val="006404B0"/>
    <w:rsid w:val="00640C05"/>
    <w:rsid w:val="00640E32"/>
    <w:rsid w:val="00641110"/>
    <w:rsid w:val="00641923"/>
    <w:rsid w:val="006419FA"/>
    <w:rsid w:val="00641D0A"/>
    <w:rsid w:val="00641F61"/>
    <w:rsid w:val="006420F0"/>
    <w:rsid w:val="00642646"/>
    <w:rsid w:val="006429E9"/>
    <w:rsid w:val="00642C57"/>
    <w:rsid w:val="00642E53"/>
    <w:rsid w:val="00643467"/>
    <w:rsid w:val="00643B76"/>
    <w:rsid w:val="00643F25"/>
    <w:rsid w:val="00644293"/>
    <w:rsid w:val="0064468C"/>
    <w:rsid w:val="00644888"/>
    <w:rsid w:val="006449B6"/>
    <w:rsid w:val="00644EBE"/>
    <w:rsid w:val="00645332"/>
    <w:rsid w:val="00645378"/>
    <w:rsid w:val="0064597D"/>
    <w:rsid w:val="00645E33"/>
    <w:rsid w:val="006460DE"/>
    <w:rsid w:val="00646360"/>
    <w:rsid w:val="00646989"/>
    <w:rsid w:val="00646AAD"/>
    <w:rsid w:val="00646DCB"/>
    <w:rsid w:val="0064722E"/>
    <w:rsid w:val="00647954"/>
    <w:rsid w:val="00647DA7"/>
    <w:rsid w:val="00647ED9"/>
    <w:rsid w:val="00647FC9"/>
    <w:rsid w:val="0065037D"/>
    <w:rsid w:val="0065091A"/>
    <w:rsid w:val="00650A46"/>
    <w:rsid w:val="00650C0C"/>
    <w:rsid w:val="00650F2A"/>
    <w:rsid w:val="00651327"/>
    <w:rsid w:val="00651628"/>
    <w:rsid w:val="006516C4"/>
    <w:rsid w:val="00651C68"/>
    <w:rsid w:val="00651F5A"/>
    <w:rsid w:val="0065290A"/>
    <w:rsid w:val="00652F9F"/>
    <w:rsid w:val="00653359"/>
    <w:rsid w:val="00653E70"/>
    <w:rsid w:val="00653EBE"/>
    <w:rsid w:val="00654B0D"/>
    <w:rsid w:val="006553F7"/>
    <w:rsid w:val="00655BD5"/>
    <w:rsid w:val="00655BF7"/>
    <w:rsid w:val="006563B8"/>
    <w:rsid w:val="00656997"/>
    <w:rsid w:val="006574BD"/>
    <w:rsid w:val="00657A40"/>
    <w:rsid w:val="00657CB8"/>
    <w:rsid w:val="00657D13"/>
    <w:rsid w:val="006603B0"/>
    <w:rsid w:val="006607C2"/>
    <w:rsid w:val="00660935"/>
    <w:rsid w:val="00661981"/>
    <w:rsid w:val="00661B90"/>
    <w:rsid w:val="00661EA2"/>
    <w:rsid w:val="0066203C"/>
    <w:rsid w:val="00662AFD"/>
    <w:rsid w:val="00663535"/>
    <w:rsid w:val="006638A5"/>
    <w:rsid w:val="00663982"/>
    <w:rsid w:val="00663BE4"/>
    <w:rsid w:val="00663F77"/>
    <w:rsid w:val="006644B5"/>
    <w:rsid w:val="00664620"/>
    <w:rsid w:val="0066471E"/>
    <w:rsid w:val="006654AD"/>
    <w:rsid w:val="00665514"/>
    <w:rsid w:val="006656CF"/>
    <w:rsid w:val="00665879"/>
    <w:rsid w:val="006666A6"/>
    <w:rsid w:val="00666BDC"/>
    <w:rsid w:val="006674F8"/>
    <w:rsid w:val="006677C3"/>
    <w:rsid w:val="00667A13"/>
    <w:rsid w:val="00667D32"/>
    <w:rsid w:val="0067011C"/>
    <w:rsid w:val="0067042A"/>
    <w:rsid w:val="0067088E"/>
    <w:rsid w:val="0067093C"/>
    <w:rsid w:val="00670AE1"/>
    <w:rsid w:val="00670BD4"/>
    <w:rsid w:val="00670C1B"/>
    <w:rsid w:val="00670D08"/>
    <w:rsid w:val="006711F4"/>
    <w:rsid w:val="00671410"/>
    <w:rsid w:val="0067144F"/>
    <w:rsid w:val="00671729"/>
    <w:rsid w:val="00671D01"/>
    <w:rsid w:val="00671E1D"/>
    <w:rsid w:val="006720CB"/>
    <w:rsid w:val="006724BE"/>
    <w:rsid w:val="00672690"/>
    <w:rsid w:val="00672A20"/>
    <w:rsid w:val="00672B93"/>
    <w:rsid w:val="00672F46"/>
    <w:rsid w:val="00673231"/>
    <w:rsid w:val="00673568"/>
    <w:rsid w:val="006738A3"/>
    <w:rsid w:val="00673E1E"/>
    <w:rsid w:val="00674279"/>
    <w:rsid w:val="00674D24"/>
    <w:rsid w:val="00674E00"/>
    <w:rsid w:val="0067546F"/>
    <w:rsid w:val="00675ABB"/>
    <w:rsid w:val="00675B05"/>
    <w:rsid w:val="00675C6E"/>
    <w:rsid w:val="0067687D"/>
    <w:rsid w:val="006777A8"/>
    <w:rsid w:val="006777BE"/>
    <w:rsid w:val="006778BB"/>
    <w:rsid w:val="00677AB8"/>
    <w:rsid w:val="00677C5A"/>
    <w:rsid w:val="00677D5C"/>
    <w:rsid w:val="00677D60"/>
    <w:rsid w:val="00677EF4"/>
    <w:rsid w:val="00680042"/>
    <w:rsid w:val="006803DB"/>
    <w:rsid w:val="006803E4"/>
    <w:rsid w:val="00680FFC"/>
    <w:rsid w:val="0068151A"/>
    <w:rsid w:val="006816FA"/>
    <w:rsid w:val="00681ACD"/>
    <w:rsid w:val="00681E20"/>
    <w:rsid w:val="00681E5A"/>
    <w:rsid w:val="00683904"/>
    <w:rsid w:val="00683A20"/>
    <w:rsid w:val="00683DDB"/>
    <w:rsid w:val="00684049"/>
    <w:rsid w:val="00684305"/>
    <w:rsid w:val="00684B2E"/>
    <w:rsid w:val="00684B89"/>
    <w:rsid w:val="0068597C"/>
    <w:rsid w:val="0068623C"/>
    <w:rsid w:val="0068638A"/>
    <w:rsid w:val="0068674D"/>
    <w:rsid w:val="00686812"/>
    <w:rsid w:val="006873F1"/>
    <w:rsid w:val="00687B14"/>
    <w:rsid w:val="00690172"/>
    <w:rsid w:val="006905BE"/>
    <w:rsid w:val="006905F3"/>
    <w:rsid w:val="006907B8"/>
    <w:rsid w:val="00691233"/>
    <w:rsid w:val="00691431"/>
    <w:rsid w:val="006914B3"/>
    <w:rsid w:val="006916BA"/>
    <w:rsid w:val="00691786"/>
    <w:rsid w:val="006918E0"/>
    <w:rsid w:val="006921DA"/>
    <w:rsid w:val="006927D0"/>
    <w:rsid w:val="00692C93"/>
    <w:rsid w:val="00692E24"/>
    <w:rsid w:val="006930D8"/>
    <w:rsid w:val="0069370D"/>
    <w:rsid w:val="00693AE4"/>
    <w:rsid w:val="00693F72"/>
    <w:rsid w:val="006941CB"/>
    <w:rsid w:val="00694B55"/>
    <w:rsid w:val="006955E1"/>
    <w:rsid w:val="006956D0"/>
    <w:rsid w:val="00695C39"/>
    <w:rsid w:val="006961CD"/>
    <w:rsid w:val="00696406"/>
    <w:rsid w:val="00696542"/>
    <w:rsid w:val="006965B4"/>
    <w:rsid w:val="00697178"/>
    <w:rsid w:val="0069771E"/>
    <w:rsid w:val="006977CF"/>
    <w:rsid w:val="006977E6"/>
    <w:rsid w:val="00697E97"/>
    <w:rsid w:val="006A0103"/>
    <w:rsid w:val="006A0A0B"/>
    <w:rsid w:val="006A0CD7"/>
    <w:rsid w:val="006A0F54"/>
    <w:rsid w:val="006A1277"/>
    <w:rsid w:val="006A15CF"/>
    <w:rsid w:val="006A1872"/>
    <w:rsid w:val="006A1C89"/>
    <w:rsid w:val="006A1D05"/>
    <w:rsid w:val="006A22BE"/>
    <w:rsid w:val="006A2A5F"/>
    <w:rsid w:val="006A2DE8"/>
    <w:rsid w:val="006A2FDB"/>
    <w:rsid w:val="006A3310"/>
    <w:rsid w:val="006A3DD1"/>
    <w:rsid w:val="006A4101"/>
    <w:rsid w:val="006A47CF"/>
    <w:rsid w:val="006A4FBD"/>
    <w:rsid w:val="006A592C"/>
    <w:rsid w:val="006A5B66"/>
    <w:rsid w:val="006A740E"/>
    <w:rsid w:val="006A7532"/>
    <w:rsid w:val="006A76E4"/>
    <w:rsid w:val="006A7B9D"/>
    <w:rsid w:val="006A7BC3"/>
    <w:rsid w:val="006A7DE5"/>
    <w:rsid w:val="006B0055"/>
    <w:rsid w:val="006B010A"/>
    <w:rsid w:val="006B06E2"/>
    <w:rsid w:val="006B0D34"/>
    <w:rsid w:val="006B0D88"/>
    <w:rsid w:val="006B104A"/>
    <w:rsid w:val="006B12EB"/>
    <w:rsid w:val="006B14EE"/>
    <w:rsid w:val="006B1644"/>
    <w:rsid w:val="006B1659"/>
    <w:rsid w:val="006B1A57"/>
    <w:rsid w:val="006B1FE4"/>
    <w:rsid w:val="006B2855"/>
    <w:rsid w:val="006B2FAC"/>
    <w:rsid w:val="006B324E"/>
    <w:rsid w:val="006B360A"/>
    <w:rsid w:val="006B3995"/>
    <w:rsid w:val="006B3AF7"/>
    <w:rsid w:val="006B3D18"/>
    <w:rsid w:val="006B3F6F"/>
    <w:rsid w:val="006B49FB"/>
    <w:rsid w:val="006B4A45"/>
    <w:rsid w:val="006B5577"/>
    <w:rsid w:val="006B569E"/>
    <w:rsid w:val="006B58C6"/>
    <w:rsid w:val="006B58EC"/>
    <w:rsid w:val="006B5956"/>
    <w:rsid w:val="006B6337"/>
    <w:rsid w:val="006B6F69"/>
    <w:rsid w:val="006B7518"/>
    <w:rsid w:val="006B7A9B"/>
    <w:rsid w:val="006C055F"/>
    <w:rsid w:val="006C0850"/>
    <w:rsid w:val="006C0EF7"/>
    <w:rsid w:val="006C11BD"/>
    <w:rsid w:val="006C1254"/>
    <w:rsid w:val="006C1551"/>
    <w:rsid w:val="006C16F9"/>
    <w:rsid w:val="006C171E"/>
    <w:rsid w:val="006C1A0F"/>
    <w:rsid w:val="006C1F94"/>
    <w:rsid w:val="006C2188"/>
    <w:rsid w:val="006C21D4"/>
    <w:rsid w:val="006C24AB"/>
    <w:rsid w:val="006C2E2C"/>
    <w:rsid w:val="006C3311"/>
    <w:rsid w:val="006C3442"/>
    <w:rsid w:val="006C34FA"/>
    <w:rsid w:val="006C36B7"/>
    <w:rsid w:val="006C376C"/>
    <w:rsid w:val="006C3BA6"/>
    <w:rsid w:val="006C42CA"/>
    <w:rsid w:val="006C4AFD"/>
    <w:rsid w:val="006C4E03"/>
    <w:rsid w:val="006C564D"/>
    <w:rsid w:val="006C5B6A"/>
    <w:rsid w:val="006C651A"/>
    <w:rsid w:val="006C65AB"/>
    <w:rsid w:val="006C6884"/>
    <w:rsid w:val="006C688D"/>
    <w:rsid w:val="006C7F52"/>
    <w:rsid w:val="006D0196"/>
    <w:rsid w:val="006D03EF"/>
    <w:rsid w:val="006D3324"/>
    <w:rsid w:val="006D3B82"/>
    <w:rsid w:val="006D3BD4"/>
    <w:rsid w:val="006D3D78"/>
    <w:rsid w:val="006D3DE2"/>
    <w:rsid w:val="006D4A45"/>
    <w:rsid w:val="006D4F09"/>
    <w:rsid w:val="006D530A"/>
    <w:rsid w:val="006D54C4"/>
    <w:rsid w:val="006D5843"/>
    <w:rsid w:val="006D6171"/>
    <w:rsid w:val="006D62BB"/>
    <w:rsid w:val="006D631B"/>
    <w:rsid w:val="006D6769"/>
    <w:rsid w:val="006D6F84"/>
    <w:rsid w:val="006D7187"/>
    <w:rsid w:val="006D7359"/>
    <w:rsid w:val="006D75AC"/>
    <w:rsid w:val="006D7E51"/>
    <w:rsid w:val="006E0127"/>
    <w:rsid w:val="006E07BA"/>
    <w:rsid w:val="006E0A68"/>
    <w:rsid w:val="006E0E02"/>
    <w:rsid w:val="006E2425"/>
    <w:rsid w:val="006E291C"/>
    <w:rsid w:val="006E293B"/>
    <w:rsid w:val="006E2C9C"/>
    <w:rsid w:val="006E3953"/>
    <w:rsid w:val="006E3A0D"/>
    <w:rsid w:val="006E3BE0"/>
    <w:rsid w:val="006E4731"/>
    <w:rsid w:val="006E4C2D"/>
    <w:rsid w:val="006E520E"/>
    <w:rsid w:val="006E54B0"/>
    <w:rsid w:val="006E5FCA"/>
    <w:rsid w:val="006E66B2"/>
    <w:rsid w:val="006E6765"/>
    <w:rsid w:val="006E7C7B"/>
    <w:rsid w:val="006F04F8"/>
    <w:rsid w:val="006F081D"/>
    <w:rsid w:val="006F100E"/>
    <w:rsid w:val="006F141C"/>
    <w:rsid w:val="006F1426"/>
    <w:rsid w:val="006F16AB"/>
    <w:rsid w:val="006F16D0"/>
    <w:rsid w:val="006F1757"/>
    <w:rsid w:val="006F1ACC"/>
    <w:rsid w:val="006F1C3B"/>
    <w:rsid w:val="006F2157"/>
    <w:rsid w:val="006F2252"/>
    <w:rsid w:val="006F22FD"/>
    <w:rsid w:val="006F248A"/>
    <w:rsid w:val="006F2593"/>
    <w:rsid w:val="006F25D4"/>
    <w:rsid w:val="006F2670"/>
    <w:rsid w:val="006F27DA"/>
    <w:rsid w:val="006F2848"/>
    <w:rsid w:val="006F28DB"/>
    <w:rsid w:val="006F2A7B"/>
    <w:rsid w:val="006F3110"/>
    <w:rsid w:val="006F3A5E"/>
    <w:rsid w:val="006F41C8"/>
    <w:rsid w:val="006F4393"/>
    <w:rsid w:val="006F455E"/>
    <w:rsid w:val="006F49AA"/>
    <w:rsid w:val="006F4B87"/>
    <w:rsid w:val="006F4D8A"/>
    <w:rsid w:val="006F5731"/>
    <w:rsid w:val="006F5B7A"/>
    <w:rsid w:val="006F682B"/>
    <w:rsid w:val="006F7071"/>
    <w:rsid w:val="006F7B2A"/>
    <w:rsid w:val="00700C60"/>
    <w:rsid w:val="00700F30"/>
    <w:rsid w:val="007011DD"/>
    <w:rsid w:val="0070123D"/>
    <w:rsid w:val="007016F0"/>
    <w:rsid w:val="007017AE"/>
    <w:rsid w:val="00701883"/>
    <w:rsid w:val="0070207F"/>
    <w:rsid w:val="0070209A"/>
    <w:rsid w:val="0070271A"/>
    <w:rsid w:val="00703036"/>
    <w:rsid w:val="00703667"/>
    <w:rsid w:val="00703DFB"/>
    <w:rsid w:val="007040B9"/>
    <w:rsid w:val="00704758"/>
    <w:rsid w:val="00705006"/>
    <w:rsid w:val="00705573"/>
    <w:rsid w:val="00705762"/>
    <w:rsid w:val="00705B7B"/>
    <w:rsid w:val="00705B7F"/>
    <w:rsid w:val="0070600E"/>
    <w:rsid w:val="007060D2"/>
    <w:rsid w:val="00707616"/>
    <w:rsid w:val="00707E65"/>
    <w:rsid w:val="007107DD"/>
    <w:rsid w:val="00710D0F"/>
    <w:rsid w:val="00710D76"/>
    <w:rsid w:val="00711566"/>
    <w:rsid w:val="00711A1D"/>
    <w:rsid w:val="00712AC3"/>
    <w:rsid w:val="00712B29"/>
    <w:rsid w:val="00712B3B"/>
    <w:rsid w:val="00712C6C"/>
    <w:rsid w:val="00712D5D"/>
    <w:rsid w:val="00713065"/>
    <w:rsid w:val="0071309B"/>
    <w:rsid w:val="0071343D"/>
    <w:rsid w:val="00713E0B"/>
    <w:rsid w:val="00713EA2"/>
    <w:rsid w:val="00713EC0"/>
    <w:rsid w:val="00714680"/>
    <w:rsid w:val="00714BD0"/>
    <w:rsid w:val="007151FB"/>
    <w:rsid w:val="0071520F"/>
    <w:rsid w:val="0071542C"/>
    <w:rsid w:val="0071669D"/>
    <w:rsid w:val="0071715E"/>
    <w:rsid w:val="0071740B"/>
    <w:rsid w:val="00717415"/>
    <w:rsid w:val="00717735"/>
    <w:rsid w:val="00717747"/>
    <w:rsid w:val="00717891"/>
    <w:rsid w:val="00717FE3"/>
    <w:rsid w:val="00720018"/>
    <w:rsid w:val="00720225"/>
    <w:rsid w:val="00720284"/>
    <w:rsid w:val="007202EE"/>
    <w:rsid w:val="007204C4"/>
    <w:rsid w:val="00720943"/>
    <w:rsid w:val="00720A2F"/>
    <w:rsid w:val="00720C90"/>
    <w:rsid w:val="00720D05"/>
    <w:rsid w:val="00721128"/>
    <w:rsid w:val="007212E0"/>
    <w:rsid w:val="007220A2"/>
    <w:rsid w:val="0072212D"/>
    <w:rsid w:val="00722A67"/>
    <w:rsid w:val="00722CC8"/>
    <w:rsid w:val="00722CF8"/>
    <w:rsid w:val="00722EF3"/>
    <w:rsid w:val="00723391"/>
    <w:rsid w:val="007235D1"/>
    <w:rsid w:val="00723CBB"/>
    <w:rsid w:val="00723D56"/>
    <w:rsid w:val="00724279"/>
    <w:rsid w:val="007242E3"/>
    <w:rsid w:val="0072444B"/>
    <w:rsid w:val="007249A3"/>
    <w:rsid w:val="0072508E"/>
    <w:rsid w:val="007250DF"/>
    <w:rsid w:val="007256EC"/>
    <w:rsid w:val="00725904"/>
    <w:rsid w:val="00725E3E"/>
    <w:rsid w:val="00725EED"/>
    <w:rsid w:val="007263E0"/>
    <w:rsid w:val="0072663F"/>
    <w:rsid w:val="0072697F"/>
    <w:rsid w:val="00727149"/>
    <w:rsid w:val="0072734B"/>
    <w:rsid w:val="007275AE"/>
    <w:rsid w:val="00727673"/>
    <w:rsid w:val="00727A1A"/>
    <w:rsid w:val="0073004D"/>
    <w:rsid w:val="007303B6"/>
    <w:rsid w:val="007308DD"/>
    <w:rsid w:val="0073097A"/>
    <w:rsid w:val="00730E96"/>
    <w:rsid w:val="00730F59"/>
    <w:rsid w:val="007311FA"/>
    <w:rsid w:val="00731331"/>
    <w:rsid w:val="0073134A"/>
    <w:rsid w:val="00731732"/>
    <w:rsid w:val="0073205A"/>
    <w:rsid w:val="007323B2"/>
    <w:rsid w:val="007325E7"/>
    <w:rsid w:val="007326FA"/>
    <w:rsid w:val="0073270C"/>
    <w:rsid w:val="00732B68"/>
    <w:rsid w:val="00733205"/>
    <w:rsid w:val="0073320A"/>
    <w:rsid w:val="0073323F"/>
    <w:rsid w:val="00733ABF"/>
    <w:rsid w:val="00733B7A"/>
    <w:rsid w:val="00733B87"/>
    <w:rsid w:val="00733CAE"/>
    <w:rsid w:val="0073449B"/>
    <w:rsid w:val="00734543"/>
    <w:rsid w:val="00735708"/>
    <w:rsid w:val="0073580E"/>
    <w:rsid w:val="0073603E"/>
    <w:rsid w:val="00736071"/>
    <w:rsid w:val="0073655E"/>
    <w:rsid w:val="007372FE"/>
    <w:rsid w:val="007374C0"/>
    <w:rsid w:val="0073764B"/>
    <w:rsid w:val="00737AC5"/>
    <w:rsid w:val="00737DC1"/>
    <w:rsid w:val="00737EEE"/>
    <w:rsid w:val="0074016C"/>
    <w:rsid w:val="007403DA"/>
    <w:rsid w:val="00740918"/>
    <w:rsid w:val="00741045"/>
    <w:rsid w:val="0074125B"/>
    <w:rsid w:val="00741E1E"/>
    <w:rsid w:val="007423A5"/>
    <w:rsid w:val="00742936"/>
    <w:rsid w:val="00742B20"/>
    <w:rsid w:val="007433BE"/>
    <w:rsid w:val="007440A8"/>
    <w:rsid w:val="00744185"/>
    <w:rsid w:val="00744659"/>
    <w:rsid w:val="00745AE4"/>
    <w:rsid w:val="00745FB3"/>
    <w:rsid w:val="0074642E"/>
    <w:rsid w:val="00746944"/>
    <w:rsid w:val="007472D0"/>
    <w:rsid w:val="007474FC"/>
    <w:rsid w:val="00747862"/>
    <w:rsid w:val="00747AE1"/>
    <w:rsid w:val="00750461"/>
    <w:rsid w:val="00750810"/>
    <w:rsid w:val="00750A23"/>
    <w:rsid w:val="00750F47"/>
    <w:rsid w:val="00751053"/>
    <w:rsid w:val="0075123F"/>
    <w:rsid w:val="0075169C"/>
    <w:rsid w:val="007516C2"/>
    <w:rsid w:val="007518B8"/>
    <w:rsid w:val="00752221"/>
    <w:rsid w:val="0075241E"/>
    <w:rsid w:val="007529B5"/>
    <w:rsid w:val="007529FC"/>
    <w:rsid w:val="00753CCD"/>
    <w:rsid w:val="007541B6"/>
    <w:rsid w:val="0075430E"/>
    <w:rsid w:val="0075451B"/>
    <w:rsid w:val="0075498F"/>
    <w:rsid w:val="007549CE"/>
    <w:rsid w:val="007551BE"/>
    <w:rsid w:val="0075523C"/>
    <w:rsid w:val="007561EB"/>
    <w:rsid w:val="00756C53"/>
    <w:rsid w:val="00757747"/>
    <w:rsid w:val="007578A8"/>
    <w:rsid w:val="00757B85"/>
    <w:rsid w:val="00757C39"/>
    <w:rsid w:val="00757F67"/>
    <w:rsid w:val="007608B0"/>
    <w:rsid w:val="00760A4F"/>
    <w:rsid w:val="00760D5D"/>
    <w:rsid w:val="0076136C"/>
    <w:rsid w:val="00761962"/>
    <w:rsid w:val="007620DD"/>
    <w:rsid w:val="007620EB"/>
    <w:rsid w:val="007621A9"/>
    <w:rsid w:val="007624D8"/>
    <w:rsid w:val="00762C5A"/>
    <w:rsid w:val="00762F4C"/>
    <w:rsid w:val="00763102"/>
    <w:rsid w:val="00763848"/>
    <w:rsid w:val="00763C9E"/>
    <w:rsid w:val="00763CF7"/>
    <w:rsid w:val="0076400C"/>
    <w:rsid w:val="0076402D"/>
    <w:rsid w:val="00764247"/>
    <w:rsid w:val="007642E7"/>
    <w:rsid w:val="00764855"/>
    <w:rsid w:val="00764FA1"/>
    <w:rsid w:val="0076536F"/>
    <w:rsid w:val="0076552D"/>
    <w:rsid w:val="00765C1C"/>
    <w:rsid w:val="00766AA4"/>
    <w:rsid w:val="00766B55"/>
    <w:rsid w:val="007672B4"/>
    <w:rsid w:val="00767F31"/>
    <w:rsid w:val="007706F5"/>
    <w:rsid w:val="00770BA0"/>
    <w:rsid w:val="00770FEB"/>
    <w:rsid w:val="0077135F"/>
    <w:rsid w:val="00772661"/>
    <w:rsid w:val="00772D10"/>
    <w:rsid w:val="00772F48"/>
    <w:rsid w:val="007731E9"/>
    <w:rsid w:val="00773530"/>
    <w:rsid w:val="00773989"/>
    <w:rsid w:val="00774622"/>
    <w:rsid w:val="007749E0"/>
    <w:rsid w:val="00774FB3"/>
    <w:rsid w:val="0077518D"/>
    <w:rsid w:val="007757AD"/>
    <w:rsid w:val="00775B39"/>
    <w:rsid w:val="00775CA1"/>
    <w:rsid w:val="00776658"/>
    <w:rsid w:val="00776A45"/>
    <w:rsid w:val="00776A46"/>
    <w:rsid w:val="00776A82"/>
    <w:rsid w:val="00776A85"/>
    <w:rsid w:val="00776C09"/>
    <w:rsid w:val="00776CBC"/>
    <w:rsid w:val="007770E3"/>
    <w:rsid w:val="0077798C"/>
    <w:rsid w:val="00777ED1"/>
    <w:rsid w:val="00780165"/>
    <w:rsid w:val="007804A6"/>
    <w:rsid w:val="00780E89"/>
    <w:rsid w:val="007814BB"/>
    <w:rsid w:val="007814FC"/>
    <w:rsid w:val="00781A19"/>
    <w:rsid w:val="00781D7F"/>
    <w:rsid w:val="0078259D"/>
    <w:rsid w:val="00782BE4"/>
    <w:rsid w:val="00782D23"/>
    <w:rsid w:val="0078308A"/>
    <w:rsid w:val="007834A7"/>
    <w:rsid w:val="00783556"/>
    <w:rsid w:val="007842E2"/>
    <w:rsid w:val="00784984"/>
    <w:rsid w:val="00785201"/>
    <w:rsid w:val="007856D5"/>
    <w:rsid w:val="0078588F"/>
    <w:rsid w:val="00786B35"/>
    <w:rsid w:val="00786C28"/>
    <w:rsid w:val="0078704A"/>
    <w:rsid w:val="0078710A"/>
    <w:rsid w:val="00787300"/>
    <w:rsid w:val="00787F56"/>
    <w:rsid w:val="0079019A"/>
    <w:rsid w:val="007903AF"/>
    <w:rsid w:val="007905D7"/>
    <w:rsid w:val="0079063E"/>
    <w:rsid w:val="0079073C"/>
    <w:rsid w:val="007907DE"/>
    <w:rsid w:val="00790983"/>
    <w:rsid w:val="00790B33"/>
    <w:rsid w:val="00790B6C"/>
    <w:rsid w:val="00790C1D"/>
    <w:rsid w:val="00791838"/>
    <w:rsid w:val="00791A13"/>
    <w:rsid w:val="0079274B"/>
    <w:rsid w:val="00793BA3"/>
    <w:rsid w:val="00793C78"/>
    <w:rsid w:val="00793DE1"/>
    <w:rsid w:val="00793EB2"/>
    <w:rsid w:val="00794E2A"/>
    <w:rsid w:val="00795236"/>
    <w:rsid w:val="00795817"/>
    <w:rsid w:val="007959B7"/>
    <w:rsid w:val="00795AE6"/>
    <w:rsid w:val="00795B23"/>
    <w:rsid w:val="00795F84"/>
    <w:rsid w:val="00795F8E"/>
    <w:rsid w:val="007965E1"/>
    <w:rsid w:val="00796C57"/>
    <w:rsid w:val="007973F4"/>
    <w:rsid w:val="007975C1"/>
    <w:rsid w:val="007975DE"/>
    <w:rsid w:val="007976DC"/>
    <w:rsid w:val="007A04B0"/>
    <w:rsid w:val="007A06B1"/>
    <w:rsid w:val="007A0CA3"/>
    <w:rsid w:val="007A120F"/>
    <w:rsid w:val="007A194F"/>
    <w:rsid w:val="007A2890"/>
    <w:rsid w:val="007A296D"/>
    <w:rsid w:val="007A2B4C"/>
    <w:rsid w:val="007A2D16"/>
    <w:rsid w:val="007A2E62"/>
    <w:rsid w:val="007A39F4"/>
    <w:rsid w:val="007A3CED"/>
    <w:rsid w:val="007A40E0"/>
    <w:rsid w:val="007A436F"/>
    <w:rsid w:val="007A4447"/>
    <w:rsid w:val="007A46EB"/>
    <w:rsid w:val="007A4A00"/>
    <w:rsid w:val="007A4C24"/>
    <w:rsid w:val="007A529B"/>
    <w:rsid w:val="007A57D1"/>
    <w:rsid w:val="007A5867"/>
    <w:rsid w:val="007A587E"/>
    <w:rsid w:val="007A5994"/>
    <w:rsid w:val="007A610B"/>
    <w:rsid w:val="007A6355"/>
    <w:rsid w:val="007A64C8"/>
    <w:rsid w:val="007A7058"/>
    <w:rsid w:val="007A7149"/>
    <w:rsid w:val="007A760C"/>
    <w:rsid w:val="007A76AC"/>
    <w:rsid w:val="007A779F"/>
    <w:rsid w:val="007A7FD1"/>
    <w:rsid w:val="007B04F4"/>
    <w:rsid w:val="007B0712"/>
    <w:rsid w:val="007B0BCE"/>
    <w:rsid w:val="007B0E6B"/>
    <w:rsid w:val="007B1053"/>
    <w:rsid w:val="007B10D9"/>
    <w:rsid w:val="007B175A"/>
    <w:rsid w:val="007B1F3B"/>
    <w:rsid w:val="007B2074"/>
    <w:rsid w:val="007B2428"/>
    <w:rsid w:val="007B24B9"/>
    <w:rsid w:val="007B299A"/>
    <w:rsid w:val="007B2CFA"/>
    <w:rsid w:val="007B2F49"/>
    <w:rsid w:val="007B39E2"/>
    <w:rsid w:val="007B3DDB"/>
    <w:rsid w:val="007B3E75"/>
    <w:rsid w:val="007B3EC0"/>
    <w:rsid w:val="007B455B"/>
    <w:rsid w:val="007B476A"/>
    <w:rsid w:val="007B50B3"/>
    <w:rsid w:val="007B5184"/>
    <w:rsid w:val="007B55D9"/>
    <w:rsid w:val="007B62D4"/>
    <w:rsid w:val="007B6861"/>
    <w:rsid w:val="007B6A46"/>
    <w:rsid w:val="007B6CC2"/>
    <w:rsid w:val="007B70B7"/>
    <w:rsid w:val="007B714C"/>
    <w:rsid w:val="007B7544"/>
    <w:rsid w:val="007B7670"/>
    <w:rsid w:val="007B7B5E"/>
    <w:rsid w:val="007C079F"/>
    <w:rsid w:val="007C07C3"/>
    <w:rsid w:val="007C097D"/>
    <w:rsid w:val="007C0B49"/>
    <w:rsid w:val="007C0C8F"/>
    <w:rsid w:val="007C11BD"/>
    <w:rsid w:val="007C126A"/>
    <w:rsid w:val="007C1348"/>
    <w:rsid w:val="007C1C1C"/>
    <w:rsid w:val="007C1C88"/>
    <w:rsid w:val="007C1DCC"/>
    <w:rsid w:val="007C22EA"/>
    <w:rsid w:val="007C2451"/>
    <w:rsid w:val="007C2587"/>
    <w:rsid w:val="007C2C32"/>
    <w:rsid w:val="007C2EC0"/>
    <w:rsid w:val="007C3694"/>
    <w:rsid w:val="007C384E"/>
    <w:rsid w:val="007C43BE"/>
    <w:rsid w:val="007C43C8"/>
    <w:rsid w:val="007C4814"/>
    <w:rsid w:val="007C487F"/>
    <w:rsid w:val="007C49BC"/>
    <w:rsid w:val="007C4A0C"/>
    <w:rsid w:val="007C4C56"/>
    <w:rsid w:val="007C518C"/>
    <w:rsid w:val="007C5495"/>
    <w:rsid w:val="007C5588"/>
    <w:rsid w:val="007C56BC"/>
    <w:rsid w:val="007C5974"/>
    <w:rsid w:val="007C5E92"/>
    <w:rsid w:val="007C66C4"/>
    <w:rsid w:val="007C689E"/>
    <w:rsid w:val="007C728A"/>
    <w:rsid w:val="007C7744"/>
    <w:rsid w:val="007C7B74"/>
    <w:rsid w:val="007C7BF5"/>
    <w:rsid w:val="007C7FC7"/>
    <w:rsid w:val="007C7FCA"/>
    <w:rsid w:val="007D02B4"/>
    <w:rsid w:val="007D068A"/>
    <w:rsid w:val="007D0DDC"/>
    <w:rsid w:val="007D136D"/>
    <w:rsid w:val="007D16B6"/>
    <w:rsid w:val="007D1A71"/>
    <w:rsid w:val="007D1CEA"/>
    <w:rsid w:val="007D1F9F"/>
    <w:rsid w:val="007D20B9"/>
    <w:rsid w:val="007D37C3"/>
    <w:rsid w:val="007D387B"/>
    <w:rsid w:val="007D3ADD"/>
    <w:rsid w:val="007D3D15"/>
    <w:rsid w:val="007D3F96"/>
    <w:rsid w:val="007D403A"/>
    <w:rsid w:val="007D438F"/>
    <w:rsid w:val="007D442D"/>
    <w:rsid w:val="007D47AB"/>
    <w:rsid w:val="007D4AA8"/>
    <w:rsid w:val="007D4C9F"/>
    <w:rsid w:val="007D4D0E"/>
    <w:rsid w:val="007D4DCD"/>
    <w:rsid w:val="007D4F52"/>
    <w:rsid w:val="007D51AE"/>
    <w:rsid w:val="007D5716"/>
    <w:rsid w:val="007D57A9"/>
    <w:rsid w:val="007D5930"/>
    <w:rsid w:val="007D5F85"/>
    <w:rsid w:val="007D6533"/>
    <w:rsid w:val="007D66CB"/>
    <w:rsid w:val="007D6C2D"/>
    <w:rsid w:val="007D7B53"/>
    <w:rsid w:val="007E0825"/>
    <w:rsid w:val="007E0DCB"/>
    <w:rsid w:val="007E111A"/>
    <w:rsid w:val="007E1147"/>
    <w:rsid w:val="007E147A"/>
    <w:rsid w:val="007E187A"/>
    <w:rsid w:val="007E1945"/>
    <w:rsid w:val="007E1EC2"/>
    <w:rsid w:val="007E35DE"/>
    <w:rsid w:val="007E418E"/>
    <w:rsid w:val="007E4252"/>
    <w:rsid w:val="007E4624"/>
    <w:rsid w:val="007E4694"/>
    <w:rsid w:val="007E46C2"/>
    <w:rsid w:val="007E545B"/>
    <w:rsid w:val="007E565F"/>
    <w:rsid w:val="007E56D5"/>
    <w:rsid w:val="007E59C2"/>
    <w:rsid w:val="007E5CCC"/>
    <w:rsid w:val="007E5FA2"/>
    <w:rsid w:val="007E63A7"/>
    <w:rsid w:val="007E64C9"/>
    <w:rsid w:val="007E6864"/>
    <w:rsid w:val="007E6B4B"/>
    <w:rsid w:val="007E6B93"/>
    <w:rsid w:val="007E6E32"/>
    <w:rsid w:val="007E71E2"/>
    <w:rsid w:val="007E7DD9"/>
    <w:rsid w:val="007E7E98"/>
    <w:rsid w:val="007E7F68"/>
    <w:rsid w:val="007F0010"/>
    <w:rsid w:val="007F0353"/>
    <w:rsid w:val="007F0396"/>
    <w:rsid w:val="007F0828"/>
    <w:rsid w:val="007F09CE"/>
    <w:rsid w:val="007F0A29"/>
    <w:rsid w:val="007F0CEC"/>
    <w:rsid w:val="007F1099"/>
    <w:rsid w:val="007F14F7"/>
    <w:rsid w:val="007F1984"/>
    <w:rsid w:val="007F1D90"/>
    <w:rsid w:val="007F21A8"/>
    <w:rsid w:val="007F2545"/>
    <w:rsid w:val="007F25B1"/>
    <w:rsid w:val="007F28F5"/>
    <w:rsid w:val="007F2E3B"/>
    <w:rsid w:val="007F3281"/>
    <w:rsid w:val="007F3AE8"/>
    <w:rsid w:val="007F3C16"/>
    <w:rsid w:val="007F3CC9"/>
    <w:rsid w:val="007F3F0B"/>
    <w:rsid w:val="007F47D2"/>
    <w:rsid w:val="007F4D35"/>
    <w:rsid w:val="007F4E18"/>
    <w:rsid w:val="007F556F"/>
    <w:rsid w:val="007F5D38"/>
    <w:rsid w:val="007F5D75"/>
    <w:rsid w:val="007F5E8B"/>
    <w:rsid w:val="007F5F24"/>
    <w:rsid w:val="007F65B8"/>
    <w:rsid w:val="007F6DC9"/>
    <w:rsid w:val="007F709A"/>
    <w:rsid w:val="007F7146"/>
    <w:rsid w:val="007F7368"/>
    <w:rsid w:val="007F74B4"/>
    <w:rsid w:val="007F7D9A"/>
    <w:rsid w:val="00800515"/>
    <w:rsid w:val="00800B44"/>
    <w:rsid w:val="00800BE5"/>
    <w:rsid w:val="00801073"/>
    <w:rsid w:val="00801E5F"/>
    <w:rsid w:val="00802B49"/>
    <w:rsid w:val="00802E2E"/>
    <w:rsid w:val="008032B3"/>
    <w:rsid w:val="008032EC"/>
    <w:rsid w:val="00803E40"/>
    <w:rsid w:val="008041F8"/>
    <w:rsid w:val="00804797"/>
    <w:rsid w:val="00804828"/>
    <w:rsid w:val="00804939"/>
    <w:rsid w:val="00804B62"/>
    <w:rsid w:val="00804D37"/>
    <w:rsid w:val="00805890"/>
    <w:rsid w:val="00805CE0"/>
    <w:rsid w:val="00805D52"/>
    <w:rsid w:val="00805E9B"/>
    <w:rsid w:val="00805F80"/>
    <w:rsid w:val="0080634A"/>
    <w:rsid w:val="00806841"/>
    <w:rsid w:val="00806B26"/>
    <w:rsid w:val="00806FC9"/>
    <w:rsid w:val="008070EC"/>
    <w:rsid w:val="00807102"/>
    <w:rsid w:val="0080731A"/>
    <w:rsid w:val="008075E1"/>
    <w:rsid w:val="008079BA"/>
    <w:rsid w:val="008108D8"/>
    <w:rsid w:val="008115DA"/>
    <w:rsid w:val="00811816"/>
    <w:rsid w:val="00811F7C"/>
    <w:rsid w:val="00812390"/>
    <w:rsid w:val="008134CF"/>
    <w:rsid w:val="00813955"/>
    <w:rsid w:val="0081415B"/>
    <w:rsid w:val="00814CAE"/>
    <w:rsid w:val="0081532B"/>
    <w:rsid w:val="00815957"/>
    <w:rsid w:val="00815B83"/>
    <w:rsid w:val="008161E9"/>
    <w:rsid w:val="00816841"/>
    <w:rsid w:val="00816DD8"/>
    <w:rsid w:val="008170C6"/>
    <w:rsid w:val="008170EB"/>
    <w:rsid w:val="00817D3D"/>
    <w:rsid w:val="008205AB"/>
    <w:rsid w:val="00820808"/>
    <w:rsid w:val="008208B6"/>
    <w:rsid w:val="008208E3"/>
    <w:rsid w:val="00820A66"/>
    <w:rsid w:val="00820D5F"/>
    <w:rsid w:val="00820E84"/>
    <w:rsid w:val="00820F0E"/>
    <w:rsid w:val="0082110F"/>
    <w:rsid w:val="008213B9"/>
    <w:rsid w:val="00821555"/>
    <w:rsid w:val="0082171D"/>
    <w:rsid w:val="008219D9"/>
    <w:rsid w:val="008222DE"/>
    <w:rsid w:val="008226F8"/>
    <w:rsid w:val="0082275E"/>
    <w:rsid w:val="0082281D"/>
    <w:rsid w:val="0082321B"/>
    <w:rsid w:val="0082368F"/>
    <w:rsid w:val="00823BD3"/>
    <w:rsid w:val="00823D66"/>
    <w:rsid w:val="00823DD6"/>
    <w:rsid w:val="00823DDB"/>
    <w:rsid w:val="008242A3"/>
    <w:rsid w:val="008244F9"/>
    <w:rsid w:val="00824609"/>
    <w:rsid w:val="00824EA9"/>
    <w:rsid w:val="0082518D"/>
    <w:rsid w:val="008253F8"/>
    <w:rsid w:val="00825BD0"/>
    <w:rsid w:val="00825ED0"/>
    <w:rsid w:val="00827021"/>
    <w:rsid w:val="00827117"/>
    <w:rsid w:val="008275D7"/>
    <w:rsid w:val="00827AAF"/>
    <w:rsid w:val="00827FF1"/>
    <w:rsid w:val="00827FF2"/>
    <w:rsid w:val="00830234"/>
    <w:rsid w:val="008304F9"/>
    <w:rsid w:val="0083091D"/>
    <w:rsid w:val="00830B7E"/>
    <w:rsid w:val="00830CAF"/>
    <w:rsid w:val="008312B4"/>
    <w:rsid w:val="00831568"/>
    <w:rsid w:val="008319A9"/>
    <w:rsid w:val="00831B07"/>
    <w:rsid w:val="00831B8C"/>
    <w:rsid w:val="00832312"/>
    <w:rsid w:val="008326CE"/>
    <w:rsid w:val="00832D65"/>
    <w:rsid w:val="0083319A"/>
    <w:rsid w:val="0083320D"/>
    <w:rsid w:val="00833279"/>
    <w:rsid w:val="00833B4B"/>
    <w:rsid w:val="00833F36"/>
    <w:rsid w:val="008345BA"/>
    <w:rsid w:val="008347B5"/>
    <w:rsid w:val="008365C6"/>
    <w:rsid w:val="00836FA5"/>
    <w:rsid w:val="00837394"/>
    <w:rsid w:val="008376FB"/>
    <w:rsid w:val="0083774C"/>
    <w:rsid w:val="00837C92"/>
    <w:rsid w:val="00840086"/>
    <w:rsid w:val="00840088"/>
    <w:rsid w:val="00840255"/>
    <w:rsid w:val="008406A2"/>
    <w:rsid w:val="00840785"/>
    <w:rsid w:val="0084087E"/>
    <w:rsid w:val="0084121D"/>
    <w:rsid w:val="0084130C"/>
    <w:rsid w:val="008415BE"/>
    <w:rsid w:val="00841750"/>
    <w:rsid w:val="00841F9C"/>
    <w:rsid w:val="0084254B"/>
    <w:rsid w:val="00842671"/>
    <w:rsid w:val="00842D36"/>
    <w:rsid w:val="00842FB7"/>
    <w:rsid w:val="00843128"/>
    <w:rsid w:val="00843147"/>
    <w:rsid w:val="00843511"/>
    <w:rsid w:val="008436B9"/>
    <w:rsid w:val="0084384F"/>
    <w:rsid w:val="00844334"/>
    <w:rsid w:val="008445BE"/>
    <w:rsid w:val="00844604"/>
    <w:rsid w:val="00844A4B"/>
    <w:rsid w:val="008451F3"/>
    <w:rsid w:val="00845247"/>
    <w:rsid w:val="008452CB"/>
    <w:rsid w:val="008453BA"/>
    <w:rsid w:val="008459E1"/>
    <w:rsid w:val="00845C29"/>
    <w:rsid w:val="00845F5B"/>
    <w:rsid w:val="00846A9A"/>
    <w:rsid w:val="00846D00"/>
    <w:rsid w:val="00846D24"/>
    <w:rsid w:val="00846EBB"/>
    <w:rsid w:val="00846F07"/>
    <w:rsid w:val="00846FF9"/>
    <w:rsid w:val="008473FC"/>
    <w:rsid w:val="00847F7A"/>
    <w:rsid w:val="0085099D"/>
    <w:rsid w:val="008509AA"/>
    <w:rsid w:val="00850BF9"/>
    <w:rsid w:val="00850C94"/>
    <w:rsid w:val="00850F73"/>
    <w:rsid w:val="00851054"/>
    <w:rsid w:val="00851C38"/>
    <w:rsid w:val="00851E11"/>
    <w:rsid w:val="00851FE4"/>
    <w:rsid w:val="0085242E"/>
    <w:rsid w:val="00852436"/>
    <w:rsid w:val="008529BF"/>
    <w:rsid w:val="00852DF6"/>
    <w:rsid w:val="00853147"/>
    <w:rsid w:val="00853210"/>
    <w:rsid w:val="00853658"/>
    <w:rsid w:val="008539FE"/>
    <w:rsid w:val="00854238"/>
    <w:rsid w:val="00854FA7"/>
    <w:rsid w:val="008550ED"/>
    <w:rsid w:val="008552E3"/>
    <w:rsid w:val="008555C9"/>
    <w:rsid w:val="008556EF"/>
    <w:rsid w:val="00855B2B"/>
    <w:rsid w:val="00855E62"/>
    <w:rsid w:val="00855F9B"/>
    <w:rsid w:val="008560EF"/>
    <w:rsid w:val="008563BF"/>
    <w:rsid w:val="00856900"/>
    <w:rsid w:val="00856D90"/>
    <w:rsid w:val="00856DD3"/>
    <w:rsid w:val="00856FE0"/>
    <w:rsid w:val="00857192"/>
    <w:rsid w:val="008572CB"/>
    <w:rsid w:val="008573EC"/>
    <w:rsid w:val="00857489"/>
    <w:rsid w:val="00857AF2"/>
    <w:rsid w:val="00857C7E"/>
    <w:rsid w:val="00857D89"/>
    <w:rsid w:val="00857FCC"/>
    <w:rsid w:val="00860191"/>
    <w:rsid w:val="0086053B"/>
    <w:rsid w:val="00860E04"/>
    <w:rsid w:val="0086101B"/>
    <w:rsid w:val="008610AC"/>
    <w:rsid w:val="008613B2"/>
    <w:rsid w:val="00861629"/>
    <w:rsid w:val="008616CD"/>
    <w:rsid w:val="00861B0D"/>
    <w:rsid w:val="00861E56"/>
    <w:rsid w:val="00862589"/>
    <w:rsid w:val="008628DB"/>
    <w:rsid w:val="00862C30"/>
    <w:rsid w:val="0086353E"/>
    <w:rsid w:val="00863A20"/>
    <w:rsid w:val="00863A7F"/>
    <w:rsid w:val="00863BA5"/>
    <w:rsid w:val="00863D20"/>
    <w:rsid w:val="00863D9B"/>
    <w:rsid w:val="00863FE5"/>
    <w:rsid w:val="008648F6"/>
    <w:rsid w:val="008649FC"/>
    <w:rsid w:val="00864EFD"/>
    <w:rsid w:val="00864FBE"/>
    <w:rsid w:val="00865A88"/>
    <w:rsid w:val="00865CDA"/>
    <w:rsid w:val="00865DC1"/>
    <w:rsid w:val="008669D1"/>
    <w:rsid w:val="00866CC1"/>
    <w:rsid w:val="0086708B"/>
    <w:rsid w:val="008674AF"/>
    <w:rsid w:val="00867587"/>
    <w:rsid w:val="00867A88"/>
    <w:rsid w:val="00867BBA"/>
    <w:rsid w:val="00870095"/>
    <w:rsid w:val="008701DE"/>
    <w:rsid w:val="0087043C"/>
    <w:rsid w:val="00870659"/>
    <w:rsid w:val="0087091E"/>
    <w:rsid w:val="00870A56"/>
    <w:rsid w:val="00870BAF"/>
    <w:rsid w:val="00871BFB"/>
    <w:rsid w:val="008723F8"/>
    <w:rsid w:val="0087272F"/>
    <w:rsid w:val="008727B9"/>
    <w:rsid w:val="0087338C"/>
    <w:rsid w:val="0087379D"/>
    <w:rsid w:val="008739B5"/>
    <w:rsid w:val="008747B0"/>
    <w:rsid w:val="008757A1"/>
    <w:rsid w:val="008762B8"/>
    <w:rsid w:val="00877242"/>
    <w:rsid w:val="00877316"/>
    <w:rsid w:val="00877890"/>
    <w:rsid w:val="00877ED5"/>
    <w:rsid w:val="00880832"/>
    <w:rsid w:val="00880D6F"/>
    <w:rsid w:val="008818A4"/>
    <w:rsid w:val="00881B33"/>
    <w:rsid w:val="00881B3E"/>
    <w:rsid w:val="00881C8F"/>
    <w:rsid w:val="00881D64"/>
    <w:rsid w:val="00882BEE"/>
    <w:rsid w:val="00882CA5"/>
    <w:rsid w:val="00882DF0"/>
    <w:rsid w:val="00883D6C"/>
    <w:rsid w:val="008845FC"/>
    <w:rsid w:val="0088475A"/>
    <w:rsid w:val="008847B5"/>
    <w:rsid w:val="00884DF5"/>
    <w:rsid w:val="00884F9B"/>
    <w:rsid w:val="00885464"/>
    <w:rsid w:val="00885E32"/>
    <w:rsid w:val="00885EA9"/>
    <w:rsid w:val="00886356"/>
    <w:rsid w:val="00886366"/>
    <w:rsid w:val="0088638B"/>
    <w:rsid w:val="00886862"/>
    <w:rsid w:val="00886866"/>
    <w:rsid w:val="00887342"/>
    <w:rsid w:val="008873BC"/>
    <w:rsid w:val="008874DC"/>
    <w:rsid w:val="00887636"/>
    <w:rsid w:val="008877AB"/>
    <w:rsid w:val="00887B48"/>
    <w:rsid w:val="00887DE1"/>
    <w:rsid w:val="0089072B"/>
    <w:rsid w:val="00890743"/>
    <w:rsid w:val="008919D8"/>
    <w:rsid w:val="008921C0"/>
    <w:rsid w:val="008924E2"/>
    <w:rsid w:val="00892640"/>
    <w:rsid w:val="00892E94"/>
    <w:rsid w:val="00892EE8"/>
    <w:rsid w:val="00893D5E"/>
    <w:rsid w:val="008944AD"/>
    <w:rsid w:val="008944C8"/>
    <w:rsid w:val="00894EEA"/>
    <w:rsid w:val="008951CE"/>
    <w:rsid w:val="008953DD"/>
    <w:rsid w:val="008954F7"/>
    <w:rsid w:val="008956ED"/>
    <w:rsid w:val="00895F8A"/>
    <w:rsid w:val="0089615C"/>
    <w:rsid w:val="00896331"/>
    <w:rsid w:val="0089675F"/>
    <w:rsid w:val="00896824"/>
    <w:rsid w:val="00896CDE"/>
    <w:rsid w:val="00896F2C"/>
    <w:rsid w:val="00896F66"/>
    <w:rsid w:val="00897949"/>
    <w:rsid w:val="00897A64"/>
    <w:rsid w:val="008A004C"/>
    <w:rsid w:val="008A0142"/>
    <w:rsid w:val="008A014C"/>
    <w:rsid w:val="008A0829"/>
    <w:rsid w:val="008A08AC"/>
    <w:rsid w:val="008A0ADA"/>
    <w:rsid w:val="008A0CE3"/>
    <w:rsid w:val="008A1102"/>
    <w:rsid w:val="008A1323"/>
    <w:rsid w:val="008A19E9"/>
    <w:rsid w:val="008A1AB4"/>
    <w:rsid w:val="008A21B1"/>
    <w:rsid w:val="008A244D"/>
    <w:rsid w:val="008A24F0"/>
    <w:rsid w:val="008A2626"/>
    <w:rsid w:val="008A2DC3"/>
    <w:rsid w:val="008A2F11"/>
    <w:rsid w:val="008A2F7E"/>
    <w:rsid w:val="008A3195"/>
    <w:rsid w:val="008A3738"/>
    <w:rsid w:val="008A399F"/>
    <w:rsid w:val="008A3A3A"/>
    <w:rsid w:val="008A3E67"/>
    <w:rsid w:val="008A44F8"/>
    <w:rsid w:val="008A52BD"/>
    <w:rsid w:val="008A63EC"/>
    <w:rsid w:val="008A72CB"/>
    <w:rsid w:val="008A760F"/>
    <w:rsid w:val="008A7717"/>
    <w:rsid w:val="008A79BC"/>
    <w:rsid w:val="008A7A18"/>
    <w:rsid w:val="008A7EC6"/>
    <w:rsid w:val="008B0287"/>
    <w:rsid w:val="008B09BE"/>
    <w:rsid w:val="008B0B23"/>
    <w:rsid w:val="008B15EA"/>
    <w:rsid w:val="008B1ADB"/>
    <w:rsid w:val="008B1BF4"/>
    <w:rsid w:val="008B2347"/>
    <w:rsid w:val="008B2536"/>
    <w:rsid w:val="008B2845"/>
    <w:rsid w:val="008B2914"/>
    <w:rsid w:val="008B2F21"/>
    <w:rsid w:val="008B3133"/>
    <w:rsid w:val="008B3142"/>
    <w:rsid w:val="008B31DD"/>
    <w:rsid w:val="008B3A79"/>
    <w:rsid w:val="008B3C34"/>
    <w:rsid w:val="008B4175"/>
    <w:rsid w:val="008B42A9"/>
    <w:rsid w:val="008B42E0"/>
    <w:rsid w:val="008B4599"/>
    <w:rsid w:val="008B4C4F"/>
    <w:rsid w:val="008B4CF5"/>
    <w:rsid w:val="008B4EBB"/>
    <w:rsid w:val="008B564E"/>
    <w:rsid w:val="008B57B8"/>
    <w:rsid w:val="008B5DA4"/>
    <w:rsid w:val="008B5E47"/>
    <w:rsid w:val="008B656E"/>
    <w:rsid w:val="008B682D"/>
    <w:rsid w:val="008B6C28"/>
    <w:rsid w:val="008B6E77"/>
    <w:rsid w:val="008B766F"/>
    <w:rsid w:val="008B7E80"/>
    <w:rsid w:val="008C028B"/>
    <w:rsid w:val="008C0FB2"/>
    <w:rsid w:val="008C146D"/>
    <w:rsid w:val="008C1503"/>
    <w:rsid w:val="008C1542"/>
    <w:rsid w:val="008C1C04"/>
    <w:rsid w:val="008C210A"/>
    <w:rsid w:val="008C2366"/>
    <w:rsid w:val="008C2376"/>
    <w:rsid w:val="008C2514"/>
    <w:rsid w:val="008C2AF1"/>
    <w:rsid w:val="008C2C04"/>
    <w:rsid w:val="008C2E09"/>
    <w:rsid w:val="008C2EF6"/>
    <w:rsid w:val="008C3A8C"/>
    <w:rsid w:val="008C3CD1"/>
    <w:rsid w:val="008C3DA8"/>
    <w:rsid w:val="008C437C"/>
    <w:rsid w:val="008C4738"/>
    <w:rsid w:val="008C4881"/>
    <w:rsid w:val="008C497D"/>
    <w:rsid w:val="008C4B1E"/>
    <w:rsid w:val="008C4C4F"/>
    <w:rsid w:val="008C4C68"/>
    <w:rsid w:val="008C4DD9"/>
    <w:rsid w:val="008C4E4B"/>
    <w:rsid w:val="008C4FE5"/>
    <w:rsid w:val="008C5E2C"/>
    <w:rsid w:val="008C6202"/>
    <w:rsid w:val="008C65C7"/>
    <w:rsid w:val="008C6663"/>
    <w:rsid w:val="008C6885"/>
    <w:rsid w:val="008C6D2C"/>
    <w:rsid w:val="008C6D91"/>
    <w:rsid w:val="008C6EC6"/>
    <w:rsid w:val="008C7528"/>
    <w:rsid w:val="008D08C1"/>
    <w:rsid w:val="008D0F3A"/>
    <w:rsid w:val="008D142F"/>
    <w:rsid w:val="008D1560"/>
    <w:rsid w:val="008D1BB4"/>
    <w:rsid w:val="008D1D6B"/>
    <w:rsid w:val="008D1EC2"/>
    <w:rsid w:val="008D2030"/>
    <w:rsid w:val="008D2148"/>
    <w:rsid w:val="008D217C"/>
    <w:rsid w:val="008D28C8"/>
    <w:rsid w:val="008D2A27"/>
    <w:rsid w:val="008D2C4A"/>
    <w:rsid w:val="008D3817"/>
    <w:rsid w:val="008D3B10"/>
    <w:rsid w:val="008D45BF"/>
    <w:rsid w:val="008D5132"/>
    <w:rsid w:val="008D5171"/>
    <w:rsid w:val="008D5A73"/>
    <w:rsid w:val="008D5AB4"/>
    <w:rsid w:val="008D6F36"/>
    <w:rsid w:val="008D7233"/>
    <w:rsid w:val="008D76BB"/>
    <w:rsid w:val="008D776F"/>
    <w:rsid w:val="008D7792"/>
    <w:rsid w:val="008D7DC7"/>
    <w:rsid w:val="008E093C"/>
    <w:rsid w:val="008E0BFD"/>
    <w:rsid w:val="008E109B"/>
    <w:rsid w:val="008E1A3C"/>
    <w:rsid w:val="008E1EE8"/>
    <w:rsid w:val="008E20DF"/>
    <w:rsid w:val="008E265A"/>
    <w:rsid w:val="008E26B5"/>
    <w:rsid w:val="008E2D4C"/>
    <w:rsid w:val="008E2E0B"/>
    <w:rsid w:val="008E305F"/>
    <w:rsid w:val="008E3231"/>
    <w:rsid w:val="008E3378"/>
    <w:rsid w:val="008E3893"/>
    <w:rsid w:val="008E3E01"/>
    <w:rsid w:val="008E3FC4"/>
    <w:rsid w:val="008E4200"/>
    <w:rsid w:val="008E4367"/>
    <w:rsid w:val="008E4558"/>
    <w:rsid w:val="008E462D"/>
    <w:rsid w:val="008E4B50"/>
    <w:rsid w:val="008E5229"/>
    <w:rsid w:val="008E57CD"/>
    <w:rsid w:val="008E659E"/>
    <w:rsid w:val="008E6A77"/>
    <w:rsid w:val="008E6B31"/>
    <w:rsid w:val="008E7113"/>
    <w:rsid w:val="008E738F"/>
    <w:rsid w:val="008E73F5"/>
    <w:rsid w:val="008E74EF"/>
    <w:rsid w:val="008F02D1"/>
    <w:rsid w:val="008F03BD"/>
    <w:rsid w:val="008F0459"/>
    <w:rsid w:val="008F0911"/>
    <w:rsid w:val="008F0EDB"/>
    <w:rsid w:val="008F0F1D"/>
    <w:rsid w:val="008F1138"/>
    <w:rsid w:val="008F1643"/>
    <w:rsid w:val="008F1AEB"/>
    <w:rsid w:val="008F1E9F"/>
    <w:rsid w:val="008F1F72"/>
    <w:rsid w:val="008F2021"/>
    <w:rsid w:val="008F2509"/>
    <w:rsid w:val="008F25CF"/>
    <w:rsid w:val="008F2959"/>
    <w:rsid w:val="008F2AEC"/>
    <w:rsid w:val="008F2EAC"/>
    <w:rsid w:val="008F32BB"/>
    <w:rsid w:val="008F364B"/>
    <w:rsid w:val="008F3C9E"/>
    <w:rsid w:val="008F3D12"/>
    <w:rsid w:val="008F4293"/>
    <w:rsid w:val="008F47A6"/>
    <w:rsid w:val="008F4977"/>
    <w:rsid w:val="008F4AB1"/>
    <w:rsid w:val="008F581C"/>
    <w:rsid w:val="008F6C98"/>
    <w:rsid w:val="008F6FA3"/>
    <w:rsid w:val="008F6FEA"/>
    <w:rsid w:val="008F7206"/>
    <w:rsid w:val="008F7536"/>
    <w:rsid w:val="008F78CE"/>
    <w:rsid w:val="008F7A9D"/>
    <w:rsid w:val="008F7C60"/>
    <w:rsid w:val="009001AA"/>
    <w:rsid w:val="009006E3"/>
    <w:rsid w:val="00900FD1"/>
    <w:rsid w:val="009017B7"/>
    <w:rsid w:val="00901C16"/>
    <w:rsid w:val="00901ECF"/>
    <w:rsid w:val="00902574"/>
    <w:rsid w:val="0090276D"/>
    <w:rsid w:val="00902839"/>
    <w:rsid w:val="00902E6F"/>
    <w:rsid w:val="009032A5"/>
    <w:rsid w:val="00903415"/>
    <w:rsid w:val="00903E6A"/>
    <w:rsid w:val="00903F9A"/>
    <w:rsid w:val="00904326"/>
    <w:rsid w:val="00904372"/>
    <w:rsid w:val="00904B6E"/>
    <w:rsid w:val="00905D6D"/>
    <w:rsid w:val="009066BA"/>
    <w:rsid w:val="00906B60"/>
    <w:rsid w:val="00907DD5"/>
    <w:rsid w:val="00907EDC"/>
    <w:rsid w:val="0091042C"/>
    <w:rsid w:val="00910848"/>
    <w:rsid w:val="0091103B"/>
    <w:rsid w:val="009111B9"/>
    <w:rsid w:val="00911736"/>
    <w:rsid w:val="00912056"/>
    <w:rsid w:val="0091277B"/>
    <w:rsid w:val="00912C4B"/>
    <w:rsid w:val="00912CFF"/>
    <w:rsid w:val="00912F86"/>
    <w:rsid w:val="009135DE"/>
    <w:rsid w:val="0091367B"/>
    <w:rsid w:val="00913A6F"/>
    <w:rsid w:val="00913E9A"/>
    <w:rsid w:val="00914945"/>
    <w:rsid w:val="0091512E"/>
    <w:rsid w:val="009151B8"/>
    <w:rsid w:val="009152E3"/>
    <w:rsid w:val="00915489"/>
    <w:rsid w:val="009154E2"/>
    <w:rsid w:val="009159B5"/>
    <w:rsid w:val="009159E9"/>
    <w:rsid w:val="00915AA8"/>
    <w:rsid w:val="00916653"/>
    <w:rsid w:val="00916B4F"/>
    <w:rsid w:val="00916EA4"/>
    <w:rsid w:val="00917172"/>
    <w:rsid w:val="0091733A"/>
    <w:rsid w:val="0091743B"/>
    <w:rsid w:val="009174B0"/>
    <w:rsid w:val="00917B4C"/>
    <w:rsid w:val="00917F7F"/>
    <w:rsid w:val="009209F1"/>
    <w:rsid w:val="00920DB3"/>
    <w:rsid w:val="00921363"/>
    <w:rsid w:val="009213C8"/>
    <w:rsid w:val="00921BD6"/>
    <w:rsid w:val="009224C8"/>
    <w:rsid w:val="009232B1"/>
    <w:rsid w:val="009233A8"/>
    <w:rsid w:val="009239D4"/>
    <w:rsid w:val="00923C25"/>
    <w:rsid w:val="00924127"/>
    <w:rsid w:val="0092421D"/>
    <w:rsid w:val="0092430F"/>
    <w:rsid w:val="00924457"/>
    <w:rsid w:val="00924524"/>
    <w:rsid w:val="00924620"/>
    <w:rsid w:val="00924E30"/>
    <w:rsid w:val="00924EF9"/>
    <w:rsid w:val="009252A0"/>
    <w:rsid w:val="00925344"/>
    <w:rsid w:val="00925405"/>
    <w:rsid w:val="009256A6"/>
    <w:rsid w:val="009257C6"/>
    <w:rsid w:val="00925AFC"/>
    <w:rsid w:val="00926337"/>
    <w:rsid w:val="009264B0"/>
    <w:rsid w:val="0092668C"/>
    <w:rsid w:val="00926BD1"/>
    <w:rsid w:val="00926D6C"/>
    <w:rsid w:val="00926D7B"/>
    <w:rsid w:val="0092715F"/>
    <w:rsid w:val="009273A1"/>
    <w:rsid w:val="00927D4C"/>
    <w:rsid w:val="00927FC3"/>
    <w:rsid w:val="0093017C"/>
    <w:rsid w:val="0093041E"/>
    <w:rsid w:val="009304BB"/>
    <w:rsid w:val="009305E2"/>
    <w:rsid w:val="00930FC5"/>
    <w:rsid w:val="00931004"/>
    <w:rsid w:val="00931892"/>
    <w:rsid w:val="00932966"/>
    <w:rsid w:val="00932CC2"/>
    <w:rsid w:val="00933180"/>
    <w:rsid w:val="009331FD"/>
    <w:rsid w:val="00933B7E"/>
    <w:rsid w:val="00933DEE"/>
    <w:rsid w:val="00934BB9"/>
    <w:rsid w:val="00934C6B"/>
    <w:rsid w:val="0093527B"/>
    <w:rsid w:val="00935E09"/>
    <w:rsid w:val="00936150"/>
    <w:rsid w:val="00936535"/>
    <w:rsid w:val="00936729"/>
    <w:rsid w:val="00936B1E"/>
    <w:rsid w:val="00936B8F"/>
    <w:rsid w:val="00936DDB"/>
    <w:rsid w:val="00937223"/>
    <w:rsid w:val="00937283"/>
    <w:rsid w:val="0093780F"/>
    <w:rsid w:val="00937CEC"/>
    <w:rsid w:val="00937D40"/>
    <w:rsid w:val="00937DE7"/>
    <w:rsid w:val="00940042"/>
    <w:rsid w:val="0094046D"/>
    <w:rsid w:val="00940661"/>
    <w:rsid w:val="00940B5A"/>
    <w:rsid w:val="00940BD7"/>
    <w:rsid w:val="00940D4B"/>
    <w:rsid w:val="009411E5"/>
    <w:rsid w:val="00941897"/>
    <w:rsid w:val="0094201B"/>
    <w:rsid w:val="0094213B"/>
    <w:rsid w:val="0094282D"/>
    <w:rsid w:val="00942864"/>
    <w:rsid w:val="0094296A"/>
    <w:rsid w:val="00942B7F"/>
    <w:rsid w:val="00942C9E"/>
    <w:rsid w:val="00942E22"/>
    <w:rsid w:val="00943047"/>
    <w:rsid w:val="0094346D"/>
    <w:rsid w:val="00943559"/>
    <w:rsid w:val="00943CA4"/>
    <w:rsid w:val="009447FB"/>
    <w:rsid w:val="009449AB"/>
    <w:rsid w:val="00945510"/>
    <w:rsid w:val="0094566F"/>
    <w:rsid w:val="009458B3"/>
    <w:rsid w:val="0094598A"/>
    <w:rsid w:val="00945C85"/>
    <w:rsid w:val="00946134"/>
    <w:rsid w:val="00946559"/>
    <w:rsid w:val="0094689C"/>
    <w:rsid w:val="00946924"/>
    <w:rsid w:val="00946B2B"/>
    <w:rsid w:val="009470A9"/>
    <w:rsid w:val="00947685"/>
    <w:rsid w:val="0094776C"/>
    <w:rsid w:val="00947D7D"/>
    <w:rsid w:val="00947E10"/>
    <w:rsid w:val="009500DF"/>
    <w:rsid w:val="0095104B"/>
    <w:rsid w:val="009511B0"/>
    <w:rsid w:val="009511B6"/>
    <w:rsid w:val="009513FB"/>
    <w:rsid w:val="00951594"/>
    <w:rsid w:val="0095166C"/>
    <w:rsid w:val="009518C5"/>
    <w:rsid w:val="0095248B"/>
    <w:rsid w:val="00952819"/>
    <w:rsid w:val="00952FCD"/>
    <w:rsid w:val="0095340A"/>
    <w:rsid w:val="00953607"/>
    <w:rsid w:val="00954C08"/>
    <w:rsid w:val="00954CF6"/>
    <w:rsid w:val="00955E84"/>
    <w:rsid w:val="0095675A"/>
    <w:rsid w:val="00956D81"/>
    <w:rsid w:val="00957154"/>
    <w:rsid w:val="0095717F"/>
    <w:rsid w:val="0095761E"/>
    <w:rsid w:val="0095781A"/>
    <w:rsid w:val="00957979"/>
    <w:rsid w:val="009601CA"/>
    <w:rsid w:val="009601F0"/>
    <w:rsid w:val="009602B2"/>
    <w:rsid w:val="009604BF"/>
    <w:rsid w:val="00960930"/>
    <w:rsid w:val="00960D8B"/>
    <w:rsid w:val="00960E53"/>
    <w:rsid w:val="0096156D"/>
    <w:rsid w:val="00962369"/>
    <w:rsid w:val="00962D28"/>
    <w:rsid w:val="009639FF"/>
    <w:rsid w:val="00963EC5"/>
    <w:rsid w:val="00963F4D"/>
    <w:rsid w:val="00964FC7"/>
    <w:rsid w:val="0096586D"/>
    <w:rsid w:val="00966376"/>
    <w:rsid w:val="00966B0C"/>
    <w:rsid w:val="00966CBC"/>
    <w:rsid w:val="00966CD2"/>
    <w:rsid w:val="00966D2A"/>
    <w:rsid w:val="009670FF"/>
    <w:rsid w:val="00967D8D"/>
    <w:rsid w:val="00967F14"/>
    <w:rsid w:val="009703A7"/>
    <w:rsid w:val="0097064A"/>
    <w:rsid w:val="00970A35"/>
    <w:rsid w:val="00970B94"/>
    <w:rsid w:val="00971029"/>
    <w:rsid w:val="009712A2"/>
    <w:rsid w:val="00971349"/>
    <w:rsid w:val="009717A1"/>
    <w:rsid w:val="00972079"/>
    <w:rsid w:val="0097275C"/>
    <w:rsid w:val="0097277F"/>
    <w:rsid w:val="00973282"/>
    <w:rsid w:val="00973337"/>
    <w:rsid w:val="009733A5"/>
    <w:rsid w:val="00973785"/>
    <w:rsid w:val="009737A0"/>
    <w:rsid w:val="00973943"/>
    <w:rsid w:val="00974123"/>
    <w:rsid w:val="0097465A"/>
    <w:rsid w:val="00974C1D"/>
    <w:rsid w:val="00974CD8"/>
    <w:rsid w:val="00974ED4"/>
    <w:rsid w:val="00975001"/>
    <w:rsid w:val="00975349"/>
    <w:rsid w:val="00975E77"/>
    <w:rsid w:val="00975E90"/>
    <w:rsid w:val="009763FC"/>
    <w:rsid w:val="009765D4"/>
    <w:rsid w:val="009766F7"/>
    <w:rsid w:val="00976932"/>
    <w:rsid w:val="0097751D"/>
    <w:rsid w:val="009775F8"/>
    <w:rsid w:val="00977664"/>
    <w:rsid w:val="00977B1F"/>
    <w:rsid w:val="009802D6"/>
    <w:rsid w:val="009802E5"/>
    <w:rsid w:val="00980416"/>
    <w:rsid w:val="0098068D"/>
    <w:rsid w:val="009807F6"/>
    <w:rsid w:val="00980BED"/>
    <w:rsid w:val="00980E06"/>
    <w:rsid w:val="00980EF0"/>
    <w:rsid w:val="00980FFD"/>
    <w:rsid w:val="00981197"/>
    <w:rsid w:val="00981246"/>
    <w:rsid w:val="00981394"/>
    <w:rsid w:val="009814DE"/>
    <w:rsid w:val="00981537"/>
    <w:rsid w:val="00981C38"/>
    <w:rsid w:val="00981ED0"/>
    <w:rsid w:val="009822B1"/>
    <w:rsid w:val="00982554"/>
    <w:rsid w:val="00982BDF"/>
    <w:rsid w:val="0098332D"/>
    <w:rsid w:val="0098364C"/>
    <w:rsid w:val="0098367B"/>
    <w:rsid w:val="0098395D"/>
    <w:rsid w:val="00983F39"/>
    <w:rsid w:val="00983FE7"/>
    <w:rsid w:val="009843D9"/>
    <w:rsid w:val="009850A3"/>
    <w:rsid w:val="00985314"/>
    <w:rsid w:val="009855D2"/>
    <w:rsid w:val="009858AB"/>
    <w:rsid w:val="009858DB"/>
    <w:rsid w:val="00985E4A"/>
    <w:rsid w:val="0098609E"/>
    <w:rsid w:val="0098669E"/>
    <w:rsid w:val="009866B9"/>
    <w:rsid w:val="00986869"/>
    <w:rsid w:val="00986AEB"/>
    <w:rsid w:val="00986EAD"/>
    <w:rsid w:val="0098700D"/>
    <w:rsid w:val="0098711E"/>
    <w:rsid w:val="00987224"/>
    <w:rsid w:val="00987437"/>
    <w:rsid w:val="00987D0C"/>
    <w:rsid w:val="00987E2A"/>
    <w:rsid w:val="00990EFE"/>
    <w:rsid w:val="00990FA5"/>
    <w:rsid w:val="00991127"/>
    <w:rsid w:val="00991385"/>
    <w:rsid w:val="00991532"/>
    <w:rsid w:val="00991F56"/>
    <w:rsid w:val="00992204"/>
    <w:rsid w:val="0099220A"/>
    <w:rsid w:val="0099230A"/>
    <w:rsid w:val="009929A6"/>
    <w:rsid w:val="00992A84"/>
    <w:rsid w:val="00992C30"/>
    <w:rsid w:val="00993374"/>
    <w:rsid w:val="0099346E"/>
    <w:rsid w:val="009935C6"/>
    <w:rsid w:val="0099372C"/>
    <w:rsid w:val="0099387C"/>
    <w:rsid w:val="00993AF1"/>
    <w:rsid w:val="00993B23"/>
    <w:rsid w:val="00993B99"/>
    <w:rsid w:val="00993C67"/>
    <w:rsid w:val="00993D97"/>
    <w:rsid w:val="00994B69"/>
    <w:rsid w:val="009955A0"/>
    <w:rsid w:val="00995C59"/>
    <w:rsid w:val="00995EF2"/>
    <w:rsid w:val="00996355"/>
    <w:rsid w:val="00996831"/>
    <w:rsid w:val="00996B03"/>
    <w:rsid w:val="00996B40"/>
    <w:rsid w:val="00996BA8"/>
    <w:rsid w:val="00996C22"/>
    <w:rsid w:val="00996C5C"/>
    <w:rsid w:val="00996D77"/>
    <w:rsid w:val="00996DBF"/>
    <w:rsid w:val="009970CC"/>
    <w:rsid w:val="0099738E"/>
    <w:rsid w:val="009976FD"/>
    <w:rsid w:val="00997831"/>
    <w:rsid w:val="00997DB8"/>
    <w:rsid w:val="009A0061"/>
    <w:rsid w:val="009A0363"/>
    <w:rsid w:val="009A0373"/>
    <w:rsid w:val="009A0852"/>
    <w:rsid w:val="009A0D9F"/>
    <w:rsid w:val="009A1384"/>
    <w:rsid w:val="009A151D"/>
    <w:rsid w:val="009A1877"/>
    <w:rsid w:val="009A1896"/>
    <w:rsid w:val="009A1EDD"/>
    <w:rsid w:val="009A1FA7"/>
    <w:rsid w:val="009A2215"/>
    <w:rsid w:val="009A238E"/>
    <w:rsid w:val="009A245C"/>
    <w:rsid w:val="009A2563"/>
    <w:rsid w:val="009A27CE"/>
    <w:rsid w:val="009A287D"/>
    <w:rsid w:val="009A2FA9"/>
    <w:rsid w:val="009A3112"/>
    <w:rsid w:val="009A335E"/>
    <w:rsid w:val="009A352A"/>
    <w:rsid w:val="009A39FF"/>
    <w:rsid w:val="009A3D94"/>
    <w:rsid w:val="009A453C"/>
    <w:rsid w:val="009A4CD1"/>
    <w:rsid w:val="009A5013"/>
    <w:rsid w:val="009A5520"/>
    <w:rsid w:val="009A5A18"/>
    <w:rsid w:val="009A5DD9"/>
    <w:rsid w:val="009A65E0"/>
    <w:rsid w:val="009A73E7"/>
    <w:rsid w:val="009A77F0"/>
    <w:rsid w:val="009A7893"/>
    <w:rsid w:val="009A7BB6"/>
    <w:rsid w:val="009A7DEB"/>
    <w:rsid w:val="009A7EF3"/>
    <w:rsid w:val="009B045B"/>
    <w:rsid w:val="009B0845"/>
    <w:rsid w:val="009B0C5C"/>
    <w:rsid w:val="009B187F"/>
    <w:rsid w:val="009B1A7E"/>
    <w:rsid w:val="009B1AFA"/>
    <w:rsid w:val="009B1BC8"/>
    <w:rsid w:val="009B1C3E"/>
    <w:rsid w:val="009B2299"/>
    <w:rsid w:val="009B284D"/>
    <w:rsid w:val="009B2A19"/>
    <w:rsid w:val="009B3269"/>
    <w:rsid w:val="009B381D"/>
    <w:rsid w:val="009B386D"/>
    <w:rsid w:val="009B3929"/>
    <w:rsid w:val="009B3A10"/>
    <w:rsid w:val="009B3A59"/>
    <w:rsid w:val="009B3D03"/>
    <w:rsid w:val="009B4983"/>
    <w:rsid w:val="009B4AD4"/>
    <w:rsid w:val="009B4C28"/>
    <w:rsid w:val="009B4DF0"/>
    <w:rsid w:val="009B4ED2"/>
    <w:rsid w:val="009B50F2"/>
    <w:rsid w:val="009B524C"/>
    <w:rsid w:val="009B62DE"/>
    <w:rsid w:val="009B6461"/>
    <w:rsid w:val="009B7163"/>
    <w:rsid w:val="009B740A"/>
    <w:rsid w:val="009B7748"/>
    <w:rsid w:val="009B774A"/>
    <w:rsid w:val="009C01AE"/>
    <w:rsid w:val="009C04CA"/>
    <w:rsid w:val="009C129D"/>
    <w:rsid w:val="009C1673"/>
    <w:rsid w:val="009C1ADC"/>
    <w:rsid w:val="009C3958"/>
    <w:rsid w:val="009C3A1C"/>
    <w:rsid w:val="009C3DED"/>
    <w:rsid w:val="009C41E1"/>
    <w:rsid w:val="009C43EB"/>
    <w:rsid w:val="009C466D"/>
    <w:rsid w:val="009C487A"/>
    <w:rsid w:val="009C494E"/>
    <w:rsid w:val="009C4CE8"/>
    <w:rsid w:val="009C523C"/>
    <w:rsid w:val="009C5574"/>
    <w:rsid w:val="009C55FE"/>
    <w:rsid w:val="009C598C"/>
    <w:rsid w:val="009C652D"/>
    <w:rsid w:val="009C70A3"/>
    <w:rsid w:val="009C76CD"/>
    <w:rsid w:val="009C7D96"/>
    <w:rsid w:val="009D008C"/>
    <w:rsid w:val="009D01DF"/>
    <w:rsid w:val="009D0723"/>
    <w:rsid w:val="009D0809"/>
    <w:rsid w:val="009D0B72"/>
    <w:rsid w:val="009D0EE8"/>
    <w:rsid w:val="009D13C7"/>
    <w:rsid w:val="009D1802"/>
    <w:rsid w:val="009D1847"/>
    <w:rsid w:val="009D18DD"/>
    <w:rsid w:val="009D2285"/>
    <w:rsid w:val="009D24A0"/>
    <w:rsid w:val="009D2760"/>
    <w:rsid w:val="009D27E4"/>
    <w:rsid w:val="009D2A90"/>
    <w:rsid w:val="009D2C67"/>
    <w:rsid w:val="009D2D8F"/>
    <w:rsid w:val="009D2FEA"/>
    <w:rsid w:val="009D31D2"/>
    <w:rsid w:val="009D33FE"/>
    <w:rsid w:val="009D3536"/>
    <w:rsid w:val="009D3839"/>
    <w:rsid w:val="009D3936"/>
    <w:rsid w:val="009D3ABE"/>
    <w:rsid w:val="009D4774"/>
    <w:rsid w:val="009D5659"/>
    <w:rsid w:val="009D5B1A"/>
    <w:rsid w:val="009D5E1C"/>
    <w:rsid w:val="009D61B8"/>
    <w:rsid w:val="009D6A5D"/>
    <w:rsid w:val="009D6ACE"/>
    <w:rsid w:val="009D70DF"/>
    <w:rsid w:val="009D7AB3"/>
    <w:rsid w:val="009D7DA4"/>
    <w:rsid w:val="009D7F61"/>
    <w:rsid w:val="009E0FFA"/>
    <w:rsid w:val="009E1409"/>
    <w:rsid w:val="009E15FC"/>
    <w:rsid w:val="009E1969"/>
    <w:rsid w:val="009E1D72"/>
    <w:rsid w:val="009E2015"/>
    <w:rsid w:val="009E2424"/>
    <w:rsid w:val="009E29A0"/>
    <w:rsid w:val="009E2F5F"/>
    <w:rsid w:val="009E393E"/>
    <w:rsid w:val="009E4678"/>
    <w:rsid w:val="009E487F"/>
    <w:rsid w:val="009E48D9"/>
    <w:rsid w:val="009E4923"/>
    <w:rsid w:val="009E4A0D"/>
    <w:rsid w:val="009E516E"/>
    <w:rsid w:val="009E538E"/>
    <w:rsid w:val="009E5666"/>
    <w:rsid w:val="009E574B"/>
    <w:rsid w:val="009E5953"/>
    <w:rsid w:val="009E5BEF"/>
    <w:rsid w:val="009E5C56"/>
    <w:rsid w:val="009E6312"/>
    <w:rsid w:val="009E649E"/>
    <w:rsid w:val="009E6D7C"/>
    <w:rsid w:val="009E6DEA"/>
    <w:rsid w:val="009E6E70"/>
    <w:rsid w:val="009E7048"/>
    <w:rsid w:val="009E70C4"/>
    <w:rsid w:val="009E70F5"/>
    <w:rsid w:val="009E7136"/>
    <w:rsid w:val="009E732A"/>
    <w:rsid w:val="009E7529"/>
    <w:rsid w:val="009E758D"/>
    <w:rsid w:val="009E7C65"/>
    <w:rsid w:val="009F028E"/>
    <w:rsid w:val="009F0469"/>
    <w:rsid w:val="009F0B4D"/>
    <w:rsid w:val="009F0F64"/>
    <w:rsid w:val="009F13FE"/>
    <w:rsid w:val="009F22FB"/>
    <w:rsid w:val="009F2A63"/>
    <w:rsid w:val="009F2DF3"/>
    <w:rsid w:val="009F2E14"/>
    <w:rsid w:val="009F357D"/>
    <w:rsid w:val="009F4994"/>
    <w:rsid w:val="009F552C"/>
    <w:rsid w:val="009F5966"/>
    <w:rsid w:val="009F5BDF"/>
    <w:rsid w:val="009F5CD1"/>
    <w:rsid w:val="009F5D09"/>
    <w:rsid w:val="009F5E73"/>
    <w:rsid w:val="009F68F1"/>
    <w:rsid w:val="009F6F19"/>
    <w:rsid w:val="009F7093"/>
    <w:rsid w:val="009F759B"/>
    <w:rsid w:val="009F7B75"/>
    <w:rsid w:val="009F7F22"/>
    <w:rsid w:val="00A00605"/>
    <w:rsid w:val="00A0064C"/>
    <w:rsid w:val="00A00A1A"/>
    <w:rsid w:val="00A00AB0"/>
    <w:rsid w:val="00A00CFE"/>
    <w:rsid w:val="00A01091"/>
    <w:rsid w:val="00A0110C"/>
    <w:rsid w:val="00A011CE"/>
    <w:rsid w:val="00A0190C"/>
    <w:rsid w:val="00A02115"/>
    <w:rsid w:val="00A02222"/>
    <w:rsid w:val="00A023A9"/>
    <w:rsid w:val="00A02635"/>
    <w:rsid w:val="00A02C81"/>
    <w:rsid w:val="00A0306E"/>
    <w:rsid w:val="00A0316F"/>
    <w:rsid w:val="00A03225"/>
    <w:rsid w:val="00A03B54"/>
    <w:rsid w:val="00A03F78"/>
    <w:rsid w:val="00A04133"/>
    <w:rsid w:val="00A04FA6"/>
    <w:rsid w:val="00A054F1"/>
    <w:rsid w:val="00A05636"/>
    <w:rsid w:val="00A0579A"/>
    <w:rsid w:val="00A05AB0"/>
    <w:rsid w:val="00A05B89"/>
    <w:rsid w:val="00A069B6"/>
    <w:rsid w:val="00A06DA2"/>
    <w:rsid w:val="00A07764"/>
    <w:rsid w:val="00A07AEC"/>
    <w:rsid w:val="00A10D0E"/>
    <w:rsid w:val="00A10D7D"/>
    <w:rsid w:val="00A119DE"/>
    <w:rsid w:val="00A11CC3"/>
    <w:rsid w:val="00A11E30"/>
    <w:rsid w:val="00A12162"/>
    <w:rsid w:val="00A12371"/>
    <w:rsid w:val="00A123CF"/>
    <w:rsid w:val="00A12509"/>
    <w:rsid w:val="00A1270F"/>
    <w:rsid w:val="00A1299D"/>
    <w:rsid w:val="00A12C24"/>
    <w:rsid w:val="00A12E7B"/>
    <w:rsid w:val="00A133E4"/>
    <w:rsid w:val="00A13FB8"/>
    <w:rsid w:val="00A1405B"/>
    <w:rsid w:val="00A141BE"/>
    <w:rsid w:val="00A14A34"/>
    <w:rsid w:val="00A14A48"/>
    <w:rsid w:val="00A14BAA"/>
    <w:rsid w:val="00A14E67"/>
    <w:rsid w:val="00A14F05"/>
    <w:rsid w:val="00A15008"/>
    <w:rsid w:val="00A153A3"/>
    <w:rsid w:val="00A1554A"/>
    <w:rsid w:val="00A15CCF"/>
    <w:rsid w:val="00A15DE2"/>
    <w:rsid w:val="00A15E14"/>
    <w:rsid w:val="00A160E7"/>
    <w:rsid w:val="00A1638A"/>
    <w:rsid w:val="00A167A3"/>
    <w:rsid w:val="00A16848"/>
    <w:rsid w:val="00A1694B"/>
    <w:rsid w:val="00A17149"/>
    <w:rsid w:val="00A1761A"/>
    <w:rsid w:val="00A176A3"/>
    <w:rsid w:val="00A177DF"/>
    <w:rsid w:val="00A1792A"/>
    <w:rsid w:val="00A17FEC"/>
    <w:rsid w:val="00A206D4"/>
    <w:rsid w:val="00A20A88"/>
    <w:rsid w:val="00A20E4B"/>
    <w:rsid w:val="00A21233"/>
    <w:rsid w:val="00A21630"/>
    <w:rsid w:val="00A21997"/>
    <w:rsid w:val="00A22576"/>
    <w:rsid w:val="00A2289F"/>
    <w:rsid w:val="00A2318D"/>
    <w:rsid w:val="00A2346F"/>
    <w:rsid w:val="00A235BF"/>
    <w:rsid w:val="00A235DC"/>
    <w:rsid w:val="00A2385A"/>
    <w:rsid w:val="00A23B28"/>
    <w:rsid w:val="00A23C6B"/>
    <w:rsid w:val="00A23F8E"/>
    <w:rsid w:val="00A25041"/>
    <w:rsid w:val="00A2525F"/>
    <w:rsid w:val="00A2527E"/>
    <w:rsid w:val="00A25327"/>
    <w:rsid w:val="00A2557F"/>
    <w:rsid w:val="00A257A4"/>
    <w:rsid w:val="00A25B62"/>
    <w:rsid w:val="00A260CA"/>
    <w:rsid w:val="00A26895"/>
    <w:rsid w:val="00A26D3B"/>
    <w:rsid w:val="00A272F9"/>
    <w:rsid w:val="00A274B9"/>
    <w:rsid w:val="00A275FE"/>
    <w:rsid w:val="00A305FC"/>
    <w:rsid w:val="00A3063A"/>
    <w:rsid w:val="00A3099E"/>
    <w:rsid w:val="00A30D93"/>
    <w:rsid w:val="00A30E33"/>
    <w:rsid w:val="00A30FD3"/>
    <w:rsid w:val="00A313EE"/>
    <w:rsid w:val="00A31872"/>
    <w:rsid w:val="00A31936"/>
    <w:rsid w:val="00A324EC"/>
    <w:rsid w:val="00A32578"/>
    <w:rsid w:val="00A32A53"/>
    <w:rsid w:val="00A32BDE"/>
    <w:rsid w:val="00A331A7"/>
    <w:rsid w:val="00A333F9"/>
    <w:rsid w:val="00A3387A"/>
    <w:rsid w:val="00A338D8"/>
    <w:rsid w:val="00A33A34"/>
    <w:rsid w:val="00A33CE2"/>
    <w:rsid w:val="00A33F4F"/>
    <w:rsid w:val="00A340AF"/>
    <w:rsid w:val="00A340C9"/>
    <w:rsid w:val="00A3431D"/>
    <w:rsid w:val="00A349FD"/>
    <w:rsid w:val="00A34E6B"/>
    <w:rsid w:val="00A3533F"/>
    <w:rsid w:val="00A35911"/>
    <w:rsid w:val="00A359F4"/>
    <w:rsid w:val="00A35E46"/>
    <w:rsid w:val="00A35E96"/>
    <w:rsid w:val="00A36392"/>
    <w:rsid w:val="00A3660D"/>
    <w:rsid w:val="00A3699C"/>
    <w:rsid w:val="00A3734E"/>
    <w:rsid w:val="00A374A8"/>
    <w:rsid w:val="00A37901"/>
    <w:rsid w:val="00A37A0E"/>
    <w:rsid w:val="00A37F8F"/>
    <w:rsid w:val="00A403E4"/>
    <w:rsid w:val="00A40CEA"/>
    <w:rsid w:val="00A40F73"/>
    <w:rsid w:val="00A40F92"/>
    <w:rsid w:val="00A41002"/>
    <w:rsid w:val="00A4109A"/>
    <w:rsid w:val="00A412E4"/>
    <w:rsid w:val="00A414AB"/>
    <w:rsid w:val="00A41A87"/>
    <w:rsid w:val="00A421CA"/>
    <w:rsid w:val="00A4251C"/>
    <w:rsid w:val="00A42647"/>
    <w:rsid w:val="00A428FD"/>
    <w:rsid w:val="00A42A14"/>
    <w:rsid w:val="00A42E83"/>
    <w:rsid w:val="00A42FBB"/>
    <w:rsid w:val="00A43506"/>
    <w:rsid w:val="00A435A3"/>
    <w:rsid w:val="00A43B98"/>
    <w:rsid w:val="00A4421F"/>
    <w:rsid w:val="00A445FE"/>
    <w:rsid w:val="00A45017"/>
    <w:rsid w:val="00A450C4"/>
    <w:rsid w:val="00A4558A"/>
    <w:rsid w:val="00A463C6"/>
    <w:rsid w:val="00A46528"/>
    <w:rsid w:val="00A468F2"/>
    <w:rsid w:val="00A46B2F"/>
    <w:rsid w:val="00A46BEC"/>
    <w:rsid w:val="00A46CB0"/>
    <w:rsid w:val="00A472E2"/>
    <w:rsid w:val="00A475F8"/>
    <w:rsid w:val="00A47762"/>
    <w:rsid w:val="00A50024"/>
    <w:rsid w:val="00A5005C"/>
    <w:rsid w:val="00A50106"/>
    <w:rsid w:val="00A502D0"/>
    <w:rsid w:val="00A50713"/>
    <w:rsid w:val="00A508BA"/>
    <w:rsid w:val="00A509EA"/>
    <w:rsid w:val="00A50B8A"/>
    <w:rsid w:val="00A50BF8"/>
    <w:rsid w:val="00A50C17"/>
    <w:rsid w:val="00A51F6B"/>
    <w:rsid w:val="00A5257E"/>
    <w:rsid w:val="00A52B3F"/>
    <w:rsid w:val="00A52C29"/>
    <w:rsid w:val="00A52DF5"/>
    <w:rsid w:val="00A53502"/>
    <w:rsid w:val="00A53EA1"/>
    <w:rsid w:val="00A549A1"/>
    <w:rsid w:val="00A54A94"/>
    <w:rsid w:val="00A54AF6"/>
    <w:rsid w:val="00A54C9B"/>
    <w:rsid w:val="00A55218"/>
    <w:rsid w:val="00A55777"/>
    <w:rsid w:val="00A55F06"/>
    <w:rsid w:val="00A56301"/>
    <w:rsid w:val="00A56435"/>
    <w:rsid w:val="00A564F5"/>
    <w:rsid w:val="00A569F4"/>
    <w:rsid w:val="00A56B46"/>
    <w:rsid w:val="00A572D0"/>
    <w:rsid w:val="00A57474"/>
    <w:rsid w:val="00A57498"/>
    <w:rsid w:val="00A57AD8"/>
    <w:rsid w:val="00A57D71"/>
    <w:rsid w:val="00A6022E"/>
    <w:rsid w:val="00A60831"/>
    <w:rsid w:val="00A6145D"/>
    <w:rsid w:val="00A614B6"/>
    <w:rsid w:val="00A61630"/>
    <w:rsid w:val="00A61DAA"/>
    <w:rsid w:val="00A6243B"/>
    <w:rsid w:val="00A62666"/>
    <w:rsid w:val="00A62839"/>
    <w:rsid w:val="00A62DED"/>
    <w:rsid w:val="00A63421"/>
    <w:rsid w:val="00A63943"/>
    <w:rsid w:val="00A64555"/>
    <w:rsid w:val="00A646BA"/>
    <w:rsid w:val="00A64879"/>
    <w:rsid w:val="00A64A27"/>
    <w:rsid w:val="00A6517F"/>
    <w:rsid w:val="00A65955"/>
    <w:rsid w:val="00A65DBE"/>
    <w:rsid w:val="00A65F00"/>
    <w:rsid w:val="00A66015"/>
    <w:rsid w:val="00A661B6"/>
    <w:rsid w:val="00A662EB"/>
    <w:rsid w:val="00A669F1"/>
    <w:rsid w:val="00A66F1B"/>
    <w:rsid w:val="00A700A2"/>
    <w:rsid w:val="00A70E59"/>
    <w:rsid w:val="00A717FA"/>
    <w:rsid w:val="00A72418"/>
    <w:rsid w:val="00A72834"/>
    <w:rsid w:val="00A72954"/>
    <w:rsid w:val="00A72F70"/>
    <w:rsid w:val="00A73473"/>
    <w:rsid w:val="00A7385E"/>
    <w:rsid w:val="00A73B2F"/>
    <w:rsid w:val="00A7402E"/>
    <w:rsid w:val="00A74487"/>
    <w:rsid w:val="00A7463E"/>
    <w:rsid w:val="00A74B1B"/>
    <w:rsid w:val="00A74EDE"/>
    <w:rsid w:val="00A75471"/>
    <w:rsid w:val="00A75B76"/>
    <w:rsid w:val="00A75BA1"/>
    <w:rsid w:val="00A763F0"/>
    <w:rsid w:val="00A764C8"/>
    <w:rsid w:val="00A76689"/>
    <w:rsid w:val="00A76A2F"/>
    <w:rsid w:val="00A76A48"/>
    <w:rsid w:val="00A76D10"/>
    <w:rsid w:val="00A76E5F"/>
    <w:rsid w:val="00A76F5A"/>
    <w:rsid w:val="00A7735F"/>
    <w:rsid w:val="00A80992"/>
    <w:rsid w:val="00A80B49"/>
    <w:rsid w:val="00A80E1B"/>
    <w:rsid w:val="00A815C8"/>
    <w:rsid w:val="00A81932"/>
    <w:rsid w:val="00A819BC"/>
    <w:rsid w:val="00A81AF0"/>
    <w:rsid w:val="00A81BFC"/>
    <w:rsid w:val="00A81DB3"/>
    <w:rsid w:val="00A82478"/>
    <w:rsid w:val="00A8263F"/>
    <w:rsid w:val="00A8269E"/>
    <w:rsid w:val="00A8275B"/>
    <w:rsid w:val="00A82ACE"/>
    <w:rsid w:val="00A82EF3"/>
    <w:rsid w:val="00A83563"/>
    <w:rsid w:val="00A83950"/>
    <w:rsid w:val="00A83F3B"/>
    <w:rsid w:val="00A83FB4"/>
    <w:rsid w:val="00A8411B"/>
    <w:rsid w:val="00A846BE"/>
    <w:rsid w:val="00A84847"/>
    <w:rsid w:val="00A84C03"/>
    <w:rsid w:val="00A84D0E"/>
    <w:rsid w:val="00A84F02"/>
    <w:rsid w:val="00A84FF5"/>
    <w:rsid w:val="00A85944"/>
    <w:rsid w:val="00A8605D"/>
    <w:rsid w:val="00A86AC7"/>
    <w:rsid w:val="00A86CA3"/>
    <w:rsid w:val="00A86E9A"/>
    <w:rsid w:val="00A87317"/>
    <w:rsid w:val="00A873B1"/>
    <w:rsid w:val="00A878A8"/>
    <w:rsid w:val="00A87A25"/>
    <w:rsid w:val="00A902C2"/>
    <w:rsid w:val="00A90328"/>
    <w:rsid w:val="00A90671"/>
    <w:rsid w:val="00A90685"/>
    <w:rsid w:val="00A90874"/>
    <w:rsid w:val="00A90E29"/>
    <w:rsid w:val="00A90EF1"/>
    <w:rsid w:val="00A91507"/>
    <w:rsid w:val="00A918E6"/>
    <w:rsid w:val="00A91FC3"/>
    <w:rsid w:val="00A9202B"/>
    <w:rsid w:val="00A923AE"/>
    <w:rsid w:val="00A92B9B"/>
    <w:rsid w:val="00A92C8A"/>
    <w:rsid w:val="00A93A09"/>
    <w:rsid w:val="00A93C10"/>
    <w:rsid w:val="00A93D8E"/>
    <w:rsid w:val="00A93F91"/>
    <w:rsid w:val="00A94058"/>
    <w:rsid w:val="00A94182"/>
    <w:rsid w:val="00A94B2C"/>
    <w:rsid w:val="00A94BD7"/>
    <w:rsid w:val="00A953EC"/>
    <w:rsid w:val="00A954AB"/>
    <w:rsid w:val="00A95507"/>
    <w:rsid w:val="00A95845"/>
    <w:rsid w:val="00A96012"/>
    <w:rsid w:val="00A96270"/>
    <w:rsid w:val="00A96E5B"/>
    <w:rsid w:val="00A96EE2"/>
    <w:rsid w:val="00A972C3"/>
    <w:rsid w:val="00A979D2"/>
    <w:rsid w:val="00A97ADF"/>
    <w:rsid w:val="00A97FE4"/>
    <w:rsid w:val="00AA02B0"/>
    <w:rsid w:val="00AA02C2"/>
    <w:rsid w:val="00AA0BAA"/>
    <w:rsid w:val="00AA0BD9"/>
    <w:rsid w:val="00AA1036"/>
    <w:rsid w:val="00AA1563"/>
    <w:rsid w:val="00AA227D"/>
    <w:rsid w:val="00AA2399"/>
    <w:rsid w:val="00AA2770"/>
    <w:rsid w:val="00AA28FF"/>
    <w:rsid w:val="00AA2B09"/>
    <w:rsid w:val="00AA33B1"/>
    <w:rsid w:val="00AA35DE"/>
    <w:rsid w:val="00AA3D4E"/>
    <w:rsid w:val="00AA413A"/>
    <w:rsid w:val="00AA4514"/>
    <w:rsid w:val="00AA4548"/>
    <w:rsid w:val="00AA477D"/>
    <w:rsid w:val="00AA4880"/>
    <w:rsid w:val="00AA4DA8"/>
    <w:rsid w:val="00AA4F1D"/>
    <w:rsid w:val="00AA5001"/>
    <w:rsid w:val="00AA55BC"/>
    <w:rsid w:val="00AA56BC"/>
    <w:rsid w:val="00AA57ED"/>
    <w:rsid w:val="00AA5882"/>
    <w:rsid w:val="00AA5963"/>
    <w:rsid w:val="00AA6B18"/>
    <w:rsid w:val="00AA6D41"/>
    <w:rsid w:val="00AA71E6"/>
    <w:rsid w:val="00AA7927"/>
    <w:rsid w:val="00AB09DD"/>
    <w:rsid w:val="00AB0A24"/>
    <w:rsid w:val="00AB0B62"/>
    <w:rsid w:val="00AB0C03"/>
    <w:rsid w:val="00AB0EF4"/>
    <w:rsid w:val="00AB0FC8"/>
    <w:rsid w:val="00AB10CF"/>
    <w:rsid w:val="00AB262B"/>
    <w:rsid w:val="00AB2805"/>
    <w:rsid w:val="00AB2C99"/>
    <w:rsid w:val="00AB3504"/>
    <w:rsid w:val="00AB3CDD"/>
    <w:rsid w:val="00AB401F"/>
    <w:rsid w:val="00AB4178"/>
    <w:rsid w:val="00AB422B"/>
    <w:rsid w:val="00AB4553"/>
    <w:rsid w:val="00AB4847"/>
    <w:rsid w:val="00AB49B8"/>
    <w:rsid w:val="00AB4E4D"/>
    <w:rsid w:val="00AB5BE2"/>
    <w:rsid w:val="00AB6558"/>
    <w:rsid w:val="00AB78E6"/>
    <w:rsid w:val="00AB791C"/>
    <w:rsid w:val="00AB7F35"/>
    <w:rsid w:val="00AC09FF"/>
    <w:rsid w:val="00AC0A74"/>
    <w:rsid w:val="00AC120C"/>
    <w:rsid w:val="00AC140E"/>
    <w:rsid w:val="00AC1DBC"/>
    <w:rsid w:val="00AC2112"/>
    <w:rsid w:val="00AC264F"/>
    <w:rsid w:val="00AC27F9"/>
    <w:rsid w:val="00AC2AE1"/>
    <w:rsid w:val="00AC2B6E"/>
    <w:rsid w:val="00AC2FA9"/>
    <w:rsid w:val="00AC3300"/>
    <w:rsid w:val="00AC3525"/>
    <w:rsid w:val="00AC389F"/>
    <w:rsid w:val="00AC38C1"/>
    <w:rsid w:val="00AC41AA"/>
    <w:rsid w:val="00AC4352"/>
    <w:rsid w:val="00AC47C2"/>
    <w:rsid w:val="00AC4C6D"/>
    <w:rsid w:val="00AC56E3"/>
    <w:rsid w:val="00AC5842"/>
    <w:rsid w:val="00AC5BA8"/>
    <w:rsid w:val="00AC5F31"/>
    <w:rsid w:val="00AC6586"/>
    <w:rsid w:val="00AC65FB"/>
    <w:rsid w:val="00AC66DB"/>
    <w:rsid w:val="00AC67D9"/>
    <w:rsid w:val="00AC697B"/>
    <w:rsid w:val="00AC6B2C"/>
    <w:rsid w:val="00AC6CEE"/>
    <w:rsid w:val="00AC74C1"/>
    <w:rsid w:val="00AC78A1"/>
    <w:rsid w:val="00AC7C7B"/>
    <w:rsid w:val="00AD0F91"/>
    <w:rsid w:val="00AD10B5"/>
    <w:rsid w:val="00AD115D"/>
    <w:rsid w:val="00AD11CF"/>
    <w:rsid w:val="00AD1AC5"/>
    <w:rsid w:val="00AD1D67"/>
    <w:rsid w:val="00AD1DCE"/>
    <w:rsid w:val="00AD216C"/>
    <w:rsid w:val="00AD268F"/>
    <w:rsid w:val="00AD29AF"/>
    <w:rsid w:val="00AD2D7F"/>
    <w:rsid w:val="00AD302E"/>
    <w:rsid w:val="00AD333A"/>
    <w:rsid w:val="00AD3853"/>
    <w:rsid w:val="00AD3860"/>
    <w:rsid w:val="00AD4DD1"/>
    <w:rsid w:val="00AD4F90"/>
    <w:rsid w:val="00AD58A0"/>
    <w:rsid w:val="00AD5D30"/>
    <w:rsid w:val="00AD5D6A"/>
    <w:rsid w:val="00AD6755"/>
    <w:rsid w:val="00AD678D"/>
    <w:rsid w:val="00AD6EC4"/>
    <w:rsid w:val="00AD706F"/>
    <w:rsid w:val="00AE0060"/>
    <w:rsid w:val="00AE0434"/>
    <w:rsid w:val="00AE0D4D"/>
    <w:rsid w:val="00AE11B6"/>
    <w:rsid w:val="00AE1347"/>
    <w:rsid w:val="00AE1D26"/>
    <w:rsid w:val="00AE1D84"/>
    <w:rsid w:val="00AE1D9D"/>
    <w:rsid w:val="00AE1E72"/>
    <w:rsid w:val="00AE2FF2"/>
    <w:rsid w:val="00AE33A9"/>
    <w:rsid w:val="00AE34F2"/>
    <w:rsid w:val="00AE3508"/>
    <w:rsid w:val="00AE37BC"/>
    <w:rsid w:val="00AE3E0B"/>
    <w:rsid w:val="00AE3FBD"/>
    <w:rsid w:val="00AE5093"/>
    <w:rsid w:val="00AE5166"/>
    <w:rsid w:val="00AE51CD"/>
    <w:rsid w:val="00AE52D7"/>
    <w:rsid w:val="00AE59E2"/>
    <w:rsid w:val="00AE5EB4"/>
    <w:rsid w:val="00AE6117"/>
    <w:rsid w:val="00AE688B"/>
    <w:rsid w:val="00AE6A8D"/>
    <w:rsid w:val="00AE6FC5"/>
    <w:rsid w:val="00AE7588"/>
    <w:rsid w:val="00AE7967"/>
    <w:rsid w:val="00AF000F"/>
    <w:rsid w:val="00AF018D"/>
    <w:rsid w:val="00AF0E73"/>
    <w:rsid w:val="00AF1120"/>
    <w:rsid w:val="00AF1304"/>
    <w:rsid w:val="00AF13C3"/>
    <w:rsid w:val="00AF1506"/>
    <w:rsid w:val="00AF15DA"/>
    <w:rsid w:val="00AF1894"/>
    <w:rsid w:val="00AF1A8F"/>
    <w:rsid w:val="00AF1B61"/>
    <w:rsid w:val="00AF1CF7"/>
    <w:rsid w:val="00AF2342"/>
    <w:rsid w:val="00AF24C9"/>
    <w:rsid w:val="00AF3D95"/>
    <w:rsid w:val="00AF484A"/>
    <w:rsid w:val="00AF4923"/>
    <w:rsid w:val="00AF4A21"/>
    <w:rsid w:val="00AF4BE8"/>
    <w:rsid w:val="00AF54E5"/>
    <w:rsid w:val="00AF5B90"/>
    <w:rsid w:val="00AF6017"/>
    <w:rsid w:val="00AF6283"/>
    <w:rsid w:val="00AF6D8A"/>
    <w:rsid w:val="00AF74AD"/>
    <w:rsid w:val="00AF776D"/>
    <w:rsid w:val="00AF7D70"/>
    <w:rsid w:val="00B002B1"/>
    <w:rsid w:val="00B0087C"/>
    <w:rsid w:val="00B011D6"/>
    <w:rsid w:val="00B01290"/>
    <w:rsid w:val="00B017EA"/>
    <w:rsid w:val="00B01B21"/>
    <w:rsid w:val="00B01F29"/>
    <w:rsid w:val="00B01F8F"/>
    <w:rsid w:val="00B024B8"/>
    <w:rsid w:val="00B027C1"/>
    <w:rsid w:val="00B02B90"/>
    <w:rsid w:val="00B032F8"/>
    <w:rsid w:val="00B0349E"/>
    <w:rsid w:val="00B03C1D"/>
    <w:rsid w:val="00B03C3B"/>
    <w:rsid w:val="00B0446B"/>
    <w:rsid w:val="00B0473B"/>
    <w:rsid w:val="00B04EA2"/>
    <w:rsid w:val="00B04F6F"/>
    <w:rsid w:val="00B0546E"/>
    <w:rsid w:val="00B055F8"/>
    <w:rsid w:val="00B05D28"/>
    <w:rsid w:val="00B06258"/>
    <w:rsid w:val="00B06312"/>
    <w:rsid w:val="00B06389"/>
    <w:rsid w:val="00B065E0"/>
    <w:rsid w:val="00B06A05"/>
    <w:rsid w:val="00B07329"/>
    <w:rsid w:val="00B07759"/>
    <w:rsid w:val="00B07A3A"/>
    <w:rsid w:val="00B07BFE"/>
    <w:rsid w:val="00B07E89"/>
    <w:rsid w:val="00B100C1"/>
    <w:rsid w:val="00B100ED"/>
    <w:rsid w:val="00B10188"/>
    <w:rsid w:val="00B106C6"/>
    <w:rsid w:val="00B108F8"/>
    <w:rsid w:val="00B10A44"/>
    <w:rsid w:val="00B11146"/>
    <w:rsid w:val="00B11411"/>
    <w:rsid w:val="00B114EE"/>
    <w:rsid w:val="00B118BB"/>
    <w:rsid w:val="00B11A53"/>
    <w:rsid w:val="00B11B42"/>
    <w:rsid w:val="00B12308"/>
    <w:rsid w:val="00B12509"/>
    <w:rsid w:val="00B12E38"/>
    <w:rsid w:val="00B1309D"/>
    <w:rsid w:val="00B135B3"/>
    <w:rsid w:val="00B138C0"/>
    <w:rsid w:val="00B13C92"/>
    <w:rsid w:val="00B13D45"/>
    <w:rsid w:val="00B14618"/>
    <w:rsid w:val="00B147BC"/>
    <w:rsid w:val="00B15340"/>
    <w:rsid w:val="00B15982"/>
    <w:rsid w:val="00B15A89"/>
    <w:rsid w:val="00B15BC7"/>
    <w:rsid w:val="00B15FA3"/>
    <w:rsid w:val="00B16AF9"/>
    <w:rsid w:val="00B177C1"/>
    <w:rsid w:val="00B17A88"/>
    <w:rsid w:val="00B2066C"/>
    <w:rsid w:val="00B20A46"/>
    <w:rsid w:val="00B20C8B"/>
    <w:rsid w:val="00B21868"/>
    <w:rsid w:val="00B21CE1"/>
    <w:rsid w:val="00B229F8"/>
    <w:rsid w:val="00B22A17"/>
    <w:rsid w:val="00B22D6E"/>
    <w:rsid w:val="00B2321E"/>
    <w:rsid w:val="00B23490"/>
    <w:rsid w:val="00B23A4D"/>
    <w:rsid w:val="00B25133"/>
    <w:rsid w:val="00B25405"/>
    <w:rsid w:val="00B25696"/>
    <w:rsid w:val="00B25B64"/>
    <w:rsid w:val="00B25B9C"/>
    <w:rsid w:val="00B26340"/>
    <w:rsid w:val="00B267DA"/>
    <w:rsid w:val="00B269F5"/>
    <w:rsid w:val="00B26AD6"/>
    <w:rsid w:val="00B26DB6"/>
    <w:rsid w:val="00B27511"/>
    <w:rsid w:val="00B2795C"/>
    <w:rsid w:val="00B27A86"/>
    <w:rsid w:val="00B27AD5"/>
    <w:rsid w:val="00B27BEE"/>
    <w:rsid w:val="00B306AA"/>
    <w:rsid w:val="00B30906"/>
    <w:rsid w:val="00B30EBF"/>
    <w:rsid w:val="00B313A8"/>
    <w:rsid w:val="00B3187B"/>
    <w:rsid w:val="00B31D2B"/>
    <w:rsid w:val="00B321A4"/>
    <w:rsid w:val="00B32777"/>
    <w:rsid w:val="00B33761"/>
    <w:rsid w:val="00B339CA"/>
    <w:rsid w:val="00B33A91"/>
    <w:rsid w:val="00B33BB5"/>
    <w:rsid w:val="00B33D84"/>
    <w:rsid w:val="00B34BE8"/>
    <w:rsid w:val="00B34D01"/>
    <w:rsid w:val="00B35A15"/>
    <w:rsid w:val="00B35BC8"/>
    <w:rsid w:val="00B35C1D"/>
    <w:rsid w:val="00B35C2C"/>
    <w:rsid w:val="00B35C94"/>
    <w:rsid w:val="00B36911"/>
    <w:rsid w:val="00B369B1"/>
    <w:rsid w:val="00B36D82"/>
    <w:rsid w:val="00B37797"/>
    <w:rsid w:val="00B37A3C"/>
    <w:rsid w:val="00B37B59"/>
    <w:rsid w:val="00B37C20"/>
    <w:rsid w:val="00B37FEF"/>
    <w:rsid w:val="00B405FB"/>
    <w:rsid w:val="00B40687"/>
    <w:rsid w:val="00B408B7"/>
    <w:rsid w:val="00B40E70"/>
    <w:rsid w:val="00B41174"/>
    <w:rsid w:val="00B41303"/>
    <w:rsid w:val="00B4151B"/>
    <w:rsid w:val="00B422EB"/>
    <w:rsid w:val="00B425CF"/>
    <w:rsid w:val="00B425F4"/>
    <w:rsid w:val="00B4292F"/>
    <w:rsid w:val="00B42D5F"/>
    <w:rsid w:val="00B42FD7"/>
    <w:rsid w:val="00B4306F"/>
    <w:rsid w:val="00B43126"/>
    <w:rsid w:val="00B43140"/>
    <w:rsid w:val="00B43D45"/>
    <w:rsid w:val="00B44550"/>
    <w:rsid w:val="00B44814"/>
    <w:rsid w:val="00B44840"/>
    <w:rsid w:val="00B44F9D"/>
    <w:rsid w:val="00B45041"/>
    <w:rsid w:val="00B4507C"/>
    <w:rsid w:val="00B45236"/>
    <w:rsid w:val="00B45531"/>
    <w:rsid w:val="00B456DE"/>
    <w:rsid w:val="00B45F2F"/>
    <w:rsid w:val="00B46266"/>
    <w:rsid w:val="00B46CEF"/>
    <w:rsid w:val="00B46FFE"/>
    <w:rsid w:val="00B473E3"/>
    <w:rsid w:val="00B47A1B"/>
    <w:rsid w:val="00B47FF3"/>
    <w:rsid w:val="00B5016D"/>
    <w:rsid w:val="00B5062B"/>
    <w:rsid w:val="00B5093B"/>
    <w:rsid w:val="00B51F72"/>
    <w:rsid w:val="00B52293"/>
    <w:rsid w:val="00B52470"/>
    <w:rsid w:val="00B5265C"/>
    <w:rsid w:val="00B52808"/>
    <w:rsid w:val="00B52E38"/>
    <w:rsid w:val="00B52EEA"/>
    <w:rsid w:val="00B53497"/>
    <w:rsid w:val="00B54045"/>
    <w:rsid w:val="00B5446D"/>
    <w:rsid w:val="00B544FD"/>
    <w:rsid w:val="00B546A1"/>
    <w:rsid w:val="00B54873"/>
    <w:rsid w:val="00B54B2B"/>
    <w:rsid w:val="00B55B34"/>
    <w:rsid w:val="00B55F00"/>
    <w:rsid w:val="00B55FBB"/>
    <w:rsid w:val="00B568E4"/>
    <w:rsid w:val="00B56CF6"/>
    <w:rsid w:val="00B57D06"/>
    <w:rsid w:val="00B57E56"/>
    <w:rsid w:val="00B608C2"/>
    <w:rsid w:val="00B609EC"/>
    <w:rsid w:val="00B60A09"/>
    <w:rsid w:val="00B61300"/>
    <w:rsid w:val="00B61302"/>
    <w:rsid w:val="00B618AF"/>
    <w:rsid w:val="00B622F2"/>
    <w:rsid w:val="00B626E6"/>
    <w:rsid w:val="00B62D7C"/>
    <w:rsid w:val="00B6318A"/>
    <w:rsid w:val="00B631E3"/>
    <w:rsid w:val="00B6330F"/>
    <w:rsid w:val="00B63858"/>
    <w:rsid w:val="00B639D5"/>
    <w:rsid w:val="00B63A45"/>
    <w:rsid w:val="00B63A94"/>
    <w:rsid w:val="00B64351"/>
    <w:rsid w:val="00B64802"/>
    <w:rsid w:val="00B6491F"/>
    <w:rsid w:val="00B64AB1"/>
    <w:rsid w:val="00B652D8"/>
    <w:rsid w:val="00B65549"/>
    <w:rsid w:val="00B65AE0"/>
    <w:rsid w:val="00B65C13"/>
    <w:rsid w:val="00B65EBA"/>
    <w:rsid w:val="00B662F6"/>
    <w:rsid w:val="00B663F2"/>
    <w:rsid w:val="00B66803"/>
    <w:rsid w:val="00B6685F"/>
    <w:rsid w:val="00B6718A"/>
    <w:rsid w:val="00B67744"/>
    <w:rsid w:val="00B67F0C"/>
    <w:rsid w:val="00B70426"/>
    <w:rsid w:val="00B70789"/>
    <w:rsid w:val="00B70968"/>
    <w:rsid w:val="00B70EAC"/>
    <w:rsid w:val="00B70EE8"/>
    <w:rsid w:val="00B718DB"/>
    <w:rsid w:val="00B72623"/>
    <w:rsid w:val="00B72BD8"/>
    <w:rsid w:val="00B72D6C"/>
    <w:rsid w:val="00B733F6"/>
    <w:rsid w:val="00B73777"/>
    <w:rsid w:val="00B73BE5"/>
    <w:rsid w:val="00B74365"/>
    <w:rsid w:val="00B74C22"/>
    <w:rsid w:val="00B7504E"/>
    <w:rsid w:val="00B75231"/>
    <w:rsid w:val="00B753E4"/>
    <w:rsid w:val="00B7554E"/>
    <w:rsid w:val="00B75A12"/>
    <w:rsid w:val="00B75A9E"/>
    <w:rsid w:val="00B75C15"/>
    <w:rsid w:val="00B75D9D"/>
    <w:rsid w:val="00B75FCB"/>
    <w:rsid w:val="00B7674F"/>
    <w:rsid w:val="00B76C9E"/>
    <w:rsid w:val="00B76DD7"/>
    <w:rsid w:val="00B76FE8"/>
    <w:rsid w:val="00B770A0"/>
    <w:rsid w:val="00B77369"/>
    <w:rsid w:val="00B7754D"/>
    <w:rsid w:val="00B779B2"/>
    <w:rsid w:val="00B77AB7"/>
    <w:rsid w:val="00B77C22"/>
    <w:rsid w:val="00B80013"/>
    <w:rsid w:val="00B80549"/>
    <w:rsid w:val="00B80F60"/>
    <w:rsid w:val="00B81483"/>
    <w:rsid w:val="00B82C2F"/>
    <w:rsid w:val="00B83298"/>
    <w:rsid w:val="00B83608"/>
    <w:rsid w:val="00B83800"/>
    <w:rsid w:val="00B838FD"/>
    <w:rsid w:val="00B83909"/>
    <w:rsid w:val="00B83CD9"/>
    <w:rsid w:val="00B83F93"/>
    <w:rsid w:val="00B8435B"/>
    <w:rsid w:val="00B8459A"/>
    <w:rsid w:val="00B851F9"/>
    <w:rsid w:val="00B85822"/>
    <w:rsid w:val="00B859AE"/>
    <w:rsid w:val="00B85DCE"/>
    <w:rsid w:val="00B865AA"/>
    <w:rsid w:val="00B86815"/>
    <w:rsid w:val="00B86C3B"/>
    <w:rsid w:val="00B86DD3"/>
    <w:rsid w:val="00B87763"/>
    <w:rsid w:val="00B87DD8"/>
    <w:rsid w:val="00B87E00"/>
    <w:rsid w:val="00B902DD"/>
    <w:rsid w:val="00B910C7"/>
    <w:rsid w:val="00B9135A"/>
    <w:rsid w:val="00B91411"/>
    <w:rsid w:val="00B91887"/>
    <w:rsid w:val="00B91A04"/>
    <w:rsid w:val="00B91C26"/>
    <w:rsid w:val="00B91D02"/>
    <w:rsid w:val="00B91D23"/>
    <w:rsid w:val="00B925C7"/>
    <w:rsid w:val="00B92A41"/>
    <w:rsid w:val="00B93AAC"/>
    <w:rsid w:val="00B93DF2"/>
    <w:rsid w:val="00B941EA"/>
    <w:rsid w:val="00B947EC"/>
    <w:rsid w:val="00B9539B"/>
    <w:rsid w:val="00B956B8"/>
    <w:rsid w:val="00B95B3B"/>
    <w:rsid w:val="00B95EEC"/>
    <w:rsid w:val="00B9646D"/>
    <w:rsid w:val="00B964B9"/>
    <w:rsid w:val="00B96D3A"/>
    <w:rsid w:val="00B96E13"/>
    <w:rsid w:val="00B97100"/>
    <w:rsid w:val="00B972A8"/>
    <w:rsid w:val="00B972C3"/>
    <w:rsid w:val="00B977E3"/>
    <w:rsid w:val="00B9784E"/>
    <w:rsid w:val="00B97C7C"/>
    <w:rsid w:val="00B97D0E"/>
    <w:rsid w:val="00BA089F"/>
    <w:rsid w:val="00BA0998"/>
    <w:rsid w:val="00BA0DC6"/>
    <w:rsid w:val="00BA1550"/>
    <w:rsid w:val="00BA1CDF"/>
    <w:rsid w:val="00BA215C"/>
    <w:rsid w:val="00BA234C"/>
    <w:rsid w:val="00BA2371"/>
    <w:rsid w:val="00BA2412"/>
    <w:rsid w:val="00BA2542"/>
    <w:rsid w:val="00BA25F9"/>
    <w:rsid w:val="00BA38EA"/>
    <w:rsid w:val="00BA3B79"/>
    <w:rsid w:val="00BA3DB4"/>
    <w:rsid w:val="00BA4185"/>
    <w:rsid w:val="00BA469B"/>
    <w:rsid w:val="00BA497C"/>
    <w:rsid w:val="00BA4B4F"/>
    <w:rsid w:val="00BA5014"/>
    <w:rsid w:val="00BA56F9"/>
    <w:rsid w:val="00BA597E"/>
    <w:rsid w:val="00BA6574"/>
    <w:rsid w:val="00BA661D"/>
    <w:rsid w:val="00BA66BC"/>
    <w:rsid w:val="00BA70CD"/>
    <w:rsid w:val="00BA7579"/>
    <w:rsid w:val="00BA76CE"/>
    <w:rsid w:val="00BA78CE"/>
    <w:rsid w:val="00BB006F"/>
    <w:rsid w:val="00BB0677"/>
    <w:rsid w:val="00BB0CEB"/>
    <w:rsid w:val="00BB0FE4"/>
    <w:rsid w:val="00BB1097"/>
    <w:rsid w:val="00BB11CD"/>
    <w:rsid w:val="00BB1225"/>
    <w:rsid w:val="00BB12D8"/>
    <w:rsid w:val="00BB176A"/>
    <w:rsid w:val="00BB19CA"/>
    <w:rsid w:val="00BB1AEB"/>
    <w:rsid w:val="00BB1F09"/>
    <w:rsid w:val="00BB2138"/>
    <w:rsid w:val="00BB21C1"/>
    <w:rsid w:val="00BB2810"/>
    <w:rsid w:val="00BB2D9D"/>
    <w:rsid w:val="00BB2F90"/>
    <w:rsid w:val="00BB31FE"/>
    <w:rsid w:val="00BB340B"/>
    <w:rsid w:val="00BB3A63"/>
    <w:rsid w:val="00BB445D"/>
    <w:rsid w:val="00BB45EE"/>
    <w:rsid w:val="00BB46BE"/>
    <w:rsid w:val="00BB4D51"/>
    <w:rsid w:val="00BB4EA8"/>
    <w:rsid w:val="00BB515F"/>
    <w:rsid w:val="00BB53C3"/>
    <w:rsid w:val="00BB5C11"/>
    <w:rsid w:val="00BB5E32"/>
    <w:rsid w:val="00BB607C"/>
    <w:rsid w:val="00BB6AA8"/>
    <w:rsid w:val="00BB6B66"/>
    <w:rsid w:val="00BB73BD"/>
    <w:rsid w:val="00BB754C"/>
    <w:rsid w:val="00BB7F45"/>
    <w:rsid w:val="00BC0278"/>
    <w:rsid w:val="00BC0430"/>
    <w:rsid w:val="00BC0AD0"/>
    <w:rsid w:val="00BC0E16"/>
    <w:rsid w:val="00BC1282"/>
    <w:rsid w:val="00BC1715"/>
    <w:rsid w:val="00BC1CD1"/>
    <w:rsid w:val="00BC2953"/>
    <w:rsid w:val="00BC2AA6"/>
    <w:rsid w:val="00BC348F"/>
    <w:rsid w:val="00BC36F3"/>
    <w:rsid w:val="00BC3997"/>
    <w:rsid w:val="00BC4121"/>
    <w:rsid w:val="00BC4135"/>
    <w:rsid w:val="00BC4C32"/>
    <w:rsid w:val="00BC4E1B"/>
    <w:rsid w:val="00BC54BD"/>
    <w:rsid w:val="00BC5747"/>
    <w:rsid w:val="00BC6A7C"/>
    <w:rsid w:val="00BC6CBB"/>
    <w:rsid w:val="00BC6E43"/>
    <w:rsid w:val="00BC70C4"/>
    <w:rsid w:val="00BC74D1"/>
    <w:rsid w:val="00BC7843"/>
    <w:rsid w:val="00BC7AEC"/>
    <w:rsid w:val="00BC7BCF"/>
    <w:rsid w:val="00BC7D62"/>
    <w:rsid w:val="00BD021C"/>
    <w:rsid w:val="00BD0791"/>
    <w:rsid w:val="00BD07EA"/>
    <w:rsid w:val="00BD093E"/>
    <w:rsid w:val="00BD09D0"/>
    <w:rsid w:val="00BD0F36"/>
    <w:rsid w:val="00BD10B8"/>
    <w:rsid w:val="00BD1102"/>
    <w:rsid w:val="00BD11F4"/>
    <w:rsid w:val="00BD144A"/>
    <w:rsid w:val="00BD1531"/>
    <w:rsid w:val="00BD1772"/>
    <w:rsid w:val="00BD198A"/>
    <w:rsid w:val="00BD21CA"/>
    <w:rsid w:val="00BD255B"/>
    <w:rsid w:val="00BD29BF"/>
    <w:rsid w:val="00BD2A5F"/>
    <w:rsid w:val="00BD315D"/>
    <w:rsid w:val="00BD32B1"/>
    <w:rsid w:val="00BD38FD"/>
    <w:rsid w:val="00BD39C6"/>
    <w:rsid w:val="00BD3F43"/>
    <w:rsid w:val="00BD4086"/>
    <w:rsid w:val="00BD4959"/>
    <w:rsid w:val="00BD534E"/>
    <w:rsid w:val="00BD5367"/>
    <w:rsid w:val="00BD664B"/>
    <w:rsid w:val="00BD680E"/>
    <w:rsid w:val="00BD6860"/>
    <w:rsid w:val="00BD6B28"/>
    <w:rsid w:val="00BD6B63"/>
    <w:rsid w:val="00BD6E78"/>
    <w:rsid w:val="00BD76C3"/>
    <w:rsid w:val="00BD77C8"/>
    <w:rsid w:val="00BD7F2A"/>
    <w:rsid w:val="00BE04A8"/>
    <w:rsid w:val="00BE052E"/>
    <w:rsid w:val="00BE055E"/>
    <w:rsid w:val="00BE06B1"/>
    <w:rsid w:val="00BE0962"/>
    <w:rsid w:val="00BE0DC9"/>
    <w:rsid w:val="00BE1344"/>
    <w:rsid w:val="00BE163A"/>
    <w:rsid w:val="00BE1B79"/>
    <w:rsid w:val="00BE2667"/>
    <w:rsid w:val="00BE2865"/>
    <w:rsid w:val="00BE2CCF"/>
    <w:rsid w:val="00BE34E9"/>
    <w:rsid w:val="00BE3632"/>
    <w:rsid w:val="00BE406B"/>
    <w:rsid w:val="00BE44D0"/>
    <w:rsid w:val="00BE4644"/>
    <w:rsid w:val="00BE4657"/>
    <w:rsid w:val="00BE5106"/>
    <w:rsid w:val="00BE51DF"/>
    <w:rsid w:val="00BE51FF"/>
    <w:rsid w:val="00BE53AF"/>
    <w:rsid w:val="00BE59F5"/>
    <w:rsid w:val="00BE5A9C"/>
    <w:rsid w:val="00BE7125"/>
    <w:rsid w:val="00BE724F"/>
    <w:rsid w:val="00BE7653"/>
    <w:rsid w:val="00BE7DA9"/>
    <w:rsid w:val="00BE7F19"/>
    <w:rsid w:val="00BF0321"/>
    <w:rsid w:val="00BF034E"/>
    <w:rsid w:val="00BF0552"/>
    <w:rsid w:val="00BF0A8A"/>
    <w:rsid w:val="00BF0BB9"/>
    <w:rsid w:val="00BF0BCC"/>
    <w:rsid w:val="00BF0C52"/>
    <w:rsid w:val="00BF0CA3"/>
    <w:rsid w:val="00BF0DBF"/>
    <w:rsid w:val="00BF116A"/>
    <w:rsid w:val="00BF1465"/>
    <w:rsid w:val="00BF160B"/>
    <w:rsid w:val="00BF17AA"/>
    <w:rsid w:val="00BF1D13"/>
    <w:rsid w:val="00BF2481"/>
    <w:rsid w:val="00BF24FE"/>
    <w:rsid w:val="00BF25C4"/>
    <w:rsid w:val="00BF27E2"/>
    <w:rsid w:val="00BF2ADD"/>
    <w:rsid w:val="00BF2D52"/>
    <w:rsid w:val="00BF2F2B"/>
    <w:rsid w:val="00BF31A9"/>
    <w:rsid w:val="00BF3342"/>
    <w:rsid w:val="00BF378E"/>
    <w:rsid w:val="00BF3BDB"/>
    <w:rsid w:val="00BF3ED5"/>
    <w:rsid w:val="00BF416E"/>
    <w:rsid w:val="00BF4530"/>
    <w:rsid w:val="00BF4677"/>
    <w:rsid w:val="00BF48FC"/>
    <w:rsid w:val="00BF4A47"/>
    <w:rsid w:val="00BF4F15"/>
    <w:rsid w:val="00BF5194"/>
    <w:rsid w:val="00BF5271"/>
    <w:rsid w:val="00BF564F"/>
    <w:rsid w:val="00BF5D57"/>
    <w:rsid w:val="00BF5F7C"/>
    <w:rsid w:val="00BF6151"/>
    <w:rsid w:val="00BF6424"/>
    <w:rsid w:val="00BF6B60"/>
    <w:rsid w:val="00BF73A3"/>
    <w:rsid w:val="00BF7A6C"/>
    <w:rsid w:val="00C005E5"/>
    <w:rsid w:val="00C00DA8"/>
    <w:rsid w:val="00C0179A"/>
    <w:rsid w:val="00C017E9"/>
    <w:rsid w:val="00C01A03"/>
    <w:rsid w:val="00C01CCB"/>
    <w:rsid w:val="00C01EC1"/>
    <w:rsid w:val="00C025DC"/>
    <w:rsid w:val="00C02761"/>
    <w:rsid w:val="00C02BE9"/>
    <w:rsid w:val="00C02E86"/>
    <w:rsid w:val="00C02FA9"/>
    <w:rsid w:val="00C03327"/>
    <w:rsid w:val="00C03671"/>
    <w:rsid w:val="00C03705"/>
    <w:rsid w:val="00C03825"/>
    <w:rsid w:val="00C03DE1"/>
    <w:rsid w:val="00C04054"/>
    <w:rsid w:val="00C0421D"/>
    <w:rsid w:val="00C042EE"/>
    <w:rsid w:val="00C046ED"/>
    <w:rsid w:val="00C048D1"/>
    <w:rsid w:val="00C04BC0"/>
    <w:rsid w:val="00C04C98"/>
    <w:rsid w:val="00C04FD1"/>
    <w:rsid w:val="00C052F3"/>
    <w:rsid w:val="00C0543E"/>
    <w:rsid w:val="00C057A2"/>
    <w:rsid w:val="00C058EC"/>
    <w:rsid w:val="00C0591F"/>
    <w:rsid w:val="00C05BD3"/>
    <w:rsid w:val="00C05EC7"/>
    <w:rsid w:val="00C065AF"/>
    <w:rsid w:val="00C06836"/>
    <w:rsid w:val="00C06C62"/>
    <w:rsid w:val="00C07990"/>
    <w:rsid w:val="00C079F4"/>
    <w:rsid w:val="00C07ADE"/>
    <w:rsid w:val="00C07E9C"/>
    <w:rsid w:val="00C100A8"/>
    <w:rsid w:val="00C10217"/>
    <w:rsid w:val="00C10404"/>
    <w:rsid w:val="00C1122C"/>
    <w:rsid w:val="00C112A0"/>
    <w:rsid w:val="00C11349"/>
    <w:rsid w:val="00C11B02"/>
    <w:rsid w:val="00C11BAF"/>
    <w:rsid w:val="00C11CE5"/>
    <w:rsid w:val="00C11D9B"/>
    <w:rsid w:val="00C11F7E"/>
    <w:rsid w:val="00C12AFD"/>
    <w:rsid w:val="00C130BC"/>
    <w:rsid w:val="00C132FE"/>
    <w:rsid w:val="00C13FFF"/>
    <w:rsid w:val="00C141AC"/>
    <w:rsid w:val="00C145E5"/>
    <w:rsid w:val="00C1536E"/>
    <w:rsid w:val="00C154FC"/>
    <w:rsid w:val="00C15B4A"/>
    <w:rsid w:val="00C15C5D"/>
    <w:rsid w:val="00C15CE0"/>
    <w:rsid w:val="00C15F5C"/>
    <w:rsid w:val="00C161D0"/>
    <w:rsid w:val="00C161E6"/>
    <w:rsid w:val="00C162C9"/>
    <w:rsid w:val="00C16821"/>
    <w:rsid w:val="00C16A02"/>
    <w:rsid w:val="00C16BDA"/>
    <w:rsid w:val="00C17C33"/>
    <w:rsid w:val="00C20298"/>
    <w:rsid w:val="00C20559"/>
    <w:rsid w:val="00C20ABB"/>
    <w:rsid w:val="00C20ADF"/>
    <w:rsid w:val="00C20AFF"/>
    <w:rsid w:val="00C21593"/>
    <w:rsid w:val="00C21B1A"/>
    <w:rsid w:val="00C21E4B"/>
    <w:rsid w:val="00C21FF2"/>
    <w:rsid w:val="00C224FC"/>
    <w:rsid w:val="00C2298A"/>
    <w:rsid w:val="00C22B0D"/>
    <w:rsid w:val="00C22CCF"/>
    <w:rsid w:val="00C235B5"/>
    <w:rsid w:val="00C23766"/>
    <w:rsid w:val="00C23859"/>
    <w:rsid w:val="00C23873"/>
    <w:rsid w:val="00C2388C"/>
    <w:rsid w:val="00C239DF"/>
    <w:rsid w:val="00C23C6D"/>
    <w:rsid w:val="00C23D04"/>
    <w:rsid w:val="00C23EEF"/>
    <w:rsid w:val="00C24076"/>
    <w:rsid w:val="00C245AC"/>
    <w:rsid w:val="00C24AD0"/>
    <w:rsid w:val="00C252F4"/>
    <w:rsid w:val="00C25436"/>
    <w:rsid w:val="00C25886"/>
    <w:rsid w:val="00C25A26"/>
    <w:rsid w:val="00C2623B"/>
    <w:rsid w:val="00C26276"/>
    <w:rsid w:val="00C26304"/>
    <w:rsid w:val="00C276FE"/>
    <w:rsid w:val="00C278FE"/>
    <w:rsid w:val="00C27D28"/>
    <w:rsid w:val="00C27EC8"/>
    <w:rsid w:val="00C27ED0"/>
    <w:rsid w:val="00C30004"/>
    <w:rsid w:val="00C30396"/>
    <w:rsid w:val="00C306C2"/>
    <w:rsid w:val="00C312AD"/>
    <w:rsid w:val="00C31727"/>
    <w:rsid w:val="00C31974"/>
    <w:rsid w:val="00C31BE5"/>
    <w:rsid w:val="00C325C7"/>
    <w:rsid w:val="00C32786"/>
    <w:rsid w:val="00C328A3"/>
    <w:rsid w:val="00C32965"/>
    <w:rsid w:val="00C329A3"/>
    <w:rsid w:val="00C3382C"/>
    <w:rsid w:val="00C33867"/>
    <w:rsid w:val="00C33E11"/>
    <w:rsid w:val="00C34083"/>
    <w:rsid w:val="00C343AE"/>
    <w:rsid w:val="00C34A15"/>
    <w:rsid w:val="00C34D07"/>
    <w:rsid w:val="00C34E32"/>
    <w:rsid w:val="00C34F94"/>
    <w:rsid w:val="00C3530F"/>
    <w:rsid w:val="00C35AA0"/>
    <w:rsid w:val="00C35DDE"/>
    <w:rsid w:val="00C35F08"/>
    <w:rsid w:val="00C36044"/>
    <w:rsid w:val="00C36292"/>
    <w:rsid w:val="00C364A8"/>
    <w:rsid w:val="00C36644"/>
    <w:rsid w:val="00C36705"/>
    <w:rsid w:val="00C36E6B"/>
    <w:rsid w:val="00C36FF8"/>
    <w:rsid w:val="00C374B8"/>
    <w:rsid w:val="00C3756A"/>
    <w:rsid w:val="00C37DBE"/>
    <w:rsid w:val="00C4009B"/>
    <w:rsid w:val="00C40454"/>
    <w:rsid w:val="00C404E1"/>
    <w:rsid w:val="00C40981"/>
    <w:rsid w:val="00C40ABB"/>
    <w:rsid w:val="00C40D36"/>
    <w:rsid w:val="00C40ECA"/>
    <w:rsid w:val="00C410D9"/>
    <w:rsid w:val="00C41AE7"/>
    <w:rsid w:val="00C42927"/>
    <w:rsid w:val="00C42949"/>
    <w:rsid w:val="00C42AE5"/>
    <w:rsid w:val="00C42C84"/>
    <w:rsid w:val="00C42F27"/>
    <w:rsid w:val="00C431A3"/>
    <w:rsid w:val="00C431A7"/>
    <w:rsid w:val="00C43531"/>
    <w:rsid w:val="00C4376C"/>
    <w:rsid w:val="00C438BE"/>
    <w:rsid w:val="00C4485C"/>
    <w:rsid w:val="00C44C6B"/>
    <w:rsid w:val="00C44C87"/>
    <w:rsid w:val="00C46A3C"/>
    <w:rsid w:val="00C46B51"/>
    <w:rsid w:val="00C473C6"/>
    <w:rsid w:val="00C4757F"/>
    <w:rsid w:val="00C47620"/>
    <w:rsid w:val="00C478B7"/>
    <w:rsid w:val="00C47ED0"/>
    <w:rsid w:val="00C5116F"/>
    <w:rsid w:val="00C511FC"/>
    <w:rsid w:val="00C511FF"/>
    <w:rsid w:val="00C51E90"/>
    <w:rsid w:val="00C51F7E"/>
    <w:rsid w:val="00C520BB"/>
    <w:rsid w:val="00C52413"/>
    <w:rsid w:val="00C5256F"/>
    <w:rsid w:val="00C525CB"/>
    <w:rsid w:val="00C5315F"/>
    <w:rsid w:val="00C531BF"/>
    <w:rsid w:val="00C532C1"/>
    <w:rsid w:val="00C532DE"/>
    <w:rsid w:val="00C53989"/>
    <w:rsid w:val="00C539F2"/>
    <w:rsid w:val="00C5424A"/>
    <w:rsid w:val="00C5453D"/>
    <w:rsid w:val="00C5478C"/>
    <w:rsid w:val="00C54A25"/>
    <w:rsid w:val="00C54C40"/>
    <w:rsid w:val="00C5541D"/>
    <w:rsid w:val="00C5576D"/>
    <w:rsid w:val="00C55BD3"/>
    <w:rsid w:val="00C55D32"/>
    <w:rsid w:val="00C561FB"/>
    <w:rsid w:val="00C564AB"/>
    <w:rsid w:val="00C5743A"/>
    <w:rsid w:val="00C57C7D"/>
    <w:rsid w:val="00C57E2B"/>
    <w:rsid w:val="00C601A8"/>
    <w:rsid w:val="00C60327"/>
    <w:rsid w:val="00C607D9"/>
    <w:rsid w:val="00C60A68"/>
    <w:rsid w:val="00C60D95"/>
    <w:rsid w:val="00C60EC1"/>
    <w:rsid w:val="00C610F8"/>
    <w:rsid w:val="00C615C4"/>
    <w:rsid w:val="00C61BE2"/>
    <w:rsid w:val="00C61D8F"/>
    <w:rsid w:val="00C61D9B"/>
    <w:rsid w:val="00C61ED2"/>
    <w:rsid w:val="00C62741"/>
    <w:rsid w:val="00C62B85"/>
    <w:rsid w:val="00C634B9"/>
    <w:rsid w:val="00C63840"/>
    <w:rsid w:val="00C63B75"/>
    <w:rsid w:val="00C63C34"/>
    <w:rsid w:val="00C640B4"/>
    <w:rsid w:val="00C641C2"/>
    <w:rsid w:val="00C64473"/>
    <w:rsid w:val="00C647F3"/>
    <w:rsid w:val="00C649EE"/>
    <w:rsid w:val="00C65014"/>
    <w:rsid w:val="00C65055"/>
    <w:rsid w:val="00C6512A"/>
    <w:rsid w:val="00C65AD4"/>
    <w:rsid w:val="00C65D4F"/>
    <w:rsid w:val="00C65FF5"/>
    <w:rsid w:val="00C6611C"/>
    <w:rsid w:val="00C66476"/>
    <w:rsid w:val="00C66F4F"/>
    <w:rsid w:val="00C67181"/>
    <w:rsid w:val="00C67270"/>
    <w:rsid w:val="00C67427"/>
    <w:rsid w:val="00C6764D"/>
    <w:rsid w:val="00C67668"/>
    <w:rsid w:val="00C6768E"/>
    <w:rsid w:val="00C67713"/>
    <w:rsid w:val="00C6790E"/>
    <w:rsid w:val="00C67984"/>
    <w:rsid w:val="00C67B04"/>
    <w:rsid w:val="00C67F5F"/>
    <w:rsid w:val="00C708B6"/>
    <w:rsid w:val="00C708D2"/>
    <w:rsid w:val="00C7090F"/>
    <w:rsid w:val="00C70D7B"/>
    <w:rsid w:val="00C70F0C"/>
    <w:rsid w:val="00C70FDB"/>
    <w:rsid w:val="00C71091"/>
    <w:rsid w:val="00C71131"/>
    <w:rsid w:val="00C713AE"/>
    <w:rsid w:val="00C71B9F"/>
    <w:rsid w:val="00C72A64"/>
    <w:rsid w:val="00C72D47"/>
    <w:rsid w:val="00C72F5D"/>
    <w:rsid w:val="00C733D1"/>
    <w:rsid w:val="00C73D72"/>
    <w:rsid w:val="00C73DE6"/>
    <w:rsid w:val="00C743C2"/>
    <w:rsid w:val="00C74898"/>
    <w:rsid w:val="00C752C5"/>
    <w:rsid w:val="00C75626"/>
    <w:rsid w:val="00C757A8"/>
    <w:rsid w:val="00C758A3"/>
    <w:rsid w:val="00C75C76"/>
    <w:rsid w:val="00C75EEA"/>
    <w:rsid w:val="00C76056"/>
    <w:rsid w:val="00C761F5"/>
    <w:rsid w:val="00C7708A"/>
    <w:rsid w:val="00C77218"/>
    <w:rsid w:val="00C77415"/>
    <w:rsid w:val="00C776F9"/>
    <w:rsid w:val="00C805D3"/>
    <w:rsid w:val="00C8088E"/>
    <w:rsid w:val="00C80F3A"/>
    <w:rsid w:val="00C81DCC"/>
    <w:rsid w:val="00C81E14"/>
    <w:rsid w:val="00C821F1"/>
    <w:rsid w:val="00C8224D"/>
    <w:rsid w:val="00C8252D"/>
    <w:rsid w:val="00C8294F"/>
    <w:rsid w:val="00C82C56"/>
    <w:rsid w:val="00C82DE9"/>
    <w:rsid w:val="00C8390B"/>
    <w:rsid w:val="00C83B39"/>
    <w:rsid w:val="00C83D2C"/>
    <w:rsid w:val="00C845CB"/>
    <w:rsid w:val="00C84A7F"/>
    <w:rsid w:val="00C857E6"/>
    <w:rsid w:val="00C85913"/>
    <w:rsid w:val="00C8596B"/>
    <w:rsid w:val="00C85A23"/>
    <w:rsid w:val="00C85A9B"/>
    <w:rsid w:val="00C86B22"/>
    <w:rsid w:val="00C86CCE"/>
    <w:rsid w:val="00C86D2A"/>
    <w:rsid w:val="00C86FD4"/>
    <w:rsid w:val="00C8729B"/>
    <w:rsid w:val="00C875EA"/>
    <w:rsid w:val="00C87767"/>
    <w:rsid w:val="00C877BE"/>
    <w:rsid w:val="00C87FF5"/>
    <w:rsid w:val="00C90246"/>
    <w:rsid w:val="00C9094E"/>
    <w:rsid w:val="00C909B9"/>
    <w:rsid w:val="00C91536"/>
    <w:rsid w:val="00C9168A"/>
    <w:rsid w:val="00C91846"/>
    <w:rsid w:val="00C91CC6"/>
    <w:rsid w:val="00C921B2"/>
    <w:rsid w:val="00C923DA"/>
    <w:rsid w:val="00C9275A"/>
    <w:rsid w:val="00C92DAF"/>
    <w:rsid w:val="00C930CC"/>
    <w:rsid w:val="00C93448"/>
    <w:rsid w:val="00C93CAB"/>
    <w:rsid w:val="00C93E8B"/>
    <w:rsid w:val="00C94162"/>
    <w:rsid w:val="00C946C3"/>
    <w:rsid w:val="00C94ADE"/>
    <w:rsid w:val="00C94CFE"/>
    <w:rsid w:val="00C94D37"/>
    <w:rsid w:val="00C9506D"/>
    <w:rsid w:val="00C950AC"/>
    <w:rsid w:val="00C954C5"/>
    <w:rsid w:val="00C95729"/>
    <w:rsid w:val="00C9602E"/>
    <w:rsid w:val="00C9686A"/>
    <w:rsid w:val="00C96928"/>
    <w:rsid w:val="00C970DC"/>
    <w:rsid w:val="00C9792D"/>
    <w:rsid w:val="00C97D78"/>
    <w:rsid w:val="00CA054E"/>
    <w:rsid w:val="00CA0FB7"/>
    <w:rsid w:val="00CA0FC0"/>
    <w:rsid w:val="00CA15D0"/>
    <w:rsid w:val="00CA1728"/>
    <w:rsid w:val="00CA1B81"/>
    <w:rsid w:val="00CA1EA0"/>
    <w:rsid w:val="00CA203E"/>
    <w:rsid w:val="00CA2680"/>
    <w:rsid w:val="00CA2ACD"/>
    <w:rsid w:val="00CA2B13"/>
    <w:rsid w:val="00CA2B9F"/>
    <w:rsid w:val="00CA2F49"/>
    <w:rsid w:val="00CA2F5A"/>
    <w:rsid w:val="00CA300C"/>
    <w:rsid w:val="00CA3188"/>
    <w:rsid w:val="00CA3337"/>
    <w:rsid w:val="00CA3A84"/>
    <w:rsid w:val="00CA3BD7"/>
    <w:rsid w:val="00CA406D"/>
    <w:rsid w:val="00CA42BA"/>
    <w:rsid w:val="00CA4866"/>
    <w:rsid w:val="00CA4A68"/>
    <w:rsid w:val="00CA53B1"/>
    <w:rsid w:val="00CA5552"/>
    <w:rsid w:val="00CA580B"/>
    <w:rsid w:val="00CA5A22"/>
    <w:rsid w:val="00CA6214"/>
    <w:rsid w:val="00CA63CA"/>
    <w:rsid w:val="00CA664F"/>
    <w:rsid w:val="00CA67F9"/>
    <w:rsid w:val="00CA7229"/>
    <w:rsid w:val="00CA79FD"/>
    <w:rsid w:val="00CA7A4A"/>
    <w:rsid w:val="00CA7A58"/>
    <w:rsid w:val="00CA7CBF"/>
    <w:rsid w:val="00CB04E4"/>
    <w:rsid w:val="00CB083F"/>
    <w:rsid w:val="00CB08B0"/>
    <w:rsid w:val="00CB1325"/>
    <w:rsid w:val="00CB15C2"/>
    <w:rsid w:val="00CB187B"/>
    <w:rsid w:val="00CB1D5E"/>
    <w:rsid w:val="00CB1D96"/>
    <w:rsid w:val="00CB201E"/>
    <w:rsid w:val="00CB20D6"/>
    <w:rsid w:val="00CB2152"/>
    <w:rsid w:val="00CB22B7"/>
    <w:rsid w:val="00CB23D2"/>
    <w:rsid w:val="00CB2F6C"/>
    <w:rsid w:val="00CB3515"/>
    <w:rsid w:val="00CB41BE"/>
    <w:rsid w:val="00CB4211"/>
    <w:rsid w:val="00CB4A23"/>
    <w:rsid w:val="00CB52F2"/>
    <w:rsid w:val="00CB53AC"/>
    <w:rsid w:val="00CB681E"/>
    <w:rsid w:val="00CB69A1"/>
    <w:rsid w:val="00CB773D"/>
    <w:rsid w:val="00CB7890"/>
    <w:rsid w:val="00CB7905"/>
    <w:rsid w:val="00CB7F83"/>
    <w:rsid w:val="00CC0122"/>
    <w:rsid w:val="00CC07B4"/>
    <w:rsid w:val="00CC09D9"/>
    <w:rsid w:val="00CC1367"/>
    <w:rsid w:val="00CC1827"/>
    <w:rsid w:val="00CC22E7"/>
    <w:rsid w:val="00CC235E"/>
    <w:rsid w:val="00CC2614"/>
    <w:rsid w:val="00CC2BA0"/>
    <w:rsid w:val="00CC2D3D"/>
    <w:rsid w:val="00CC2D85"/>
    <w:rsid w:val="00CC41EF"/>
    <w:rsid w:val="00CC4D01"/>
    <w:rsid w:val="00CC5089"/>
    <w:rsid w:val="00CC51E7"/>
    <w:rsid w:val="00CC5253"/>
    <w:rsid w:val="00CC5ACA"/>
    <w:rsid w:val="00CC6085"/>
    <w:rsid w:val="00CC6C11"/>
    <w:rsid w:val="00CD02F4"/>
    <w:rsid w:val="00CD0E8D"/>
    <w:rsid w:val="00CD0F74"/>
    <w:rsid w:val="00CD0F99"/>
    <w:rsid w:val="00CD1239"/>
    <w:rsid w:val="00CD1489"/>
    <w:rsid w:val="00CD1971"/>
    <w:rsid w:val="00CD1A51"/>
    <w:rsid w:val="00CD1ADE"/>
    <w:rsid w:val="00CD2588"/>
    <w:rsid w:val="00CD268A"/>
    <w:rsid w:val="00CD2B31"/>
    <w:rsid w:val="00CD2B3E"/>
    <w:rsid w:val="00CD2FE3"/>
    <w:rsid w:val="00CD3278"/>
    <w:rsid w:val="00CD34BD"/>
    <w:rsid w:val="00CD38EA"/>
    <w:rsid w:val="00CD455D"/>
    <w:rsid w:val="00CD4C0A"/>
    <w:rsid w:val="00CD520E"/>
    <w:rsid w:val="00CD52A7"/>
    <w:rsid w:val="00CD65B5"/>
    <w:rsid w:val="00CD687C"/>
    <w:rsid w:val="00CD6A8E"/>
    <w:rsid w:val="00CD719B"/>
    <w:rsid w:val="00CD7658"/>
    <w:rsid w:val="00CE0075"/>
    <w:rsid w:val="00CE05B7"/>
    <w:rsid w:val="00CE0720"/>
    <w:rsid w:val="00CE0904"/>
    <w:rsid w:val="00CE0B1F"/>
    <w:rsid w:val="00CE0E6C"/>
    <w:rsid w:val="00CE1DA4"/>
    <w:rsid w:val="00CE232B"/>
    <w:rsid w:val="00CE26C6"/>
    <w:rsid w:val="00CE27C2"/>
    <w:rsid w:val="00CE3AE4"/>
    <w:rsid w:val="00CE48F1"/>
    <w:rsid w:val="00CE491F"/>
    <w:rsid w:val="00CE55A2"/>
    <w:rsid w:val="00CE5614"/>
    <w:rsid w:val="00CE69B5"/>
    <w:rsid w:val="00CE6D4F"/>
    <w:rsid w:val="00CE7294"/>
    <w:rsid w:val="00CE7625"/>
    <w:rsid w:val="00CE7BA5"/>
    <w:rsid w:val="00CF00A6"/>
    <w:rsid w:val="00CF02DD"/>
    <w:rsid w:val="00CF07E3"/>
    <w:rsid w:val="00CF0A1C"/>
    <w:rsid w:val="00CF0B29"/>
    <w:rsid w:val="00CF17A3"/>
    <w:rsid w:val="00CF191B"/>
    <w:rsid w:val="00CF1DCF"/>
    <w:rsid w:val="00CF203A"/>
    <w:rsid w:val="00CF21E1"/>
    <w:rsid w:val="00CF2667"/>
    <w:rsid w:val="00CF31EE"/>
    <w:rsid w:val="00CF3248"/>
    <w:rsid w:val="00CF343F"/>
    <w:rsid w:val="00CF3F1F"/>
    <w:rsid w:val="00CF489C"/>
    <w:rsid w:val="00CF4BCE"/>
    <w:rsid w:val="00CF4EF8"/>
    <w:rsid w:val="00CF52D3"/>
    <w:rsid w:val="00CF5457"/>
    <w:rsid w:val="00CF571C"/>
    <w:rsid w:val="00CF6202"/>
    <w:rsid w:val="00CF65BD"/>
    <w:rsid w:val="00CF660F"/>
    <w:rsid w:val="00CF66CB"/>
    <w:rsid w:val="00CF6D85"/>
    <w:rsid w:val="00CF7702"/>
    <w:rsid w:val="00CF7987"/>
    <w:rsid w:val="00D0054D"/>
    <w:rsid w:val="00D0079C"/>
    <w:rsid w:val="00D00BA6"/>
    <w:rsid w:val="00D01070"/>
    <w:rsid w:val="00D0124D"/>
    <w:rsid w:val="00D014FD"/>
    <w:rsid w:val="00D0152C"/>
    <w:rsid w:val="00D01B23"/>
    <w:rsid w:val="00D02D78"/>
    <w:rsid w:val="00D02DCA"/>
    <w:rsid w:val="00D034A0"/>
    <w:rsid w:val="00D037E5"/>
    <w:rsid w:val="00D03844"/>
    <w:rsid w:val="00D03A74"/>
    <w:rsid w:val="00D03A90"/>
    <w:rsid w:val="00D044DB"/>
    <w:rsid w:val="00D04594"/>
    <w:rsid w:val="00D0476D"/>
    <w:rsid w:val="00D047C5"/>
    <w:rsid w:val="00D04F04"/>
    <w:rsid w:val="00D055B5"/>
    <w:rsid w:val="00D055C5"/>
    <w:rsid w:val="00D05859"/>
    <w:rsid w:val="00D0593D"/>
    <w:rsid w:val="00D05ACE"/>
    <w:rsid w:val="00D05CCC"/>
    <w:rsid w:val="00D06D1D"/>
    <w:rsid w:val="00D0707F"/>
    <w:rsid w:val="00D071BA"/>
    <w:rsid w:val="00D0767F"/>
    <w:rsid w:val="00D076F4"/>
    <w:rsid w:val="00D100A1"/>
    <w:rsid w:val="00D103DF"/>
    <w:rsid w:val="00D1048C"/>
    <w:rsid w:val="00D10644"/>
    <w:rsid w:val="00D106CA"/>
    <w:rsid w:val="00D1084F"/>
    <w:rsid w:val="00D109D9"/>
    <w:rsid w:val="00D10C03"/>
    <w:rsid w:val="00D10C07"/>
    <w:rsid w:val="00D11243"/>
    <w:rsid w:val="00D112C9"/>
    <w:rsid w:val="00D113A5"/>
    <w:rsid w:val="00D1156E"/>
    <w:rsid w:val="00D116B8"/>
    <w:rsid w:val="00D1186C"/>
    <w:rsid w:val="00D12078"/>
    <w:rsid w:val="00D12134"/>
    <w:rsid w:val="00D121A2"/>
    <w:rsid w:val="00D12751"/>
    <w:rsid w:val="00D12C5A"/>
    <w:rsid w:val="00D13407"/>
    <w:rsid w:val="00D13963"/>
    <w:rsid w:val="00D13B79"/>
    <w:rsid w:val="00D13D06"/>
    <w:rsid w:val="00D13F88"/>
    <w:rsid w:val="00D13FDF"/>
    <w:rsid w:val="00D14358"/>
    <w:rsid w:val="00D14538"/>
    <w:rsid w:val="00D150B6"/>
    <w:rsid w:val="00D150D3"/>
    <w:rsid w:val="00D15141"/>
    <w:rsid w:val="00D15A09"/>
    <w:rsid w:val="00D15B3C"/>
    <w:rsid w:val="00D160E1"/>
    <w:rsid w:val="00D162D9"/>
    <w:rsid w:val="00D1634D"/>
    <w:rsid w:val="00D16730"/>
    <w:rsid w:val="00D16E7A"/>
    <w:rsid w:val="00D17147"/>
    <w:rsid w:val="00D20262"/>
    <w:rsid w:val="00D2035D"/>
    <w:rsid w:val="00D20484"/>
    <w:rsid w:val="00D20604"/>
    <w:rsid w:val="00D206D5"/>
    <w:rsid w:val="00D206E1"/>
    <w:rsid w:val="00D20825"/>
    <w:rsid w:val="00D20885"/>
    <w:rsid w:val="00D20D59"/>
    <w:rsid w:val="00D20ED1"/>
    <w:rsid w:val="00D20F0C"/>
    <w:rsid w:val="00D213F4"/>
    <w:rsid w:val="00D2156F"/>
    <w:rsid w:val="00D21689"/>
    <w:rsid w:val="00D21C4E"/>
    <w:rsid w:val="00D21C85"/>
    <w:rsid w:val="00D21F9F"/>
    <w:rsid w:val="00D22048"/>
    <w:rsid w:val="00D221D0"/>
    <w:rsid w:val="00D22858"/>
    <w:rsid w:val="00D22BEE"/>
    <w:rsid w:val="00D22ED9"/>
    <w:rsid w:val="00D236F0"/>
    <w:rsid w:val="00D2379A"/>
    <w:rsid w:val="00D239BF"/>
    <w:rsid w:val="00D23C2B"/>
    <w:rsid w:val="00D23E49"/>
    <w:rsid w:val="00D2426C"/>
    <w:rsid w:val="00D242EF"/>
    <w:rsid w:val="00D24467"/>
    <w:rsid w:val="00D24E74"/>
    <w:rsid w:val="00D2558C"/>
    <w:rsid w:val="00D25D53"/>
    <w:rsid w:val="00D26160"/>
    <w:rsid w:val="00D2620B"/>
    <w:rsid w:val="00D263C3"/>
    <w:rsid w:val="00D26820"/>
    <w:rsid w:val="00D26C47"/>
    <w:rsid w:val="00D26D5D"/>
    <w:rsid w:val="00D26DD6"/>
    <w:rsid w:val="00D26F7E"/>
    <w:rsid w:val="00D27259"/>
    <w:rsid w:val="00D27635"/>
    <w:rsid w:val="00D2788B"/>
    <w:rsid w:val="00D302F5"/>
    <w:rsid w:val="00D308EE"/>
    <w:rsid w:val="00D31B29"/>
    <w:rsid w:val="00D31CBC"/>
    <w:rsid w:val="00D3211D"/>
    <w:rsid w:val="00D3231D"/>
    <w:rsid w:val="00D330B3"/>
    <w:rsid w:val="00D330C8"/>
    <w:rsid w:val="00D33154"/>
    <w:rsid w:val="00D33C8A"/>
    <w:rsid w:val="00D340EE"/>
    <w:rsid w:val="00D343D1"/>
    <w:rsid w:val="00D34B7C"/>
    <w:rsid w:val="00D34FDA"/>
    <w:rsid w:val="00D35404"/>
    <w:rsid w:val="00D35438"/>
    <w:rsid w:val="00D3559E"/>
    <w:rsid w:val="00D35A37"/>
    <w:rsid w:val="00D35BE2"/>
    <w:rsid w:val="00D35E61"/>
    <w:rsid w:val="00D36551"/>
    <w:rsid w:val="00D367EB"/>
    <w:rsid w:val="00D367F9"/>
    <w:rsid w:val="00D36936"/>
    <w:rsid w:val="00D36E1B"/>
    <w:rsid w:val="00D371FB"/>
    <w:rsid w:val="00D3766E"/>
    <w:rsid w:val="00D376CB"/>
    <w:rsid w:val="00D37E75"/>
    <w:rsid w:val="00D37EC4"/>
    <w:rsid w:val="00D37EFE"/>
    <w:rsid w:val="00D40BC7"/>
    <w:rsid w:val="00D40EC6"/>
    <w:rsid w:val="00D41148"/>
    <w:rsid w:val="00D42C04"/>
    <w:rsid w:val="00D430D7"/>
    <w:rsid w:val="00D43226"/>
    <w:rsid w:val="00D43A53"/>
    <w:rsid w:val="00D43CC0"/>
    <w:rsid w:val="00D43E19"/>
    <w:rsid w:val="00D43F47"/>
    <w:rsid w:val="00D44400"/>
    <w:rsid w:val="00D44625"/>
    <w:rsid w:val="00D450CD"/>
    <w:rsid w:val="00D45117"/>
    <w:rsid w:val="00D45332"/>
    <w:rsid w:val="00D45B7C"/>
    <w:rsid w:val="00D45CC2"/>
    <w:rsid w:val="00D463A8"/>
    <w:rsid w:val="00D46705"/>
    <w:rsid w:val="00D46785"/>
    <w:rsid w:val="00D46959"/>
    <w:rsid w:val="00D47014"/>
    <w:rsid w:val="00D47252"/>
    <w:rsid w:val="00D475DF"/>
    <w:rsid w:val="00D47AD7"/>
    <w:rsid w:val="00D47D04"/>
    <w:rsid w:val="00D5013E"/>
    <w:rsid w:val="00D5029D"/>
    <w:rsid w:val="00D50987"/>
    <w:rsid w:val="00D50EE9"/>
    <w:rsid w:val="00D51707"/>
    <w:rsid w:val="00D51E83"/>
    <w:rsid w:val="00D52091"/>
    <w:rsid w:val="00D52227"/>
    <w:rsid w:val="00D52A01"/>
    <w:rsid w:val="00D52C8D"/>
    <w:rsid w:val="00D532D7"/>
    <w:rsid w:val="00D5344B"/>
    <w:rsid w:val="00D535AA"/>
    <w:rsid w:val="00D53BFF"/>
    <w:rsid w:val="00D54200"/>
    <w:rsid w:val="00D543BD"/>
    <w:rsid w:val="00D547CB"/>
    <w:rsid w:val="00D54EF2"/>
    <w:rsid w:val="00D550F1"/>
    <w:rsid w:val="00D55126"/>
    <w:rsid w:val="00D551DF"/>
    <w:rsid w:val="00D55329"/>
    <w:rsid w:val="00D555B9"/>
    <w:rsid w:val="00D5565E"/>
    <w:rsid w:val="00D55877"/>
    <w:rsid w:val="00D55A1C"/>
    <w:rsid w:val="00D5633A"/>
    <w:rsid w:val="00D56761"/>
    <w:rsid w:val="00D56DAE"/>
    <w:rsid w:val="00D56ED9"/>
    <w:rsid w:val="00D57174"/>
    <w:rsid w:val="00D5770A"/>
    <w:rsid w:val="00D57833"/>
    <w:rsid w:val="00D602BE"/>
    <w:rsid w:val="00D6071E"/>
    <w:rsid w:val="00D6152D"/>
    <w:rsid w:val="00D61806"/>
    <w:rsid w:val="00D61E86"/>
    <w:rsid w:val="00D626C8"/>
    <w:rsid w:val="00D62898"/>
    <w:rsid w:val="00D62BFA"/>
    <w:rsid w:val="00D62E01"/>
    <w:rsid w:val="00D630EC"/>
    <w:rsid w:val="00D63493"/>
    <w:rsid w:val="00D6368D"/>
    <w:rsid w:val="00D636A3"/>
    <w:rsid w:val="00D6372A"/>
    <w:rsid w:val="00D63CED"/>
    <w:rsid w:val="00D64E8E"/>
    <w:rsid w:val="00D64EC5"/>
    <w:rsid w:val="00D655A6"/>
    <w:rsid w:val="00D65652"/>
    <w:rsid w:val="00D65810"/>
    <w:rsid w:val="00D65A71"/>
    <w:rsid w:val="00D65B2F"/>
    <w:rsid w:val="00D66CA5"/>
    <w:rsid w:val="00D67943"/>
    <w:rsid w:val="00D67FA7"/>
    <w:rsid w:val="00D67FC0"/>
    <w:rsid w:val="00D7058D"/>
    <w:rsid w:val="00D70F54"/>
    <w:rsid w:val="00D715BA"/>
    <w:rsid w:val="00D71B3F"/>
    <w:rsid w:val="00D7208B"/>
    <w:rsid w:val="00D72F3D"/>
    <w:rsid w:val="00D732B0"/>
    <w:rsid w:val="00D73346"/>
    <w:rsid w:val="00D7362E"/>
    <w:rsid w:val="00D73840"/>
    <w:rsid w:val="00D73853"/>
    <w:rsid w:val="00D7401F"/>
    <w:rsid w:val="00D7419A"/>
    <w:rsid w:val="00D742BE"/>
    <w:rsid w:val="00D74D17"/>
    <w:rsid w:val="00D7555F"/>
    <w:rsid w:val="00D75A91"/>
    <w:rsid w:val="00D75AD5"/>
    <w:rsid w:val="00D76029"/>
    <w:rsid w:val="00D76795"/>
    <w:rsid w:val="00D76A99"/>
    <w:rsid w:val="00D76B88"/>
    <w:rsid w:val="00D773EB"/>
    <w:rsid w:val="00D804DF"/>
    <w:rsid w:val="00D80540"/>
    <w:rsid w:val="00D8065A"/>
    <w:rsid w:val="00D80AF8"/>
    <w:rsid w:val="00D81291"/>
    <w:rsid w:val="00D81532"/>
    <w:rsid w:val="00D817F3"/>
    <w:rsid w:val="00D819C6"/>
    <w:rsid w:val="00D82AC9"/>
    <w:rsid w:val="00D82C15"/>
    <w:rsid w:val="00D82FEB"/>
    <w:rsid w:val="00D83548"/>
    <w:rsid w:val="00D8396D"/>
    <w:rsid w:val="00D83E27"/>
    <w:rsid w:val="00D841F9"/>
    <w:rsid w:val="00D84420"/>
    <w:rsid w:val="00D84715"/>
    <w:rsid w:val="00D847EE"/>
    <w:rsid w:val="00D84D93"/>
    <w:rsid w:val="00D85223"/>
    <w:rsid w:val="00D8618E"/>
    <w:rsid w:val="00D86473"/>
    <w:rsid w:val="00D86810"/>
    <w:rsid w:val="00D86AC9"/>
    <w:rsid w:val="00D86C5F"/>
    <w:rsid w:val="00D86E89"/>
    <w:rsid w:val="00D86EE6"/>
    <w:rsid w:val="00D86FB2"/>
    <w:rsid w:val="00D8701D"/>
    <w:rsid w:val="00D871A8"/>
    <w:rsid w:val="00D871C0"/>
    <w:rsid w:val="00D8752D"/>
    <w:rsid w:val="00D87DC3"/>
    <w:rsid w:val="00D87F46"/>
    <w:rsid w:val="00D905EB"/>
    <w:rsid w:val="00D90816"/>
    <w:rsid w:val="00D90C9E"/>
    <w:rsid w:val="00D90D18"/>
    <w:rsid w:val="00D91027"/>
    <w:rsid w:val="00D91719"/>
    <w:rsid w:val="00D920C9"/>
    <w:rsid w:val="00D92991"/>
    <w:rsid w:val="00D92CFE"/>
    <w:rsid w:val="00D94027"/>
    <w:rsid w:val="00D941EB"/>
    <w:rsid w:val="00D94493"/>
    <w:rsid w:val="00D95107"/>
    <w:rsid w:val="00D953FE"/>
    <w:rsid w:val="00D955E1"/>
    <w:rsid w:val="00D958C9"/>
    <w:rsid w:val="00D95F91"/>
    <w:rsid w:val="00D962DC"/>
    <w:rsid w:val="00D96972"/>
    <w:rsid w:val="00D9698D"/>
    <w:rsid w:val="00D96D5F"/>
    <w:rsid w:val="00D977B1"/>
    <w:rsid w:val="00D97810"/>
    <w:rsid w:val="00D97846"/>
    <w:rsid w:val="00D978DF"/>
    <w:rsid w:val="00D97DCE"/>
    <w:rsid w:val="00DA06B8"/>
    <w:rsid w:val="00DA090B"/>
    <w:rsid w:val="00DA0C7C"/>
    <w:rsid w:val="00DA0D12"/>
    <w:rsid w:val="00DA0DDB"/>
    <w:rsid w:val="00DA1461"/>
    <w:rsid w:val="00DA187D"/>
    <w:rsid w:val="00DA188C"/>
    <w:rsid w:val="00DA1CB2"/>
    <w:rsid w:val="00DA1E02"/>
    <w:rsid w:val="00DA1E18"/>
    <w:rsid w:val="00DA2490"/>
    <w:rsid w:val="00DA27EB"/>
    <w:rsid w:val="00DA2AD9"/>
    <w:rsid w:val="00DA323E"/>
    <w:rsid w:val="00DA33A1"/>
    <w:rsid w:val="00DA34AA"/>
    <w:rsid w:val="00DA386B"/>
    <w:rsid w:val="00DA401A"/>
    <w:rsid w:val="00DA430B"/>
    <w:rsid w:val="00DA434D"/>
    <w:rsid w:val="00DA4E4B"/>
    <w:rsid w:val="00DA51A0"/>
    <w:rsid w:val="00DA5E00"/>
    <w:rsid w:val="00DA5E8D"/>
    <w:rsid w:val="00DA5ED6"/>
    <w:rsid w:val="00DA6105"/>
    <w:rsid w:val="00DA62C1"/>
    <w:rsid w:val="00DA631F"/>
    <w:rsid w:val="00DA63C7"/>
    <w:rsid w:val="00DA64ED"/>
    <w:rsid w:val="00DA66F8"/>
    <w:rsid w:val="00DA6DFA"/>
    <w:rsid w:val="00DA7322"/>
    <w:rsid w:val="00DA7472"/>
    <w:rsid w:val="00DA74C5"/>
    <w:rsid w:val="00DA7A8D"/>
    <w:rsid w:val="00DA7C80"/>
    <w:rsid w:val="00DA7CD7"/>
    <w:rsid w:val="00DA7F2B"/>
    <w:rsid w:val="00DB0204"/>
    <w:rsid w:val="00DB0215"/>
    <w:rsid w:val="00DB0337"/>
    <w:rsid w:val="00DB07F5"/>
    <w:rsid w:val="00DB0911"/>
    <w:rsid w:val="00DB0A4D"/>
    <w:rsid w:val="00DB0B41"/>
    <w:rsid w:val="00DB0E18"/>
    <w:rsid w:val="00DB13EC"/>
    <w:rsid w:val="00DB14BA"/>
    <w:rsid w:val="00DB159C"/>
    <w:rsid w:val="00DB1EA4"/>
    <w:rsid w:val="00DB1EFB"/>
    <w:rsid w:val="00DB2075"/>
    <w:rsid w:val="00DB22E3"/>
    <w:rsid w:val="00DB2831"/>
    <w:rsid w:val="00DB2F91"/>
    <w:rsid w:val="00DB3185"/>
    <w:rsid w:val="00DB3DEA"/>
    <w:rsid w:val="00DB438A"/>
    <w:rsid w:val="00DB51AA"/>
    <w:rsid w:val="00DB55A5"/>
    <w:rsid w:val="00DB62E0"/>
    <w:rsid w:val="00DB6490"/>
    <w:rsid w:val="00DB66FC"/>
    <w:rsid w:val="00DB67FB"/>
    <w:rsid w:val="00DB6969"/>
    <w:rsid w:val="00DB6AA9"/>
    <w:rsid w:val="00DB7078"/>
    <w:rsid w:val="00DB732C"/>
    <w:rsid w:val="00DB7E59"/>
    <w:rsid w:val="00DB7F2F"/>
    <w:rsid w:val="00DC0594"/>
    <w:rsid w:val="00DC0ADB"/>
    <w:rsid w:val="00DC1749"/>
    <w:rsid w:val="00DC1BE0"/>
    <w:rsid w:val="00DC23CD"/>
    <w:rsid w:val="00DC2B62"/>
    <w:rsid w:val="00DC2BD6"/>
    <w:rsid w:val="00DC2FB7"/>
    <w:rsid w:val="00DC32C1"/>
    <w:rsid w:val="00DC330D"/>
    <w:rsid w:val="00DC3478"/>
    <w:rsid w:val="00DC3798"/>
    <w:rsid w:val="00DC3E8B"/>
    <w:rsid w:val="00DC3F76"/>
    <w:rsid w:val="00DC4A52"/>
    <w:rsid w:val="00DC57AA"/>
    <w:rsid w:val="00DC5856"/>
    <w:rsid w:val="00DC5BD3"/>
    <w:rsid w:val="00DC5D8D"/>
    <w:rsid w:val="00DC6112"/>
    <w:rsid w:val="00DC6486"/>
    <w:rsid w:val="00DC6527"/>
    <w:rsid w:val="00DC7196"/>
    <w:rsid w:val="00DC7255"/>
    <w:rsid w:val="00DC7590"/>
    <w:rsid w:val="00DC761B"/>
    <w:rsid w:val="00DC776C"/>
    <w:rsid w:val="00DC7A2C"/>
    <w:rsid w:val="00DC7AF9"/>
    <w:rsid w:val="00DC7CB4"/>
    <w:rsid w:val="00DC7DCE"/>
    <w:rsid w:val="00DC7E93"/>
    <w:rsid w:val="00DD07AC"/>
    <w:rsid w:val="00DD07D3"/>
    <w:rsid w:val="00DD090A"/>
    <w:rsid w:val="00DD12BD"/>
    <w:rsid w:val="00DD1490"/>
    <w:rsid w:val="00DD1551"/>
    <w:rsid w:val="00DD1BBD"/>
    <w:rsid w:val="00DD1D05"/>
    <w:rsid w:val="00DD2029"/>
    <w:rsid w:val="00DD2471"/>
    <w:rsid w:val="00DD24FF"/>
    <w:rsid w:val="00DD33FA"/>
    <w:rsid w:val="00DD38E2"/>
    <w:rsid w:val="00DD38EC"/>
    <w:rsid w:val="00DD3F70"/>
    <w:rsid w:val="00DD4E0A"/>
    <w:rsid w:val="00DD536C"/>
    <w:rsid w:val="00DD5536"/>
    <w:rsid w:val="00DD59EF"/>
    <w:rsid w:val="00DD5A50"/>
    <w:rsid w:val="00DD5BB7"/>
    <w:rsid w:val="00DD5BEF"/>
    <w:rsid w:val="00DD6EB0"/>
    <w:rsid w:val="00DD72CE"/>
    <w:rsid w:val="00DD7750"/>
    <w:rsid w:val="00DD78B8"/>
    <w:rsid w:val="00DD7AF5"/>
    <w:rsid w:val="00DD7F88"/>
    <w:rsid w:val="00DE03BD"/>
    <w:rsid w:val="00DE0970"/>
    <w:rsid w:val="00DE0B1B"/>
    <w:rsid w:val="00DE0B1C"/>
    <w:rsid w:val="00DE0C11"/>
    <w:rsid w:val="00DE0CFF"/>
    <w:rsid w:val="00DE0DC8"/>
    <w:rsid w:val="00DE11A2"/>
    <w:rsid w:val="00DE11AB"/>
    <w:rsid w:val="00DE1215"/>
    <w:rsid w:val="00DE1908"/>
    <w:rsid w:val="00DE1B5C"/>
    <w:rsid w:val="00DE1D45"/>
    <w:rsid w:val="00DE21D8"/>
    <w:rsid w:val="00DE231B"/>
    <w:rsid w:val="00DE2695"/>
    <w:rsid w:val="00DE2781"/>
    <w:rsid w:val="00DE2E37"/>
    <w:rsid w:val="00DE2F29"/>
    <w:rsid w:val="00DE30F4"/>
    <w:rsid w:val="00DE3249"/>
    <w:rsid w:val="00DE342D"/>
    <w:rsid w:val="00DE35B3"/>
    <w:rsid w:val="00DE3AD8"/>
    <w:rsid w:val="00DE4650"/>
    <w:rsid w:val="00DE5012"/>
    <w:rsid w:val="00DE579F"/>
    <w:rsid w:val="00DE5883"/>
    <w:rsid w:val="00DE5A08"/>
    <w:rsid w:val="00DE625A"/>
    <w:rsid w:val="00DE63DB"/>
    <w:rsid w:val="00DE64ED"/>
    <w:rsid w:val="00DE67FA"/>
    <w:rsid w:val="00DE686D"/>
    <w:rsid w:val="00DE6D38"/>
    <w:rsid w:val="00DE6F45"/>
    <w:rsid w:val="00DE70CA"/>
    <w:rsid w:val="00DE7A5D"/>
    <w:rsid w:val="00DE7D5B"/>
    <w:rsid w:val="00DF0668"/>
    <w:rsid w:val="00DF0C5F"/>
    <w:rsid w:val="00DF0D8E"/>
    <w:rsid w:val="00DF122C"/>
    <w:rsid w:val="00DF1543"/>
    <w:rsid w:val="00DF17A5"/>
    <w:rsid w:val="00DF1D13"/>
    <w:rsid w:val="00DF230A"/>
    <w:rsid w:val="00DF27BA"/>
    <w:rsid w:val="00DF27E7"/>
    <w:rsid w:val="00DF2BCC"/>
    <w:rsid w:val="00DF2DFD"/>
    <w:rsid w:val="00DF3AFE"/>
    <w:rsid w:val="00DF3C24"/>
    <w:rsid w:val="00DF458F"/>
    <w:rsid w:val="00DF4A85"/>
    <w:rsid w:val="00DF4BD7"/>
    <w:rsid w:val="00DF4E3B"/>
    <w:rsid w:val="00DF4EA9"/>
    <w:rsid w:val="00DF5FBC"/>
    <w:rsid w:val="00DF69F8"/>
    <w:rsid w:val="00DF6A7C"/>
    <w:rsid w:val="00DF6C8C"/>
    <w:rsid w:val="00DF6D4D"/>
    <w:rsid w:val="00DF7153"/>
    <w:rsid w:val="00DF7517"/>
    <w:rsid w:val="00DF75B0"/>
    <w:rsid w:val="00DF7654"/>
    <w:rsid w:val="00DF7851"/>
    <w:rsid w:val="00DF7F77"/>
    <w:rsid w:val="00E000DD"/>
    <w:rsid w:val="00E002B3"/>
    <w:rsid w:val="00E00307"/>
    <w:rsid w:val="00E0049E"/>
    <w:rsid w:val="00E00C91"/>
    <w:rsid w:val="00E00EB2"/>
    <w:rsid w:val="00E012C7"/>
    <w:rsid w:val="00E0150C"/>
    <w:rsid w:val="00E01537"/>
    <w:rsid w:val="00E01936"/>
    <w:rsid w:val="00E02422"/>
    <w:rsid w:val="00E03F50"/>
    <w:rsid w:val="00E04232"/>
    <w:rsid w:val="00E04AA3"/>
    <w:rsid w:val="00E04B30"/>
    <w:rsid w:val="00E04E4C"/>
    <w:rsid w:val="00E056E6"/>
    <w:rsid w:val="00E05817"/>
    <w:rsid w:val="00E05843"/>
    <w:rsid w:val="00E058B1"/>
    <w:rsid w:val="00E05F3F"/>
    <w:rsid w:val="00E06E85"/>
    <w:rsid w:val="00E073F6"/>
    <w:rsid w:val="00E07757"/>
    <w:rsid w:val="00E0777C"/>
    <w:rsid w:val="00E1036C"/>
    <w:rsid w:val="00E104ED"/>
    <w:rsid w:val="00E10A63"/>
    <w:rsid w:val="00E10C80"/>
    <w:rsid w:val="00E10FA7"/>
    <w:rsid w:val="00E1111B"/>
    <w:rsid w:val="00E118F1"/>
    <w:rsid w:val="00E11AAA"/>
    <w:rsid w:val="00E11E16"/>
    <w:rsid w:val="00E12122"/>
    <w:rsid w:val="00E12732"/>
    <w:rsid w:val="00E1297E"/>
    <w:rsid w:val="00E135BE"/>
    <w:rsid w:val="00E1584F"/>
    <w:rsid w:val="00E16083"/>
    <w:rsid w:val="00E1641E"/>
    <w:rsid w:val="00E168E6"/>
    <w:rsid w:val="00E16A27"/>
    <w:rsid w:val="00E16A6D"/>
    <w:rsid w:val="00E16B19"/>
    <w:rsid w:val="00E16BFD"/>
    <w:rsid w:val="00E17067"/>
    <w:rsid w:val="00E170D6"/>
    <w:rsid w:val="00E1767F"/>
    <w:rsid w:val="00E176B6"/>
    <w:rsid w:val="00E17BF4"/>
    <w:rsid w:val="00E17F8B"/>
    <w:rsid w:val="00E20163"/>
    <w:rsid w:val="00E2030E"/>
    <w:rsid w:val="00E206C8"/>
    <w:rsid w:val="00E20945"/>
    <w:rsid w:val="00E20B21"/>
    <w:rsid w:val="00E20BBC"/>
    <w:rsid w:val="00E20EBD"/>
    <w:rsid w:val="00E21041"/>
    <w:rsid w:val="00E214AB"/>
    <w:rsid w:val="00E216BD"/>
    <w:rsid w:val="00E21809"/>
    <w:rsid w:val="00E21D30"/>
    <w:rsid w:val="00E221C7"/>
    <w:rsid w:val="00E221D0"/>
    <w:rsid w:val="00E2245F"/>
    <w:rsid w:val="00E22826"/>
    <w:rsid w:val="00E22B1D"/>
    <w:rsid w:val="00E22B5E"/>
    <w:rsid w:val="00E234C5"/>
    <w:rsid w:val="00E2391E"/>
    <w:rsid w:val="00E23A08"/>
    <w:rsid w:val="00E23C1F"/>
    <w:rsid w:val="00E23DC5"/>
    <w:rsid w:val="00E23FB8"/>
    <w:rsid w:val="00E2467A"/>
    <w:rsid w:val="00E2484A"/>
    <w:rsid w:val="00E251CF"/>
    <w:rsid w:val="00E25755"/>
    <w:rsid w:val="00E258A8"/>
    <w:rsid w:val="00E25CEB"/>
    <w:rsid w:val="00E26FF5"/>
    <w:rsid w:val="00E27102"/>
    <w:rsid w:val="00E272EE"/>
    <w:rsid w:val="00E27614"/>
    <w:rsid w:val="00E2775C"/>
    <w:rsid w:val="00E27AFE"/>
    <w:rsid w:val="00E27B22"/>
    <w:rsid w:val="00E27BA5"/>
    <w:rsid w:val="00E27BEB"/>
    <w:rsid w:val="00E27DFC"/>
    <w:rsid w:val="00E307E3"/>
    <w:rsid w:val="00E30C27"/>
    <w:rsid w:val="00E311FB"/>
    <w:rsid w:val="00E31552"/>
    <w:rsid w:val="00E31831"/>
    <w:rsid w:val="00E32057"/>
    <w:rsid w:val="00E32434"/>
    <w:rsid w:val="00E32E84"/>
    <w:rsid w:val="00E3308E"/>
    <w:rsid w:val="00E3322A"/>
    <w:rsid w:val="00E3340A"/>
    <w:rsid w:val="00E33412"/>
    <w:rsid w:val="00E33526"/>
    <w:rsid w:val="00E3360B"/>
    <w:rsid w:val="00E3389F"/>
    <w:rsid w:val="00E340A6"/>
    <w:rsid w:val="00E34116"/>
    <w:rsid w:val="00E3411D"/>
    <w:rsid w:val="00E34657"/>
    <w:rsid w:val="00E34BBE"/>
    <w:rsid w:val="00E350EA"/>
    <w:rsid w:val="00E3545B"/>
    <w:rsid w:val="00E354AD"/>
    <w:rsid w:val="00E354FD"/>
    <w:rsid w:val="00E355BB"/>
    <w:rsid w:val="00E36538"/>
    <w:rsid w:val="00E36622"/>
    <w:rsid w:val="00E36ADA"/>
    <w:rsid w:val="00E3778B"/>
    <w:rsid w:val="00E40559"/>
    <w:rsid w:val="00E40878"/>
    <w:rsid w:val="00E40A6A"/>
    <w:rsid w:val="00E40AE3"/>
    <w:rsid w:val="00E41550"/>
    <w:rsid w:val="00E417E2"/>
    <w:rsid w:val="00E418B7"/>
    <w:rsid w:val="00E41D7E"/>
    <w:rsid w:val="00E41EE6"/>
    <w:rsid w:val="00E41EF9"/>
    <w:rsid w:val="00E42193"/>
    <w:rsid w:val="00E421AC"/>
    <w:rsid w:val="00E42301"/>
    <w:rsid w:val="00E42575"/>
    <w:rsid w:val="00E42D90"/>
    <w:rsid w:val="00E43AE8"/>
    <w:rsid w:val="00E4409E"/>
    <w:rsid w:val="00E44954"/>
    <w:rsid w:val="00E44CBB"/>
    <w:rsid w:val="00E44EC1"/>
    <w:rsid w:val="00E45449"/>
    <w:rsid w:val="00E45461"/>
    <w:rsid w:val="00E45C9E"/>
    <w:rsid w:val="00E4632B"/>
    <w:rsid w:val="00E47324"/>
    <w:rsid w:val="00E47479"/>
    <w:rsid w:val="00E47486"/>
    <w:rsid w:val="00E47A07"/>
    <w:rsid w:val="00E50448"/>
    <w:rsid w:val="00E504C6"/>
    <w:rsid w:val="00E5071D"/>
    <w:rsid w:val="00E50BAD"/>
    <w:rsid w:val="00E50EEA"/>
    <w:rsid w:val="00E50EEE"/>
    <w:rsid w:val="00E51095"/>
    <w:rsid w:val="00E51422"/>
    <w:rsid w:val="00E515DE"/>
    <w:rsid w:val="00E51985"/>
    <w:rsid w:val="00E51B0B"/>
    <w:rsid w:val="00E5217D"/>
    <w:rsid w:val="00E52542"/>
    <w:rsid w:val="00E52595"/>
    <w:rsid w:val="00E5285A"/>
    <w:rsid w:val="00E52AA5"/>
    <w:rsid w:val="00E53642"/>
    <w:rsid w:val="00E53866"/>
    <w:rsid w:val="00E53B55"/>
    <w:rsid w:val="00E540AD"/>
    <w:rsid w:val="00E541B0"/>
    <w:rsid w:val="00E542B9"/>
    <w:rsid w:val="00E54368"/>
    <w:rsid w:val="00E546A0"/>
    <w:rsid w:val="00E5494D"/>
    <w:rsid w:val="00E54BCB"/>
    <w:rsid w:val="00E54EA5"/>
    <w:rsid w:val="00E55DCD"/>
    <w:rsid w:val="00E56037"/>
    <w:rsid w:val="00E5682A"/>
    <w:rsid w:val="00E56E32"/>
    <w:rsid w:val="00E570B5"/>
    <w:rsid w:val="00E57486"/>
    <w:rsid w:val="00E574FC"/>
    <w:rsid w:val="00E5784C"/>
    <w:rsid w:val="00E57A82"/>
    <w:rsid w:val="00E60242"/>
    <w:rsid w:val="00E60C24"/>
    <w:rsid w:val="00E60C6D"/>
    <w:rsid w:val="00E6100F"/>
    <w:rsid w:val="00E6175A"/>
    <w:rsid w:val="00E61C7A"/>
    <w:rsid w:val="00E61E28"/>
    <w:rsid w:val="00E62136"/>
    <w:rsid w:val="00E621D2"/>
    <w:rsid w:val="00E623AF"/>
    <w:rsid w:val="00E624E7"/>
    <w:rsid w:val="00E6270B"/>
    <w:rsid w:val="00E63055"/>
    <w:rsid w:val="00E634A1"/>
    <w:rsid w:val="00E63501"/>
    <w:rsid w:val="00E63EF2"/>
    <w:rsid w:val="00E640C3"/>
    <w:rsid w:val="00E6415A"/>
    <w:rsid w:val="00E64212"/>
    <w:rsid w:val="00E642E6"/>
    <w:rsid w:val="00E644B8"/>
    <w:rsid w:val="00E646C3"/>
    <w:rsid w:val="00E64C14"/>
    <w:rsid w:val="00E6514D"/>
    <w:rsid w:val="00E659A2"/>
    <w:rsid w:val="00E65D78"/>
    <w:rsid w:val="00E66942"/>
    <w:rsid w:val="00E66A04"/>
    <w:rsid w:val="00E673D7"/>
    <w:rsid w:val="00E67C2F"/>
    <w:rsid w:val="00E7068F"/>
    <w:rsid w:val="00E70B17"/>
    <w:rsid w:val="00E71367"/>
    <w:rsid w:val="00E718FD"/>
    <w:rsid w:val="00E7232F"/>
    <w:rsid w:val="00E72673"/>
    <w:rsid w:val="00E7306A"/>
    <w:rsid w:val="00E734E2"/>
    <w:rsid w:val="00E73683"/>
    <w:rsid w:val="00E7384D"/>
    <w:rsid w:val="00E73B15"/>
    <w:rsid w:val="00E743AC"/>
    <w:rsid w:val="00E7448A"/>
    <w:rsid w:val="00E748A2"/>
    <w:rsid w:val="00E74C4B"/>
    <w:rsid w:val="00E74DF7"/>
    <w:rsid w:val="00E75244"/>
    <w:rsid w:val="00E76814"/>
    <w:rsid w:val="00E76893"/>
    <w:rsid w:val="00E76A5D"/>
    <w:rsid w:val="00E7747D"/>
    <w:rsid w:val="00E775CC"/>
    <w:rsid w:val="00E77747"/>
    <w:rsid w:val="00E77B0D"/>
    <w:rsid w:val="00E77C30"/>
    <w:rsid w:val="00E77C81"/>
    <w:rsid w:val="00E801A0"/>
    <w:rsid w:val="00E80BB4"/>
    <w:rsid w:val="00E80F65"/>
    <w:rsid w:val="00E8119B"/>
    <w:rsid w:val="00E81201"/>
    <w:rsid w:val="00E824CD"/>
    <w:rsid w:val="00E82880"/>
    <w:rsid w:val="00E82C50"/>
    <w:rsid w:val="00E82E99"/>
    <w:rsid w:val="00E83576"/>
    <w:rsid w:val="00E8365A"/>
    <w:rsid w:val="00E83B60"/>
    <w:rsid w:val="00E8420F"/>
    <w:rsid w:val="00E84DB9"/>
    <w:rsid w:val="00E84EB9"/>
    <w:rsid w:val="00E85100"/>
    <w:rsid w:val="00E8523B"/>
    <w:rsid w:val="00E85C1D"/>
    <w:rsid w:val="00E85E87"/>
    <w:rsid w:val="00E861BF"/>
    <w:rsid w:val="00E86B31"/>
    <w:rsid w:val="00E86B62"/>
    <w:rsid w:val="00E86BD3"/>
    <w:rsid w:val="00E87016"/>
    <w:rsid w:val="00E8705A"/>
    <w:rsid w:val="00E87669"/>
    <w:rsid w:val="00E876AE"/>
    <w:rsid w:val="00E87920"/>
    <w:rsid w:val="00E879F3"/>
    <w:rsid w:val="00E91673"/>
    <w:rsid w:val="00E91C33"/>
    <w:rsid w:val="00E91FC0"/>
    <w:rsid w:val="00E92485"/>
    <w:rsid w:val="00E92B80"/>
    <w:rsid w:val="00E931DD"/>
    <w:rsid w:val="00E9350D"/>
    <w:rsid w:val="00E93C29"/>
    <w:rsid w:val="00E93D22"/>
    <w:rsid w:val="00E940E0"/>
    <w:rsid w:val="00E94152"/>
    <w:rsid w:val="00E9424F"/>
    <w:rsid w:val="00E946D1"/>
    <w:rsid w:val="00E94C85"/>
    <w:rsid w:val="00E94CF3"/>
    <w:rsid w:val="00E94F76"/>
    <w:rsid w:val="00E958FB"/>
    <w:rsid w:val="00E95B3B"/>
    <w:rsid w:val="00E95DD3"/>
    <w:rsid w:val="00E962D2"/>
    <w:rsid w:val="00E9681C"/>
    <w:rsid w:val="00E96C92"/>
    <w:rsid w:val="00E97088"/>
    <w:rsid w:val="00E97187"/>
    <w:rsid w:val="00E971B0"/>
    <w:rsid w:val="00E975A7"/>
    <w:rsid w:val="00E97C6D"/>
    <w:rsid w:val="00E97E11"/>
    <w:rsid w:val="00EA03D6"/>
    <w:rsid w:val="00EA11FB"/>
    <w:rsid w:val="00EA120A"/>
    <w:rsid w:val="00EA151E"/>
    <w:rsid w:val="00EA17FF"/>
    <w:rsid w:val="00EA1A05"/>
    <w:rsid w:val="00EA1D19"/>
    <w:rsid w:val="00EA2117"/>
    <w:rsid w:val="00EA2C11"/>
    <w:rsid w:val="00EA31AF"/>
    <w:rsid w:val="00EA3422"/>
    <w:rsid w:val="00EA3BE1"/>
    <w:rsid w:val="00EA405D"/>
    <w:rsid w:val="00EA41AD"/>
    <w:rsid w:val="00EA4562"/>
    <w:rsid w:val="00EA497D"/>
    <w:rsid w:val="00EA4DE6"/>
    <w:rsid w:val="00EA52AF"/>
    <w:rsid w:val="00EA56BD"/>
    <w:rsid w:val="00EA5931"/>
    <w:rsid w:val="00EA5CEA"/>
    <w:rsid w:val="00EA5DF6"/>
    <w:rsid w:val="00EA5F88"/>
    <w:rsid w:val="00EA6DBC"/>
    <w:rsid w:val="00EA6E6A"/>
    <w:rsid w:val="00EA743E"/>
    <w:rsid w:val="00EA74BC"/>
    <w:rsid w:val="00EA752D"/>
    <w:rsid w:val="00EA787E"/>
    <w:rsid w:val="00EA799E"/>
    <w:rsid w:val="00EA79A2"/>
    <w:rsid w:val="00EA7D69"/>
    <w:rsid w:val="00EA7E5B"/>
    <w:rsid w:val="00EA7FBD"/>
    <w:rsid w:val="00EB05C6"/>
    <w:rsid w:val="00EB18EE"/>
    <w:rsid w:val="00EB1D34"/>
    <w:rsid w:val="00EB1D5B"/>
    <w:rsid w:val="00EB3135"/>
    <w:rsid w:val="00EB369C"/>
    <w:rsid w:val="00EB3A70"/>
    <w:rsid w:val="00EB4682"/>
    <w:rsid w:val="00EB48AC"/>
    <w:rsid w:val="00EB4BCD"/>
    <w:rsid w:val="00EB4C26"/>
    <w:rsid w:val="00EB5571"/>
    <w:rsid w:val="00EB61CB"/>
    <w:rsid w:val="00EB6241"/>
    <w:rsid w:val="00EB64EB"/>
    <w:rsid w:val="00EB6822"/>
    <w:rsid w:val="00EB6A00"/>
    <w:rsid w:val="00EB6BEA"/>
    <w:rsid w:val="00EB7384"/>
    <w:rsid w:val="00EB77F2"/>
    <w:rsid w:val="00EB7C5C"/>
    <w:rsid w:val="00EB7CA0"/>
    <w:rsid w:val="00EC063C"/>
    <w:rsid w:val="00EC0805"/>
    <w:rsid w:val="00EC0915"/>
    <w:rsid w:val="00EC0ECC"/>
    <w:rsid w:val="00EC1555"/>
    <w:rsid w:val="00EC1599"/>
    <w:rsid w:val="00EC185C"/>
    <w:rsid w:val="00EC1BE5"/>
    <w:rsid w:val="00EC1C56"/>
    <w:rsid w:val="00EC205A"/>
    <w:rsid w:val="00EC2063"/>
    <w:rsid w:val="00EC3084"/>
    <w:rsid w:val="00EC311A"/>
    <w:rsid w:val="00EC31CD"/>
    <w:rsid w:val="00EC3308"/>
    <w:rsid w:val="00EC3D66"/>
    <w:rsid w:val="00EC3DB9"/>
    <w:rsid w:val="00EC3DD2"/>
    <w:rsid w:val="00EC3DF4"/>
    <w:rsid w:val="00EC4711"/>
    <w:rsid w:val="00EC486D"/>
    <w:rsid w:val="00EC4A09"/>
    <w:rsid w:val="00EC4C3A"/>
    <w:rsid w:val="00EC50CB"/>
    <w:rsid w:val="00EC54C0"/>
    <w:rsid w:val="00EC5684"/>
    <w:rsid w:val="00EC56BD"/>
    <w:rsid w:val="00EC58AD"/>
    <w:rsid w:val="00EC5943"/>
    <w:rsid w:val="00EC5A85"/>
    <w:rsid w:val="00EC5AF1"/>
    <w:rsid w:val="00EC5B9E"/>
    <w:rsid w:val="00EC5F7A"/>
    <w:rsid w:val="00EC602B"/>
    <w:rsid w:val="00EC6364"/>
    <w:rsid w:val="00EC6A37"/>
    <w:rsid w:val="00EC6A3F"/>
    <w:rsid w:val="00EC6D93"/>
    <w:rsid w:val="00EC7992"/>
    <w:rsid w:val="00ED004C"/>
    <w:rsid w:val="00ED0B08"/>
    <w:rsid w:val="00ED1072"/>
    <w:rsid w:val="00ED14C3"/>
    <w:rsid w:val="00ED2244"/>
    <w:rsid w:val="00ED2614"/>
    <w:rsid w:val="00ED26C4"/>
    <w:rsid w:val="00ED3A67"/>
    <w:rsid w:val="00ED3FDA"/>
    <w:rsid w:val="00ED4682"/>
    <w:rsid w:val="00ED4DB3"/>
    <w:rsid w:val="00ED5221"/>
    <w:rsid w:val="00ED59BA"/>
    <w:rsid w:val="00ED6494"/>
    <w:rsid w:val="00ED69EE"/>
    <w:rsid w:val="00ED6C2F"/>
    <w:rsid w:val="00ED6D04"/>
    <w:rsid w:val="00ED6D2E"/>
    <w:rsid w:val="00ED7768"/>
    <w:rsid w:val="00ED781D"/>
    <w:rsid w:val="00ED782E"/>
    <w:rsid w:val="00ED7D8B"/>
    <w:rsid w:val="00EE060D"/>
    <w:rsid w:val="00EE0D09"/>
    <w:rsid w:val="00EE15C6"/>
    <w:rsid w:val="00EE1E7D"/>
    <w:rsid w:val="00EE2571"/>
    <w:rsid w:val="00EE2BFB"/>
    <w:rsid w:val="00EE351D"/>
    <w:rsid w:val="00EE3536"/>
    <w:rsid w:val="00EE3A5D"/>
    <w:rsid w:val="00EE41A9"/>
    <w:rsid w:val="00EE4308"/>
    <w:rsid w:val="00EE4FA0"/>
    <w:rsid w:val="00EE5B69"/>
    <w:rsid w:val="00EE5D3F"/>
    <w:rsid w:val="00EE5DEB"/>
    <w:rsid w:val="00EE671C"/>
    <w:rsid w:val="00EE6B89"/>
    <w:rsid w:val="00EE6BC1"/>
    <w:rsid w:val="00EE6D53"/>
    <w:rsid w:val="00EE7213"/>
    <w:rsid w:val="00EE7387"/>
    <w:rsid w:val="00EE79A4"/>
    <w:rsid w:val="00EF080C"/>
    <w:rsid w:val="00EF0B19"/>
    <w:rsid w:val="00EF0D7F"/>
    <w:rsid w:val="00EF124F"/>
    <w:rsid w:val="00EF129C"/>
    <w:rsid w:val="00EF130A"/>
    <w:rsid w:val="00EF180E"/>
    <w:rsid w:val="00EF197B"/>
    <w:rsid w:val="00EF1CD6"/>
    <w:rsid w:val="00EF1E12"/>
    <w:rsid w:val="00EF20B2"/>
    <w:rsid w:val="00EF26C6"/>
    <w:rsid w:val="00EF3005"/>
    <w:rsid w:val="00EF3110"/>
    <w:rsid w:val="00EF31E8"/>
    <w:rsid w:val="00EF366B"/>
    <w:rsid w:val="00EF3897"/>
    <w:rsid w:val="00EF38F4"/>
    <w:rsid w:val="00EF43EF"/>
    <w:rsid w:val="00EF482D"/>
    <w:rsid w:val="00EF49F6"/>
    <w:rsid w:val="00EF4C8A"/>
    <w:rsid w:val="00EF5B0A"/>
    <w:rsid w:val="00EF5D91"/>
    <w:rsid w:val="00EF5F37"/>
    <w:rsid w:val="00EF5F91"/>
    <w:rsid w:val="00EF5F92"/>
    <w:rsid w:val="00EF6D74"/>
    <w:rsid w:val="00EF72C7"/>
    <w:rsid w:val="00EF74E6"/>
    <w:rsid w:val="00F00495"/>
    <w:rsid w:val="00F005E2"/>
    <w:rsid w:val="00F0083A"/>
    <w:rsid w:val="00F00B5A"/>
    <w:rsid w:val="00F00B5E"/>
    <w:rsid w:val="00F00C99"/>
    <w:rsid w:val="00F00D27"/>
    <w:rsid w:val="00F00D87"/>
    <w:rsid w:val="00F00D88"/>
    <w:rsid w:val="00F00D97"/>
    <w:rsid w:val="00F01AE9"/>
    <w:rsid w:val="00F01E2A"/>
    <w:rsid w:val="00F02026"/>
    <w:rsid w:val="00F027A2"/>
    <w:rsid w:val="00F027F6"/>
    <w:rsid w:val="00F02960"/>
    <w:rsid w:val="00F031D5"/>
    <w:rsid w:val="00F03337"/>
    <w:rsid w:val="00F0384D"/>
    <w:rsid w:val="00F03D78"/>
    <w:rsid w:val="00F04817"/>
    <w:rsid w:val="00F048B4"/>
    <w:rsid w:val="00F051D8"/>
    <w:rsid w:val="00F05575"/>
    <w:rsid w:val="00F05E40"/>
    <w:rsid w:val="00F065D8"/>
    <w:rsid w:val="00F067D1"/>
    <w:rsid w:val="00F07C1C"/>
    <w:rsid w:val="00F07E51"/>
    <w:rsid w:val="00F101D4"/>
    <w:rsid w:val="00F102A1"/>
    <w:rsid w:val="00F10B8F"/>
    <w:rsid w:val="00F10F69"/>
    <w:rsid w:val="00F1111E"/>
    <w:rsid w:val="00F1112C"/>
    <w:rsid w:val="00F115E3"/>
    <w:rsid w:val="00F11A03"/>
    <w:rsid w:val="00F11B16"/>
    <w:rsid w:val="00F11E54"/>
    <w:rsid w:val="00F11ED2"/>
    <w:rsid w:val="00F12A9A"/>
    <w:rsid w:val="00F12EE9"/>
    <w:rsid w:val="00F13870"/>
    <w:rsid w:val="00F13F3A"/>
    <w:rsid w:val="00F144FF"/>
    <w:rsid w:val="00F1496A"/>
    <w:rsid w:val="00F14E41"/>
    <w:rsid w:val="00F14EB6"/>
    <w:rsid w:val="00F15876"/>
    <w:rsid w:val="00F15D1F"/>
    <w:rsid w:val="00F15E15"/>
    <w:rsid w:val="00F15F22"/>
    <w:rsid w:val="00F15F3E"/>
    <w:rsid w:val="00F1634C"/>
    <w:rsid w:val="00F16499"/>
    <w:rsid w:val="00F16765"/>
    <w:rsid w:val="00F168A1"/>
    <w:rsid w:val="00F179D7"/>
    <w:rsid w:val="00F17AC6"/>
    <w:rsid w:val="00F17B92"/>
    <w:rsid w:val="00F17DC6"/>
    <w:rsid w:val="00F17FA5"/>
    <w:rsid w:val="00F20131"/>
    <w:rsid w:val="00F20223"/>
    <w:rsid w:val="00F203FA"/>
    <w:rsid w:val="00F208D3"/>
    <w:rsid w:val="00F20A50"/>
    <w:rsid w:val="00F20FE7"/>
    <w:rsid w:val="00F2148D"/>
    <w:rsid w:val="00F21917"/>
    <w:rsid w:val="00F21C8F"/>
    <w:rsid w:val="00F221F5"/>
    <w:rsid w:val="00F22436"/>
    <w:rsid w:val="00F22C07"/>
    <w:rsid w:val="00F22C27"/>
    <w:rsid w:val="00F22DD3"/>
    <w:rsid w:val="00F23C11"/>
    <w:rsid w:val="00F23D80"/>
    <w:rsid w:val="00F25460"/>
    <w:rsid w:val="00F2567E"/>
    <w:rsid w:val="00F25778"/>
    <w:rsid w:val="00F25A59"/>
    <w:rsid w:val="00F25E04"/>
    <w:rsid w:val="00F26174"/>
    <w:rsid w:val="00F264EA"/>
    <w:rsid w:val="00F26736"/>
    <w:rsid w:val="00F267DB"/>
    <w:rsid w:val="00F269D7"/>
    <w:rsid w:val="00F27184"/>
    <w:rsid w:val="00F27392"/>
    <w:rsid w:val="00F277B1"/>
    <w:rsid w:val="00F27A30"/>
    <w:rsid w:val="00F302BE"/>
    <w:rsid w:val="00F3042B"/>
    <w:rsid w:val="00F30829"/>
    <w:rsid w:val="00F30BE3"/>
    <w:rsid w:val="00F31191"/>
    <w:rsid w:val="00F313C9"/>
    <w:rsid w:val="00F31CBB"/>
    <w:rsid w:val="00F31F7F"/>
    <w:rsid w:val="00F32363"/>
    <w:rsid w:val="00F3254D"/>
    <w:rsid w:val="00F32559"/>
    <w:rsid w:val="00F336A8"/>
    <w:rsid w:val="00F33AD3"/>
    <w:rsid w:val="00F33F54"/>
    <w:rsid w:val="00F34231"/>
    <w:rsid w:val="00F344F0"/>
    <w:rsid w:val="00F34599"/>
    <w:rsid w:val="00F348E8"/>
    <w:rsid w:val="00F3523E"/>
    <w:rsid w:val="00F35342"/>
    <w:rsid w:val="00F354DF"/>
    <w:rsid w:val="00F359BB"/>
    <w:rsid w:val="00F363F0"/>
    <w:rsid w:val="00F367CF"/>
    <w:rsid w:val="00F36945"/>
    <w:rsid w:val="00F36B5F"/>
    <w:rsid w:val="00F36E80"/>
    <w:rsid w:val="00F3713D"/>
    <w:rsid w:val="00F3737B"/>
    <w:rsid w:val="00F373CC"/>
    <w:rsid w:val="00F37EA4"/>
    <w:rsid w:val="00F37EC5"/>
    <w:rsid w:val="00F37FD2"/>
    <w:rsid w:val="00F37FD6"/>
    <w:rsid w:val="00F400A9"/>
    <w:rsid w:val="00F40527"/>
    <w:rsid w:val="00F409D2"/>
    <w:rsid w:val="00F40C79"/>
    <w:rsid w:val="00F40EB6"/>
    <w:rsid w:val="00F41333"/>
    <w:rsid w:val="00F41449"/>
    <w:rsid w:val="00F416A6"/>
    <w:rsid w:val="00F41FB5"/>
    <w:rsid w:val="00F425C6"/>
    <w:rsid w:val="00F42872"/>
    <w:rsid w:val="00F42CEF"/>
    <w:rsid w:val="00F43414"/>
    <w:rsid w:val="00F439EB"/>
    <w:rsid w:val="00F44234"/>
    <w:rsid w:val="00F4494E"/>
    <w:rsid w:val="00F44DC8"/>
    <w:rsid w:val="00F45010"/>
    <w:rsid w:val="00F45389"/>
    <w:rsid w:val="00F458BB"/>
    <w:rsid w:val="00F45919"/>
    <w:rsid w:val="00F45AF5"/>
    <w:rsid w:val="00F45F70"/>
    <w:rsid w:val="00F463E4"/>
    <w:rsid w:val="00F466F8"/>
    <w:rsid w:val="00F46C9E"/>
    <w:rsid w:val="00F46E6D"/>
    <w:rsid w:val="00F46EF8"/>
    <w:rsid w:val="00F46EFB"/>
    <w:rsid w:val="00F46FD4"/>
    <w:rsid w:val="00F472A6"/>
    <w:rsid w:val="00F472D9"/>
    <w:rsid w:val="00F4738E"/>
    <w:rsid w:val="00F47396"/>
    <w:rsid w:val="00F47678"/>
    <w:rsid w:val="00F476CA"/>
    <w:rsid w:val="00F477EC"/>
    <w:rsid w:val="00F47C88"/>
    <w:rsid w:val="00F50790"/>
    <w:rsid w:val="00F50AAB"/>
    <w:rsid w:val="00F50FCD"/>
    <w:rsid w:val="00F513B4"/>
    <w:rsid w:val="00F5155C"/>
    <w:rsid w:val="00F51A54"/>
    <w:rsid w:val="00F51F81"/>
    <w:rsid w:val="00F526CF"/>
    <w:rsid w:val="00F52BF1"/>
    <w:rsid w:val="00F52C37"/>
    <w:rsid w:val="00F530D8"/>
    <w:rsid w:val="00F53802"/>
    <w:rsid w:val="00F53E79"/>
    <w:rsid w:val="00F54D7B"/>
    <w:rsid w:val="00F555C5"/>
    <w:rsid w:val="00F55BD0"/>
    <w:rsid w:val="00F56306"/>
    <w:rsid w:val="00F564D1"/>
    <w:rsid w:val="00F5692D"/>
    <w:rsid w:val="00F574BA"/>
    <w:rsid w:val="00F57713"/>
    <w:rsid w:val="00F578EC"/>
    <w:rsid w:val="00F57C70"/>
    <w:rsid w:val="00F608C6"/>
    <w:rsid w:val="00F60C7D"/>
    <w:rsid w:val="00F61FA8"/>
    <w:rsid w:val="00F6203A"/>
    <w:rsid w:val="00F620F6"/>
    <w:rsid w:val="00F623DF"/>
    <w:rsid w:val="00F62A7B"/>
    <w:rsid w:val="00F62FF1"/>
    <w:rsid w:val="00F633C0"/>
    <w:rsid w:val="00F6346C"/>
    <w:rsid w:val="00F6368D"/>
    <w:rsid w:val="00F63700"/>
    <w:rsid w:val="00F6386E"/>
    <w:rsid w:val="00F63AAA"/>
    <w:rsid w:val="00F63AE1"/>
    <w:rsid w:val="00F63B3C"/>
    <w:rsid w:val="00F63CD9"/>
    <w:rsid w:val="00F640A4"/>
    <w:rsid w:val="00F64B3D"/>
    <w:rsid w:val="00F64D44"/>
    <w:rsid w:val="00F6509B"/>
    <w:rsid w:val="00F650CA"/>
    <w:rsid w:val="00F65206"/>
    <w:rsid w:val="00F6559E"/>
    <w:rsid w:val="00F656D7"/>
    <w:rsid w:val="00F65AAF"/>
    <w:rsid w:val="00F66036"/>
    <w:rsid w:val="00F660BC"/>
    <w:rsid w:val="00F6622A"/>
    <w:rsid w:val="00F66403"/>
    <w:rsid w:val="00F6652A"/>
    <w:rsid w:val="00F665BB"/>
    <w:rsid w:val="00F666F6"/>
    <w:rsid w:val="00F67EE2"/>
    <w:rsid w:val="00F70294"/>
    <w:rsid w:val="00F7036E"/>
    <w:rsid w:val="00F70565"/>
    <w:rsid w:val="00F70E1C"/>
    <w:rsid w:val="00F70E70"/>
    <w:rsid w:val="00F70F0D"/>
    <w:rsid w:val="00F7153F"/>
    <w:rsid w:val="00F7170A"/>
    <w:rsid w:val="00F71A2C"/>
    <w:rsid w:val="00F71CBD"/>
    <w:rsid w:val="00F71D84"/>
    <w:rsid w:val="00F71DAD"/>
    <w:rsid w:val="00F71E13"/>
    <w:rsid w:val="00F71E7E"/>
    <w:rsid w:val="00F71F82"/>
    <w:rsid w:val="00F72014"/>
    <w:rsid w:val="00F723D6"/>
    <w:rsid w:val="00F72859"/>
    <w:rsid w:val="00F729DB"/>
    <w:rsid w:val="00F72AA8"/>
    <w:rsid w:val="00F7337B"/>
    <w:rsid w:val="00F734A5"/>
    <w:rsid w:val="00F734F2"/>
    <w:rsid w:val="00F735E5"/>
    <w:rsid w:val="00F73740"/>
    <w:rsid w:val="00F74021"/>
    <w:rsid w:val="00F7423A"/>
    <w:rsid w:val="00F742E3"/>
    <w:rsid w:val="00F74779"/>
    <w:rsid w:val="00F75362"/>
    <w:rsid w:val="00F75747"/>
    <w:rsid w:val="00F758E1"/>
    <w:rsid w:val="00F7591B"/>
    <w:rsid w:val="00F759E2"/>
    <w:rsid w:val="00F76049"/>
    <w:rsid w:val="00F76194"/>
    <w:rsid w:val="00F761F7"/>
    <w:rsid w:val="00F762D4"/>
    <w:rsid w:val="00F76350"/>
    <w:rsid w:val="00F7643F"/>
    <w:rsid w:val="00F7667D"/>
    <w:rsid w:val="00F76743"/>
    <w:rsid w:val="00F76D84"/>
    <w:rsid w:val="00F76ED6"/>
    <w:rsid w:val="00F76FBA"/>
    <w:rsid w:val="00F77029"/>
    <w:rsid w:val="00F77160"/>
    <w:rsid w:val="00F7742F"/>
    <w:rsid w:val="00F77701"/>
    <w:rsid w:val="00F77D6A"/>
    <w:rsid w:val="00F77D76"/>
    <w:rsid w:val="00F804CF"/>
    <w:rsid w:val="00F80624"/>
    <w:rsid w:val="00F8068B"/>
    <w:rsid w:val="00F8084D"/>
    <w:rsid w:val="00F80876"/>
    <w:rsid w:val="00F809E6"/>
    <w:rsid w:val="00F80E8B"/>
    <w:rsid w:val="00F80EB0"/>
    <w:rsid w:val="00F80F76"/>
    <w:rsid w:val="00F81136"/>
    <w:rsid w:val="00F8129C"/>
    <w:rsid w:val="00F8136E"/>
    <w:rsid w:val="00F81406"/>
    <w:rsid w:val="00F814C6"/>
    <w:rsid w:val="00F81722"/>
    <w:rsid w:val="00F81F68"/>
    <w:rsid w:val="00F81FB8"/>
    <w:rsid w:val="00F82887"/>
    <w:rsid w:val="00F8346A"/>
    <w:rsid w:val="00F83915"/>
    <w:rsid w:val="00F83DB4"/>
    <w:rsid w:val="00F84022"/>
    <w:rsid w:val="00F84180"/>
    <w:rsid w:val="00F845B8"/>
    <w:rsid w:val="00F847E2"/>
    <w:rsid w:val="00F84968"/>
    <w:rsid w:val="00F84A98"/>
    <w:rsid w:val="00F84B34"/>
    <w:rsid w:val="00F84CAE"/>
    <w:rsid w:val="00F85EC4"/>
    <w:rsid w:val="00F860E0"/>
    <w:rsid w:val="00F8640F"/>
    <w:rsid w:val="00F86979"/>
    <w:rsid w:val="00F86B26"/>
    <w:rsid w:val="00F878CF"/>
    <w:rsid w:val="00F87BED"/>
    <w:rsid w:val="00F87CC1"/>
    <w:rsid w:val="00F87E26"/>
    <w:rsid w:val="00F908AE"/>
    <w:rsid w:val="00F90B97"/>
    <w:rsid w:val="00F911A3"/>
    <w:rsid w:val="00F911BA"/>
    <w:rsid w:val="00F91368"/>
    <w:rsid w:val="00F91D2D"/>
    <w:rsid w:val="00F91E4D"/>
    <w:rsid w:val="00F92410"/>
    <w:rsid w:val="00F926B3"/>
    <w:rsid w:val="00F927CE"/>
    <w:rsid w:val="00F92BD3"/>
    <w:rsid w:val="00F92C44"/>
    <w:rsid w:val="00F92C72"/>
    <w:rsid w:val="00F92C87"/>
    <w:rsid w:val="00F92D05"/>
    <w:rsid w:val="00F92FF1"/>
    <w:rsid w:val="00F931B8"/>
    <w:rsid w:val="00F93429"/>
    <w:rsid w:val="00F93670"/>
    <w:rsid w:val="00F9388F"/>
    <w:rsid w:val="00F93D00"/>
    <w:rsid w:val="00F93DB2"/>
    <w:rsid w:val="00F946E8"/>
    <w:rsid w:val="00F94771"/>
    <w:rsid w:val="00F94E45"/>
    <w:rsid w:val="00F951B9"/>
    <w:rsid w:val="00F9558B"/>
    <w:rsid w:val="00F95659"/>
    <w:rsid w:val="00F957F3"/>
    <w:rsid w:val="00F95D2D"/>
    <w:rsid w:val="00F95E79"/>
    <w:rsid w:val="00F95F31"/>
    <w:rsid w:val="00F95F7A"/>
    <w:rsid w:val="00F9628E"/>
    <w:rsid w:val="00F96554"/>
    <w:rsid w:val="00F968D0"/>
    <w:rsid w:val="00F96BF9"/>
    <w:rsid w:val="00F96DA7"/>
    <w:rsid w:val="00F96EC8"/>
    <w:rsid w:val="00F974FA"/>
    <w:rsid w:val="00F97983"/>
    <w:rsid w:val="00FA008A"/>
    <w:rsid w:val="00FA063A"/>
    <w:rsid w:val="00FA1033"/>
    <w:rsid w:val="00FA165F"/>
    <w:rsid w:val="00FA2372"/>
    <w:rsid w:val="00FA23C2"/>
    <w:rsid w:val="00FA27C7"/>
    <w:rsid w:val="00FA2EA2"/>
    <w:rsid w:val="00FA31D2"/>
    <w:rsid w:val="00FA3212"/>
    <w:rsid w:val="00FA3445"/>
    <w:rsid w:val="00FA3ABC"/>
    <w:rsid w:val="00FA462A"/>
    <w:rsid w:val="00FA4D2F"/>
    <w:rsid w:val="00FA4FAD"/>
    <w:rsid w:val="00FA5655"/>
    <w:rsid w:val="00FA5D02"/>
    <w:rsid w:val="00FA6630"/>
    <w:rsid w:val="00FA6D42"/>
    <w:rsid w:val="00FA6EA4"/>
    <w:rsid w:val="00FA707D"/>
    <w:rsid w:val="00FA71D5"/>
    <w:rsid w:val="00FA797F"/>
    <w:rsid w:val="00FA7F04"/>
    <w:rsid w:val="00FA7FF9"/>
    <w:rsid w:val="00FB04C5"/>
    <w:rsid w:val="00FB07FA"/>
    <w:rsid w:val="00FB0869"/>
    <w:rsid w:val="00FB0C40"/>
    <w:rsid w:val="00FB1440"/>
    <w:rsid w:val="00FB1860"/>
    <w:rsid w:val="00FB1A1D"/>
    <w:rsid w:val="00FB1A84"/>
    <w:rsid w:val="00FB1C0B"/>
    <w:rsid w:val="00FB226C"/>
    <w:rsid w:val="00FB2302"/>
    <w:rsid w:val="00FB249A"/>
    <w:rsid w:val="00FB28CF"/>
    <w:rsid w:val="00FB2A1A"/>
    <w:rsid w:val="00FB2C5A"/>
    <w:rsid w:val="00FB3737"/>
    <w:rsid w:val="00FB3BD2"/>
    <w:rsid w:val="00FB3DFB"/>
    <w:rsid w:val="00FB4067"/>
    <w:rsid w:val="00FB436E"/>
    <w:rsid w:val="00FB4EBC"/>
    <w:rsid w:val="00FB52EF"/>
    <w:rsid w:val="00FB53E5"/>
    <w:rsid w:val="00FB58AE"/>
    <w:rsid w:val="00FB5BBA"/>
    <w:rsid w:val="00FB6665"/>
    <w:rsid w:val="00FB666D"/>
    <w:rsid w:val="00FB6FD8"/>
    <w:rsid w:val="00FB72A7"/>
    <w:rsid w:val="00FB7865"/>
    <w:rsid w:val="00FC0A24"/>
    <w:rsid w:val="00FC0C28"/>
    <w:rsid w:val="00FC1228"/>
    <w:rsid w:val="00FC1972"/>
    <w:rsid w:val="00FC2045"/>
    <w:rsid w:val="00FC2070"/>
    <w:rsid w:val="00FC274E"/>
    <w:rsid w:val="00FC27C1"/>
    <w:rsid w:val="00FC2C1B"/>
    <w:rsid w:val="00FC320E"/>
    <w:rsid w:val="00FC32E0"/>
    <w:rsid w:val="00FC336F"/>
    <w:rsid w:val="00FC3B0E"/>
    <w:rsid w:val="00FC3EA4"/>
    <w:rsid w:val="00FC441A"/>
    <w:rsid w:val="00FC48E7"/>
    <w:rsid w:val="00FC5116"/>
    <w:rsid w:val="00FC543F"/>
    <w:rsid w:val="00FC6DB2"/>
    <w:rsid w:val="00FC7023"/>
    <w:rsid w:val="00FC7A59"/>
    <w:rsid w:val="00FD00E0"/>
    <w:rsid w:val="00FD025D"/>
    <w:rsid w:val="00FD0C04"/>
    <w:rsid w:val="00FD0FE6"/>
    <w:rsid w:val="00FD1340"/>
    <w:rsid w:val="00FD19EF"/>
    <w:rsid w:val="00FD1AE7"/>
    <w:rsid w:val="00FD2116"/>
    <w:rsid w:val="00FD257F"/>
    <w:rsid w:val="00FD2BDD"/>
    <w:rsid w:val="00FD2F8A"/>
    <w:rsid w:val="00FD2FBC"/>
    <w:rsid w:val="00FD39DD"/>
    <w:rsid w:val="00FD3AAE"/>
    <w:rsid w:val="00FD45FF"/>
    <w:rsid w:val="00FD48AD"/>
    <w:rsid w:val="00FD4EA4"/>
    <w:rsid w:val="00FD506A"/>
    <w:rsid w:val="00FD510D"/>
    <w:rsid w:val="00FD5375"/>
    <w:rsid w:val="00FD556C"/>
    <w:rsid w:val="00FD5792"/>
    <w:rsid w:val="00FD57F3"/>
    <w:rsid w:val="00FD5A8E"/>
    <w:rsid w:val="00FD5CAD"/>
    <w:rsid w:val="00FD5E24"/>
    <w:rsid w:val="00FD61B8"/>
    <w:rsid w:val="00FD68BD"/>
    <w:rsid w:val="00FD690F"/>
    <w:rsid w:val="00FD6B59"/>
    <w:rsid w:val="00FD7089"/>
    <w:rsid w:val="00FD7205"/>
    <w:rsid w:val="00FD7534"/>
    <w:rsid w:val="00FD7B5C"/>
    <w:rsid w:val="00FD7CFE"/>
    <w:rsid w:val="00FD7EDA"/>
    <w:rsid w:val="00FE0484"/>
    <w:rsid w:val="00FE0840"/>
    <w:rsid w:val="00FE08E0"/>
    <w:rsid w:val="00FE0D53"/>
    <w:rsid w:val="00FE16D6"/>
    <w:rsid w:val="00FE171C"/>
    <w:rsid w:val="00FE1EFC"/>
    <w:rsid w:val="00FE2097"/>
    <w:rsid w:val="00FE2120"/>
    <w:rsid w:val="00FE2128"/>
    <w:rsid w:val="00FE2357"/>
    <w:rsid w:val="00FE256C"/>
    <w:rsid w:val="00FE265A"/>
    <w:rsid w:val="00FE2C55"/>
    <w:rsid w:val="00FE2D76"/>
    <w:rsid w:val="00FE2EE5"/>
    <w:rsid w:val="00FE339C"/>
    <w:rsid w:val="00FE34A2"/>
    <w:rsid w:val="00FE3AF3"/>
    <w:rsid w:val="00FE3C30"/>
    <w:rsid w:val="00FE4019"/>
    <w:rsid w:val="00FE4454"/>
    <w:rsid w:val="00FE4B45"/>
    <w:rsid w:val="00FE4C05"/>
    <w:rsid w:val="00FE5168"/>
    <w:rsid w:val="00FE5257"/>
    <w:rsid w:val="00FE54D9"/>
    <w:rsid w:val="00FE54F9"/>
    <w:rsid w:val="00FE584D"/>
    <w:rsid w:val="00FE59C3"/>
    <w:rsid w:val="00FE5BD8"/>
    <w:rsid w:val="00FE5D9F"/>
    <w:rsid w:val="00FE6F9F"/>
    <w:rsid w:val="00FE702B"/>
    <w:rsid w:val="00FE732C"/>
    <w:rsid w:val="00FE7B04"/>
    <w:rsid w:val="00FE7B28"/>
    <w:rsid w:val="00FE7EF2"/>
    <w:rsid w:val="00FF0328"/>
    <w:rsid w:val="00FF05AC"/>
    <w:rsid w:val="00FF07B7"/>
    <w:rsid w:val="00FF07F9"/>
    <w:rsid w:val="00FF0D44"/>
    <w:rsid w:val="00FF0F7E"/>
    <w:rsid w:val="00FF177B"/>
    <w:rsid w:val="00FF186D"/>
    <w:rsid w:val="00FF1C05"/>
    <w:rsid w:val="00FF2029"/>
    <w:rsid w:val="00FF23F1"/>
    <w:rsid w:val="00FF2E4D"/>
    <w:rsid w:val="00FF3FB3"/>
    <w:rsid w:val="00FF4245"/>
    <w:rsid w:val="00FF4655"/>
    <w:rsid w:val="00FF4CA6"/>
    <w:rsid w:val="00FF548C"/>
    <w:rsid w:val="00FF5A0E"/>
    <w:rsid w:val="00FF5A79"/>
    <w:rsid w:val="00FF646F"/>
    <w:rsid w:val="00FF6696"/>
    <w:rsid w:val="00FF7EB6"/>
    <w:rsid w:val="010C238A"/>
    <w:rsid w:val="01179436"/>
    <w:rsid w:val="01218FF9"/>
    <w:rsid w:val="014747D4"/>
    <w:rsid w:val="018C5811"/>
    <w:rsid w:val="019F8C21"/>
    <w:rsid w:val="021BA413"/>
    <w:rsid w:val="02576B31"/>
    <w:rsid w:val="027435FB"/>
    <w:rsid w:val="027A26B7"/>
    <w:rsid w:val="0297F149"/>
    <w:rsid w:val="02CA020E"/>
    <w:rsid w:val="03325934"/>
    <w:rsid w:val="0334F7B5"/>
    <w:rsid w:val="0359B36D"/>
    <w:rsid w:val="035B0941"/>
    <w:rsid w:val="035F8C76"/>
    <w:rsid w:val="0369D37A"/>
    <w:rsid w:val="03D3B52E"/>
    <w:rsid w:val="03D7B260"/>
    <w:rsid w:val="0435E0B2"/>
    <w:rsid w:val="045B408C"/>
    <w:rsid w:val="046AE5F4"/>
    <w:rsid w:val="04D58CED"/>
    <w:rsid w:val="05017F2C"/>
    <w:rsid w:val="056042F6"/>
    <w:rsid w:val="0581E653"/>
    <w:rsid w:val="05B0BF9A"/>
    <w:rsid w:val="05F710ED"/>
    <w:rsid w:val="05FEFE57"/>
    <w:rsid w:val="06151C28"/>
    <w:rsid w:val="066513FD"/>
    <w:rsid w:val="067D5396"/>
    <w:rsid w:val="06BFADC0"/>
    <w:rsid w:val="06D48DC1"/>
    <w:rsid w:val="06E32598"/>
    <w:rsid w:val="06E8237B"/>
    <w:rsid w:val="073C75E2"/>
    <w:rsid w:val="0789DE70"/>
    <w:rsid w:val="0792E14E"/>
    <w:rsid w:val="07E01496"/>
    <w:rsid w:val="07EB773D"/>
    <w:rsid w:val="07F6F154"/>
    <w:rsid w:val="082A6966"/>
    <w:rsid w:val="08D92375"/>
    <w:rsid w:val="08DDEA67"/>
    <w:rsid w:val="08F66C66"/>
    <w:rsid w:val="09869571"/>
    <w:rsid w:val="09A5FFA1"/>
    <w:rsid w:val="0A72A999"/>
    <w:rsid w:val="0A8B7F95"/>
    <w:rsid w:val="0B155222"/>
    <w:rsid w:val="0B453413"/>
    <w:rsid w:val="0BE795A5"/>
    <w:rsid w:val="0BF81480"/>
    <w:rsid w:val="0C60930B"/>
    <w:rsid w:val="0C86A8CA"/>
    <w:rsid w:val="0C88157D"/>
    <w:rsid w:val="0CA5B496"/>
    <w:rsid w:val="0D2AF686"/>
    <w:rsid w:val="0D307CA0"/>
    <w:rsid w:val="0D5EED26"/>
    <w:rsid w:val="0D8CEA36"/>
    <w:rsid w:val="0D8CECFF"/>
    <w:rsid w:val="0D8F4A83"/>
    <w:rsid w:val="0D930985"/>
    <w:rsid w:val="0DC301CB"/>
    <w:rsid w:val="0DEFAF12"/>
    <w:rsid w:val="0DF41D2E"/>
    <w:rsid w:val="0E3FB512"/>
    <w:rsid w:val="0E6A5BCE"/>
    <w:rsid w:val="0E8D6083"/>
    <w:rsid w:val="0EB1B4D0"/>
    <w:rsid w:val="0EBCB760"/>
    <w:rsid w:val="0F49C1FE"/>
    <w:rsid w:val="0F5A4E69"/>
    <w:rsid w:val="0F6EE33F"/>
    <w:rsid w:val="0FCE1547"/>
    <w:rsid w:val="0FEBE8C5"/>
    <w:rsid w:val="0FF16712"/>
    <w:rsid w:val="108E26A0"/>
    <w:rsid w:val="10AFC29C"/>
    <w:rsid w:val="112407F7"/>
    <w:rsid w:val="11260C78"/>
    <w:rsid w:val="1138FDEB"/>
    <w:rsid w:val="117187CF"/>
    <w:rsid w:val="119BC0AC"/>
    <w:rsid w:val="11F58712"/>
    <w:rsid w:val="1229FEF6"/>
    <w:rsid w:val="123C0595"/>
    <w:rsid w:val="1245C07F"/>
    <w:rsid w:val="128FB309"/>
    <w:rsid w:val="1299002D"/>
    <w:rsid w:val="12D18023"/>
    <w:rsid w:val="1337EE35"/>
    <w:rsid w:val="136480B9"/>
    <w:rsid w:val="13ADE48C"/>
    <w:rsid w:val="13B34E32"/>
    <w:rsid w:val="143B285F"/>
    <w:rsid w:val="1451C08E"/>
    <w:rsid w:val="14A1D9E0"/>
    <w:rsid w:val="14D9EF51"/>
    <w:rsid w:val="14DBE509"/>
    <w:rsid w:val="14DF02D0"/>
    <w:rsid w:val="14DF44B5"/>
    <w:rsid w:val="14EDBF8C"/>
    <w:rsid w:val="151E828F"/>
    <w:rsid w:val="15DE4B0B"/>
    <w:rsid w:val="15F9FD53"/>
    <w:rsid w:val="162AAC0B"/>
    <w:rsid w:val="16DE8E10"/>
    <w:rsid w:val="173B07F6"/>
    <w:rsid w:val="1768877C"/>
    <w:rsid w:val="176E506E"/>
    <w:rsid w:val="176F0ACF"/>
    <w:rsid w:val="179C9CAD"/>
    <w:rsid w:val="17A9CB12"/>
    <w:rsid w:val="17B16098"/>
    <w:rsid w:val="17D5643F"/>
    <w:rsid w:val="17E51E1C"/>
    <w:rsid w:val="17F169B7"/>
    <w:rsid w:val="181A1297"/>
    <w:rsid w:val="18244258"/>
    <w:rsid w:val="1854023F"/>
    <w:rsid w:val="18989C3C"/>
    <w:rsid w:val="18D6EF39"/>
    <w:rsid w:val="19038963"/>
    <w:rsid w:val="1904871A"/>
    <w:rsid w:val="19107348"/>
    <w:rsid w:val="191D6C3D"/>
    <w:rsid w:val="19386D0E"/>
    <w:rsid w:val="19BCDDEE"/>
    <w:rsid w:val="19D4A3D7"/>
    <w:rsid w:val="1A3E29F5"/>
    <w:rsid w:val="1AC26769"/>
    <w:rsid w:val="1ADF5128"/>
    <w:rsid w:val="1BBB6ABF"/>
    <w:rsid w:val="1BC17AFF"/>
    <w:rsid w:val="1BC986EA"/>
    <w:rsid w:val="1BDE7CA8"/>
    <w:rsid w:val="1C20E536"/>
    <w:rsid w:val="1CCB6043"/>
    <w:rsid w:val="1CF2F5B1"/>
    <w:rsid w:val="1D07FB0A"/>
    <w:rsid w:val="1D190CEF"/>
    <w:rsid w:val="1D27A1A2"/>
    <w:rsid w:val="1D2BF063"/>
    <w:rsid w:val="1D5EFE3B"/>
    <w:rsid w:val="1D6F4AB8"/>
    <w:rsid w:val="1D9E7BF2"/>
    <w:rsid w:val="1DE07FD4"/>
    <w:rsid w:val="1DE306C4"/>
    <w:rsid w:val="1DF02138"/>
    <w:rsid w:val="1DF9AC91"/>
    <w:rsid w:val="1E0D41D5"/>
    <w:rsid w:val="1E29F87F"/>
    <w:rsid w:val="1E7A3184"/>
    <w:rsid w:val="1E7DE5B0"/>
    <w:rsid w:val="1E8D59B9"/>
    <w:rsid w:val="1EAC775B"/>
    <w:rsid w:val="1EC038E0"/>
    <w:rsid w:val="1EC25BD3"/>
    <w:rsid w:val="1EE26AAA"/>
    <w:rsid w:val="1F0274A5"/>
    <w:rsid w:val="1F07F5BD"/>
    <w:rsid w:val="1F0B8CBD"/>
    <w:rsid w:val="1F1E98E6"/>
    <w:rsid w:val="1F370EFA"/>
    <w:rsid w:val="1F476516"/>
    <w:rsid w:val="1F7D6239"/>
    <w:rsid w:val="1F8ADB32"/>
    <w:rsid w:val="1F9F9D65"/>
    <w:rsid w:val="1FFA80A7"/>
    <w:rsid w:val="20079F78"/>
    <w:rsid w:val="2012ABEA"/>
    <w:rsid w:val="2029F463"/>
    <w:rsid w:val="205BE2F9"/>
    <w:rsid w:val="2077132E"/>
    <w:rsid w:val="208CCCC6"/>
    <w:rsid w:val="20911D1C"/>
    <w:rsid w:val="20DB847D"/>
    <w:rsid w:val="20FD3947"/>
    <w:rsid w:val="210027C8"/>
    <w:rsid w:val="2107169F"/>
    <w:rsid w:val="211E93BE"/>
    <w:rsid w:val="214889C9"/>
    <w:rsid w:val="21554122"/>
    <w:rsid w:val="217B53CF"/>
    <w:rsid w:val="21C38803"/>
    <w:rsid w:val="21DBF350"/>
    <w:rsid w:val="21E8B977"/>
    <w:rsid w:val="22336E0C"/>
    <w:rsid w:val="2289A1FF"/>
    <w:rsid w:val="228E7065"/>
    <w:rsid w:val="22F3138D"/>
    <w:rsid w:val="22F52308"/>
    <w:rsid w:val="2391B9D5"/>
    <w:rsid w:val="23B27562"/>
    <w:rsid w:val="23DA52C4"/>
    <w:rsid w:val="23DD29E1"/>
    <w:rsid w:val="23F273C8"/>
    <w:rsid w:val="24252577"/>
    <w:rsid w:val="24296F11"/>
    <w:rsid w:val="24321821"/>
    <w:rsid w:val="24A80A8C"/>
    <w:rsid w:val="258F81CE"/>
    <w:rsid w:val="25DA8FD2"/>
    <w:rsid w:val="25E00496"/>
    <w:rsid w:val="260432A2"/>
    <w:rsid w:val="2629A2D4"/>
    <w:rsid w:val="264B554F"/>
    <w:rsid w:val="2650A1D7"/>
    <w:rsid w:val="268786E3"/>
    <w:rsid w:val="26A41AD1"/>
    <w:rsid w:val="26B46BB2"/>
    <w:rsid w:val="26B7E098"/>
    <w:rsid w:val="26D8FB5C"/>
    <w:rsid w:val="26ECB824"/>
    <w:rsid w:val="2701F588"/>
    <w:rsid w:val="272459B3"/>
    <w:rsid w:val="2728F776"/>
    <w:rsid w:val="2745FBBC"/>
    <w:rsid w:val="2753F8C7"/>
    <w:rsid w:val="278C53CD"/>
    <w:rsid w:val="279C456B"/>
    <w:rsid w:val="27AF8642"/>
    <w:rsid w:val="27B97860"/>
    <w:rsid w:val="27EC83F6"/>
    <w:rsid w:val="28169109"/>
    <w:rsid w:val="283531A3"/>
    <w:rsid w:val="2877C5E2"/>
    <w:rsid w:val="28C4DB7D"/>
    <w:rsid w:val="28C60C49"/>
    <w:rsid w:val="28D51EFF"/>
    <w:rsid w:val="292EBE0B"/>
    <w:rsid w:val="294BF036"/>
    <w:rsid w:val="294C2245"/>
    <w:rsid w:val="2AD3AB92"/>
    <w:rsid w:val="2AF97BC7"/>
    <w:rsid w:val="2B11CCB4"/>
    <w:rsid w:val="2B2A9C68"/>
    <w:rsid w:val="2B806B1C"/>
    <w:rsid w:val="2BE6B119"/>
    <w:rsid w:val="2BED1597"/>
    <w:rsid w:val="2BFC7D4B"/>
    <w:rsid w:val="2C0B737B"/>
    <w:rsid w:val="2C13CC3E"/>
    <w:rsid w:val="2C13EB2A"/>
    <w:rsid w:val="2C20CDBB"/>
    <w:rsid w:val="2C513672"/>
    <w:rsid w:val="2C739AB4"/>
    <w:rsid w:val="2C7C5E7E"/>
    <w:rsid w:val="2CA9D3D7"/>
    <w:rsid w:val="2CC570AA"/>
    <w:rsid w:val="2D87E869"/>
    <w:rsid w:val="2DE3EE69"/>
    <w:rsid w:val="2E34DC96"/>
    <w:rsid w:val="2E6571D8"/>
    <w:rsid w:val="2E6FF43C"/>
    <w:rsid w:val="2E7C739B"/>
    <w:rsid w:val="2ED08ACB"/>
    <w:rsid w:val="2EEF95A0"/>
    <w:rsid w:val="2F383F82"/>
    <w:rsid w:val="2F724957"/>
    <w:rsid w:val="2FC407A9"/>
    <w:rsid w:val="2FFC361F"/>
    <w:rsid w:val="3009BC41"/>
    <w:rsid w:val="3038124D"/>
    <w:rsid w:val="30662543"/>
    <w:rsid w:val="30DE6513"/>
    <w:rsid w:val="310A5BDE"/>
    <w:rsid w:val="311280BF"/>
    <w:rsid w:val="314E7896"/>
    <w:rsid w:val="3160724D"/>
    <w:rsid w:val="316297F0"/>
    <w:rsid w:val="316A2E31"/>
    <w:rsid w:val="318197AE"/>
    <w:rsid w:val="31D0F403"/>
    <w:rsid w:val="31FB2ED1"/>
    <w:rsid w:val="3202EB48"/>
    <w:rsid w:val="323A327F"/>
    <w:rsid w:val="32879372"/>
    <w:rsid w:val="3297E5E8"/>
    <w:rsid w:val="32D8E6DC"/>
    <w:rsid w:val="32E9451A"/>
    <w:rsid w:val="33232DBE"/>
    <w:rsid w:val="3334731A"/>
    <w:rsid w:val="33B2EFF5"/>
    <w:rsid w:val="33C7ED03"/>
    <w:rsid w:val="33E976CB"/>
    <w:rsid w:val="340AC30E"/>
    <w:rsid w:val="3457F1F6"/>
    <w:rsid w:val="34765E8B"/>
    <w:rsid w:val="34C768A9"/>
    <w:rsid w:val="351DC5F9"/>
    <w:rsid w:val="35230DC8"/>
    <w:rsid w:val="355476DE"/>
    <w:rsid w:val="359945F0"/>
    <w:rsid w:val="3599634C"/>
    <w:rsid w:val="35BE4965"/>
    <w:rsid w:val="363B5CA5"/>
    <w:rsid w:val="367C1B07"/>
    <w:rsid w:val="369A15FF"/>
    <w:rsid w:val="369F610B"/>
    <w:rsid w:val="369F9ECE"/>
    <w:rsid w:val="36B19C7A"/>
    <w:rsid w:val="36D85314"/>
    <w:rsid w:val="3734C7FC"/>
    <w:rsid w:val="3747FD48"/>
    <w:rsid w:val="374A15AF"/>
    <w:rsid w:val="37667B83"/>
    <w:rsid w:val="37714B08"/>
    <w:rsid w:val="3777AFE0"/>
    <w:rsid w:val="3786EA18"/>
    <w:rsid w:val="386301F0"/>
    <w:rsid w:val="3899D7F0"/>
    <w:rsid w:val="390F4EE5"/>
    <w:rsid w:val="3967B949"/>
    <w:rsid w:val="396C5E18"/>
    <w:rsid w:val="398C2BC1"/>
    <w:rsid w:val="399B0583"/>
    <w:rsid w:val="39CC85E6"/>
    <w:rsid w:val="3A0538D7"/>
    <w:rsid w:val="3B2293A9"/>
    <w:rsid w:val="3B260539"/>
    <w:rsid w:val="3B52665D"/>
    <w:rsid w:val="3B5A5493"/>
    <w:rsid w:val="3B5B39A4"/>
    <w:rsid w:val="3B8852C1"/>
    <w:rsid w:val="3BA72C26"/>
    <w:rsid w:val="3BB516A0"/>
    <w:rsid w:val="3C303199"/>
    <w:rsid w:val="3C4A25EC"/>
    <w:rsid w:val="3C65BCDE"/>
    <w:rsid w:val="3C805E93"/>
    <w:rsid w:val="3CA2B275"/>
    <w:rsid w:val="3D0CA53F"/>
    <w:rsid w:val="3D1F30FF"/>
    <w:rsid w:val="3D4C3EFA"/>
    <w:rsid w:val="3D722B80"/>
    <w:rsid w:val="3D7DE1FB"/>
    <w:rsid w:val="3E18CD5A"/>
    <w:rsid w:val="3E825D93"/>
    <w:rsid w:val="3EB1EBC6"/>
    <w:rsid w:val="3EC5FA21"/>
    <w:rsid w:val="3EF46848"/>
    <w:rsid w:val="3EF86C35"/>
    <w:rsid w:val="3F283074"/>
    <w:rsid w:val="3F50C443"/>
    <w:rsid w:val="3F66BB6E"/>
    <w:rsid w:val="3F8289E0"/>
    <w:rsid w:val="3F9B151D"/>
    <w:rsid w:val="3FDCC2FC"/>
    <w:rsid w:val="404BBEBB"/>
    <w:rsid w:val="405D519F"/>
    <w:rsid w:val="407A8BC5"/>
    <w:rsid w:val="40BC5062"/>
    <w:rsid w:val="40E4B28A"/>
    <w:rsid w:val="40F0E41B"/>
    <w:rsid w:val="40F8C4B3"/>
    <w:rsid w:val="40FBB316"/>
    <w:rsid w:val="410624DD"/>
    <w:rsid w:val="4110D4AD"/>
    <w:rsid w:val="41464CE1"/>
    <w:rsid w:val="4152C056"/>
    <w:rsid w:val="416C4AFD"/>
    <w:rsid w:val="416DCD4E"/>
    <w:rsid w:val="4179C1AA"/>
    <w:rsid w:val="41A8F8C1"/>
    <w:rsid w:val="41F397DF"/>
    <w:rsid w:val="4230F3E3"/>
    <w:rsid w:val="423CF794"/>
    <w:rsid w:val="423FE993"/>
    <w:rsid w:val="4257FC4F"/>
    <w:rsid w:val="42B02799"/>
    <w:rsid w:val="42D159A3"/>
    <w:rsid w:val="42E59549"/>
    <w:rsid w:val="42EC7F24"/>
    <w:rsid w:val="43083251"/>
    <w:rsid w:val="43A13EAC"/>
    <w:rsid w:val="43CA73D3"/>
    <w:rsid w:val="4408D3A9"/>
    <w:rsid w:val="44803151"/>
    <w:rsid w:val="44877AA4"/>
    <w:rsid w:val="44D05387"/>
    <w:rsid w:val="44DE7607"/>
    <w:rsid w:val="44EA0320"/>
    <w:rsid w:val="453C99A8"/>
    <w:rsid w:val="4577ACDC"/>
    <w:rsid w:val="45C9FE14"/>
    <w:rsid w:val="463B2B79"/>
    <w:rsid w:val="46493DEC"/>
    <w:rsid w:val="468CD800"/>
    <w:rsid w:val="469BF6AF"/>
    <w:rsid w:val="46A4366A"/>
    <w:rsid w:val="46B9EC36"/>
    <w:rsid w:val="4725BC57"/>
    <w:rsid w:val="473C7359"/>
    <w:rsid w:val="475D3989"/>
    <w:rsid w:val="476000F6"/>
    <w:rsid w:val="4774930F"/>
    <w:rsid w:val="47BFBA25"/>
    <w:rsid w:val="47CF9F2A"/>
    <w:rsid w:val="47E1F1D0"/>
    <w:rsid w:val="47FED253"/>
    <w:rsid w:val="4804F4F8"/>
    <w:rsid w:val="4844EBA9"/>
    <w:rsid w:val="486BA203"/>
    <w:rsid w:val="487DD23F"/>
    <w:rsid w:val="48D5A0F3"/>
    <w:rsid w:val="48D5D695"/>
    <w:rsid w:val="48E91C09"/>
    <w:rsid w:val="490CE560"/>
    <w:rsid w:val="496DF7FA"/>
    <w:rsid w:val="4984A280"/>
    <w:rsid w:val="4990E417"/>
    <w:rsid w:val="49B70BF2"/>
    <w:rsid w:val="49E0C893"/>
    <w:rsid w:val="49F78687"/>
    <w:rsid w:val="4A08063F"/>
    <w:rsid w:val="4A08C7AF"/>
    <w:rsid w:val="4A153126"/>
    <w:rsid w:val="4ABFC436"/>
    <w:rsid w:val="4B33C68C"/>
    <w:rsid w:val="4B597814"/>
    <w:rsid w:val="4B729487"/>
    <w:rsid w:val="4B8537E5"/>
    <w:rsid w:val="4B89D114"/>
    <w:rsid w:val="4B93F686"/>
    <w:rsid w:val="4B9649F3"/>
    <w:rsid w:val="4C071773"/>
    <w:rsid w:val="4C3731B5"/>
    <w:rsid w:val="4C4383B2"/>
    <w:rsid w:val="4C5AB3D1"/>
    <w:rsid w:val="4C7ECD60"/>
    <w:rsid w:val="4CAD85E6"/>
    <w:rsid w:val="4CB6EC8C"/>
    <w:rsid w:val="4CD0F80F"/>
    <w:rsid w:val="4CD3DEDF"/>
    <w:rsid w:val="4D549DDD"/>
    <w:rsid w:val="4D56DA9E"/>
    <w:rsid w:val="4D75402F"/>
    <w:rsid w:val="4E55D668"/>
    <w:rsid w:val="4E84E5DE"/>
    <w:rsid w:val="4E9F3336"/>
    <w:rsid w:val="4EA9DDDC"/>
    <w:rsid w:val="4F451E1F"/>
    <w:rsid w:val="4F53E199"/>
    <w:rsid w:val="4F841A46"/>
    <w:rsid w:val="4F892611"/>
    <w:rsid w:val="4F9648B7"/>
    <w:rsid w:val="4F9DA694"/>
    <w:rsid w:val="4FCC9272"/>
    <w:rsid w:val="5021C0B9"/>
    <w:rsid w:val="503247FB"/>
    <w:rsid w:val="50BA64D9"/>
    <w:rsid w:val="50CC688E"/>
    <w:rsid w:val="50D6A510"/>
    <w:rsid w:val="50DF65AC"/>
    <w:rsid w:val="50EAA4F6"/>
    <w:rsid w:val="5137F99D"/>
    <w:rsid w:val="51626CF1"/>
    <w:rsid w:val="518616D1"/>
    <w:rsid w:val="5186F565"/>
    <w:rsid w:val="518FF08B"/>
    <w:rsid w:val="521825F1"/>
    <w:rsid w:val="5278B5DC"/>
    <w:rsid w:val="52966AFC"/>
    <w:rsid w:val="52B7AB58"/>
    <w:rsid w:val="52D0A28D"/>
    <w:rsid w:val="5317DB3F"/>
    <w:rsid w:val="5377654A"/>
    <w:rsid w:val="53B1CBFA"/>
    <w:rsid w:val="53E5188C"/>
    <w:rsid w:val="541B7E1F"/>
    <w:rsid w:val="5479C8C6"/>
    <w:rsid w:val="547B6143"/>
    <w:rsid w:val="5490596B"/>
    <w:rsid w:val="54A731C6"/>
    <w:rsid w:val="5573FFBE"/>
    <w:rsid w:val="55ADE81A"/>
    <w:rsid w:val="55AFF7BC"/>
    <w:rsid w:val="55D0AD05"/>
    <w:rsid w:val="55E1502F"/>
    <w:rsid w:val="55F03B9A"/>
    <w:rsid w:val="55F70878"/>
    <w:rsid w:val="56270BB5"/>
    <w:rsid w:val="5663FD1B"/>
    <w:rsid w:val="56A47A1B"/>
    <w:rsid w:val="56A6AFC2"/>
    <w:rsid w:val="56F1C6B5"/>
    <w:rsid w:val="57311455"/>
    <w:rsid w:val="577CE9A2"/>
    <w:rsid w:val="57B70D56"/>
    <w:rsid w:val="57B80680"/>
    <w:rsid w:val="57DE659F"/>
    <w:rsid w:val="57F30C54"/>
    <w:rsid w:val="57FC67ED"/>
    <w:rsid w:val="5818252B"/>
    <w:rsid w:val="58329271"/>
    <w:rsid w:val="58C1A692"/>
    <w:rsid w:val="58F0A10E"/>
    <w:rsid w:val="5A79BAD5"/>
    <w:rsid w:val="5AB3A3CC"/>
    <w:rsid w:val="5AFEBAB0"/>
    <w:rsid w:val="5B6B6D5A"/>
    <w:rsid w:val="5B83D8F0"/>
    <w:rsid w:val="5B840FAC"/>
    <w:rsid w:val="5B9A3B80"/>
    <w:rsid w:val="5B9F09A6"/>
    <w:rsid w:val="5BDD0A4A"/>
    <w:rsid w:val="5BF89B30"/>
    <w:rsid w:val="5C712E38"/>
    <w:rsid w:val="5C77C49C"/>
    <w:rsid w:val="5CC22EF6"/>
    <w:rsid w:val="5CEC37B1"/>
    <w:rsid w:val="5D294983"/>
    <w:rsid w:val="5D59C439"/>
    <w:rsid w:val="5D8FBA55"/>
    <w:rsid w:val="5DFDDB58"/>
    <w:rsid w:val="5E754CCC"/>
    <w:rsid w:val="5E8C2131"/>
    <w:rsid w:val="5EABA81E"/>
    <w:rsid w:val="5F21F7A9"/>
    <w:rsid w:val="5F2299FC"/>
    <w:rsid w:val="5FA12044"/>
    <w:rsid w:val="5FA9A6F6"/>
    <w:rsid w:val="5FC3EC87"/>
    <w:rsid w:val="5FD37DE4"/>
    <w:rsid w:val="5FED46A8"/>
    <w:rsid w:val="601C0AFD"/>
    <w:rsid w:val="6034635F"/>
    <w:rsid w:val="603A31EA"/>
    <w:rsid w:val="6066145F"/>
    <w:rsid w:val="607CD73F"/>
    <w:rsid w:val="60B30B23"/>
    <w:rsid w:val="60B6C378"/>
    <w:rsid w:val="60C3CED2"/>
    <w:rsid w:val="60FA60A1"/>
    <w:rsid w:val="610B58D5"/>
    <w:rsid w:val="611004E8"/>
    <w:rsid w:val="6133EE13"/>
    <w:rsid w:val="613E3953"/>
    <w:rsid w:val="61536404"/>
    <w:rsid w:val="615CCB99"/>
    <w:rsid w:val="6166653C"/>
    <w:rsid w:val="61F17A7E"/>
    <w:rsid w:val="6212603D"/>
    <w:rsid w:val="625DEBA8"/>
    <w:rsid w:val="62A4636D"/>
    <w:rsid w:val="63015992"/>
    <w:rsid w:val="6314BCC0"/>
    <w:rsid w:val="63452068"/>
    <w:rsid w:val="63646EE8"/>
    <w:rsid w:val="6367E048"/>
    <w:rsid w:val="640B2F8D"/>
    <w:rsid w:val="6456F9FC"/>
    <w:rsid w:val="64589720"/>
    <w:rsid w:val="64934306"/>
    <w:rsid w:val="64B004BA"/>
    <w:rsid w:val="64C53596"/>
    <w:rsid w:val="64CBFBA2"/>
    <w:rsid w:val="650A0A56"/>
    <w:rsid w:val="65510665"/>
    <w:rsid w:val="657A661D"/>
    <w:rsid w:val="65D18EC0"/>
    <w:rsid w:val="65F2A795"/>
    <w:rsid w:val="65F60D81"/>
    <w:rsid w:val="660AD42D"/>
    <w:rsid w:val="663DB327"/>
    <w:rsid w:val="6643BB44"/>
    <w:rsid w:val="66536836"/>
    <w:rsid w:val="666BE65A"/>
    <w:rsid w:val="6678E8BE"/>
    <w:rsid w:val="66A14CB5"/>
    <w:rsid w:val="6755064F"/>
    <w:rsid w:val="677743D6"/>
    <w:rsid w:val="686AD8F9"/>
    <w:rsid w:val="693FF72E"/>
    <w:rsid w:val="69490C2B"/>
    <w:rsid w:val="6963FF67"/>
    <w:rsid w:val="69CD8BF2"/>
    <w:rsid w:val="69CEAB75"/>
    <w:rsid w:val="69F41D94"/>
    <w:rsid w:val="69F9071F"/>
    <w:rsid w:val="69F9C6E7"/>
    <w:rsid w:val="6A20FAA8"/>
    <w:rsid w:val="6A839E3E"/>
    <w:rsid w:val="6A909E3A"/>
    <w:rsid w:val="6AADC826"/>
    <w:rsid w:val="6AD31A7F"/>
    <w:rsid w:val="6AE691B2"/>
    <w:rsid w:val="6AF41F25"/>
    <w:rsid w:val="6B393E08"/>
    <w:rsid w:val="6B455523"/>
    <w:rsid w:val="6B5AF466"/>
    <w:rsid w:val="6B6D1B3C"/>
    <w:rsid w:val="6B7068FD"/>
    <w:rsid w:val="6B73F48A"/>
    <w:rsid w:val="6B75ECC8"/>
    <w:rsid w:val="6B884BF7"/>
    <w:rsid w:val="6BBF2FD3"/>
    <w:rsid w:val="6BCE7C6E"/>
    <w:rsid w:val="6BDFF492"/>
    <w:rsid w:val="6C07DEBB"/>
    <w:rsid w:val="6C2159E7"/>
    <w:rsid w:val="6C62E156"/>
    <w:rsid w:val="6C74B733"/>
    <w:rsid w:val="6C915068"/>
    <w:rsid w:val="6CCC30B3"/>
    <w:rsid w:val="6D19C8F8"/>
    <w:rsid w:val="6D1C2427"/>
    <w:rsid w:val="6D25ABF1"/>
    <w:rsid w:val="6D4E3825"/>
    <w:rsid w:val="6D5BAA64"/>
    <w:rsid w:val="6D9226A5"/>
    <w:rsid w:val="6D98B0C9"/>
    <w:rsid w:val="6DFF90A8"/>
    <w:rsid w:val="6E2D37A4"/>
    <w:rsid w:val="6E7722A7"/>
    <w:rsid w:val="6E80185A"/>
    <w:rsid w:val="6E985FCC"/>
    <w:rsid w:val="6EB263FC"/>
    <w:rsid w:val="6EC583BF"/>
    <w:rsid w:val="6F290677"/>
    <w:rsid w:val="6F3E9920"/>
    <w:rsid w:val="6F427D85"/>
    <w:rsid w:val="6F9B897C"/>
    <w:rsid w:val="6FB46DC0"/>
    <w:rsid w:val="7004EFAD"/>
    <w:rsid w:val="700B5847"/>
    <w:rsid w:val="70164F76"/>
    <w:rsid w:val="704B7FF7"/>
    <w:rsid w:val="709D5296"/>
    <w:rsid w:val="70B9876A"/>
    <w:rsid w:val="70DBB11A"/>
    <w:rsid w:val="70E02F23"/>
    <w:rsid w:val="70FFE4A4"/>
    <w:rsid w:val="7123AAB5"/>
    <w:rsid w:val="7164B0A2"/>
    <w:rsid w:val="717A5415"/>
    <w:rsid w:val="71C42DCD"/>
    <w:rsid w:val="71D47007"/>
    <w:rsid w:val="71F8F44F"/>
    <w:rsid w:val="722ED413"/>
    <w:rsid w:val="726B201B"/>
    <w:rsid w:val="727BB317"/>
    <w:rsid w:val="727F08E3"/>
    <w:rsid w:val="72F95F96"/>
    <w:rsid w:val="731783A7"/>
    <w:rsid w:val="734684FA"/>
    <w:rsid w:val="735E136F"/>
    <w:rsid w:val="739816AD"/>
    <w:rsid w:val="740057D1"/>
    <w:rsid w:val="74643C70"/>
    <w:rsid w:val="74693F42"/>
    <w:rsid w:val="749F256E"/>
    <w:rsid w:val="74BA5751"/>
    <w:rsid w:val="74F5E88D"/>
    <w:rsid w:val="7511AFC2"/>
    <w:rsid w:val="7635B5A0"/>
    <w:rsid w:val="765EC435"/>
    <w:rsid w:val="7679D094"/>
    <w:rsid w:val="768A86AE"/>
    <w:rsid w:val="76A6D47D"/>
    <w:rsid w:val="76B150B3"/>
    <w:rsid w:val="76C9C83A"/>
    <w:rsid w:val="77003915"/>
    <w:rsid w:val="771CDF2C"/>
    <w:rsid w:val="775A10B5"/>
    <w:rsid w:val="778F3351"/>
    <w:rsid w:val="77AD7E4B"/>
    <w:rsid w:val="77B5062F"/>
    <w:rsid w:val="77BCF646"/>
    <w:rsid w:val="7805C108"/>
    <w:rsid w:val="78166A2C"/>
    <w:rsid w:val="782081E2"/>
    <w:rsid w:val="78283D31"/>
    <w:rsid w:val="7863AD83"/>
    <w:rsid w:val="786EFB0D"/>
    <w:rsid w:val="78A69E13"/>
    <w:rsid w:val="78F3DA0D"/>
    <w:rsid w:val="796C27C2"/>
    <w:rsid w:val="796DA70C"/>
    <w:rsid w:val="7A0BB8CA"/>
    <w:rsid w:val="7A10DB98"/>
    <w:rsid w:val="7A26B2B4"/>
    <w:rsid w:val="7A60A1EA"/>
    <w:rsid w:val="7AA10B1D"/>
    <w:rsid w:val="7AA6BB57"/>
    <w:rsid w:val="7AD1E03E"/>
    <w:rsid w:val="7ADE823B"/>
    <w:rsid w:val="7AF6FEB1"/>
    <w:rsid w:val="7B012B27"/>
    <w:rsid w:val="7B04EAED"/>
    <w:rsid w:val="7B82DE92"/>
    <w:rsid w:val="7B8FA2B8"/>
    <w:rsid w:val="7B9B431B"/>
    <w:rsid w:val="7C025CB6"/>
    <w:rsid w:val="7C5892F5"/>
    <w:rsid w:val="7C7D982C"/>
    <w:rsid w:val="7CAF98E4"/>
    <w:rsid w:val="7CFEA0C2"/>
    <w:rsid w:val="7D1FBBE5"/>
    <w:rsid w:val="7E3C3877"/>
    <w:rsid w:val="7E42284B"/>
    <w:rsid w:val="7EB85879"/>
    <w:rsid w:val="7ED1F5F4"/>
    <w:rsid w:val="7EF5699B"/>
    <w:rsid w:val="7EFCC13E"/>
    <w:rsid w:val="7F4AF57E"/>
    <w:rsid w:val="7F4BF0E3"/>
    <w:rsid w:val="7F62A347"/>
    <w:rsid w:val="7FA03F71"/>
    <w:rsid w:val="7FDC0D90"/>
    <w:rsid w:val="7FF5B252"/>
    <w:rsid w:val="7FFC2779"/>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326D2"/>
  <w15:docId w15:val="{2AA6D226-6FBD-41DB-8AB7-7AA42F8E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0560"/>
    <w:pPr>
      <w:spacing w:before="120" w:after="120" w:line="312" w:lineRule="auto"/>
    </w:pPr>
    <w:rPr>
      <w:rFonts w:ascii="Arial" w:hAnsi="Arial"/>
      <w:sz w:val="24"/>
      <w:szCs w:val="20"/>
    </w:rPr>
  </w:style>
  <w:style w:type="paragraph" w:styleId="Heading1">
    <w:name w:val="heading 1"/>
    <w:next w:val="Normal"/>
    <w:link w:val="Heading1Char"/>
    <w:autoRedefine/>
    <w:uiPriority w:val="9"/>
    <w:qFormat/>
    <w:rsid w:val="00C531BF"/>
    <w:pPr>
      <w:keepNext/>
      <w:pBdr>
        <w:top w:val="single" w:sz="24" w:space="0" w:color="477CBF" w:themeColor="accent1"/>
        <w:left w:val="single" w:sz="24" w:space="0" w:color="477CBF" w:themeColor="accent1"/>
        <w:bottom w:val="single" w:sz="24" w:space="0" w:color="477CBF" w:themeColor="accent1"/>
        <w:right w:val="single" w:sz="24" w:space="0" w:color="477CBF" w:themeColor="accent1"/>
      </w:pBdr>
      <w:shd w:val="clear" w:color="auto" w:fill="477CBF" w:themeFill="accent1"/>
      <w:spacing w:before="240" w:after="240"/>
      <w:outlineLvl w:val="0"/>
    </w:pPr>
    <w:rPr>
      <w:rFonts w:ascii="Arial" w:hAnsi="Arial"/>
      <w:bCs/>
      <w:caps/>
      <w:color w:val="FFFFFF" w:themeColor="background1"/>
      <w:spacing w:val="15"/>
      <w:sz w:val="24"/>
    </w:rPr>
  </w:style>
  <w:style w:type="paragraph" w:styleId="Heading2">
    <w:name w:val="heading 2"/>
    <w:basedOn w:val="Heading1"/>
    <w:next w:val="Normal"/>
    <w:link w:val="Heading2Char"/>
    <w:uiPriority w:val="9"/>
    <w:unhideWhenUsed/>
    <w:qFormat/>
    <w:rsid w:val="00BA215C"/>
    <w:pPr>
      <w:pBdr>
        <w:top w:val="single" w:sz="24" w:space="0" w:color="DAE4F2" w:themeColor="accent1" w:themeTint="33"/>
        <w:left w:val="single" w:sz="24" w:space="0" w:color="DAE4F2" w:themeColor="accent1" w:themeTint="33"/>
        <w:bottom w:val="single" w:sz="24" w:space="0" w:color="DAE4F2" w:themeColor="accent1" w:themeTint="33"/>
        <w:right w:val="single" w:sz="24" w:space="0" w:color="DAE4F2" w:themeColor="accent1" w:themeTint="33"/>
      </w:pBdr>
      <w:shd w:val="clear" w:color="auto" w:fill="DAE4F2" w:themeFill="accent1" w:themeFillTint="33"/>
      <w:outlineLvl w:val="1"/>
    </w:pPr>
    <w:rPr>
      <w:color w:val="auto"/>
    </w:rPr>
  </w:style>
  <w:style w:type="paragraph" w:styleId="Heading3">
    <w:name w:val="heading 3"/>
    <w:basedOn w:val="Normal"/>
    <w:next w:val="Normal"/>
    <w:link w:val="Heading3Char"/>
    <w:uiPriority w:val="9"/>
    <w:unhideWhenUsed/>
    <w:qFormat/>
    <w:rsid w:val="00FF4CA6"/>
    <w:pPr>
      <w:keepNext/>
      <w:numPr>
        <w:ilvl w:val="2"/>
        <w:numId w:val="4"/>
      </w:numPr>
      <w:pBdr>
        <w:top w:val="single" w:sz="6" w:space="2" w:color="477CBF" w:themeColor="accent1"/>
        <w:left w:val="single" w:sz="6" w:space="2" w:color="477CBF" w:themeColor="accent1"/>
      </w:pBdr>
      <w:spacing w:before="240" w:after="0"/>
      <w:outlineLvl w:val="2"/>
    </w:pPr>
    <w:rPr>
      <w:caps/>
      <w:color w:val="213D60" w:themeColor="accent1" w:themeShade="7F"/>
      <w:spacing w:val="15"/>
      <w:szCs w:val="22"/>
    </w:rPr>
  </w:style>
  <w:style w:type="paragraph" w:styleId="Heading4">
    <w:name w:val="heading 4"/>
    <w:basedOn w:val="Normal"/>
    <w:next w:val="Normal"/>
    <w:link w:val="Heading4Char"/>
    <w:uiPriority w:val="9"/>
    <w:unhideWhenUsed/>
    <w:qFormat/>
    <w:rsid w:val="00530560"/>
    <w:pPr>
      <w:keepNext/>
      <w:numPr>
        <w:ilvl w:val="3"/>
        <w:numId w:val="4"/>
      </w:numPr>
      <w:pBdr>
        <w:top w:val="dotted" w:sz="6" w:space="2" w:color="477CBF" w:themeColor="accent1"/>
        <w:left w:val="dotted" w:sz="6" w:space="2" w:color="477CBF" w:themeColor="accent1"/>
      </w:pBdr>
      <w:spacing w:after="0"/>
      <w:outlineLvl w:val="3"/>
    </w:pPr>
    <w:rPr>
      <w:color w:val="325C91" w:themeColor="accent1" w:themeShade="BF"/>
      <w:spacing w:val="10"/>
      <w:szCs w:val="22"/>
    </w:rPr>
  </w:style>
  <w:style w:type="paragraph" w:styleId="Heading5">
    <w:name w:val="heading 5"/>
    <w:basedOn w:val="Normal"/>
    <w:next w:val="Normal"/>
    <w:link w:val="Heading5Char"/>
    <w:uiPriority w:val="9"/>
    <w:semiHidden/>
    <w:unhideWhenUsed/>
    <w:qFormat/>
    <w:rsid w:val="009B3D03"/>
    <w:pPr>
      <w:numPr>
        <w:ilvl w:val="4"/>
        <w:numId w:val="4"/>
      </w:numPr>
      <w:pBdr>
        <w:bottom w:val="single" w:sz="6" w:space="1" w:color="477CBF" w:themeColor="accent1"/>
      </w:pBdr>
      <w:spacing w:before="300" w:after="0"/>
      <w:outlineLvl w:val="4"/>
    </w:pPr>
    <w:rPr>
      <w:b/>
      <w:color w:val="325C91" w:themeColor="accent1" w:themeShade="BF"/>
      <w:spacing w:val="10"/>
      <w:szCs w:val="22"/>
    </w:rPr>
  </w:style>
  <w:style w:type="paragraph" w:styleId="Heading6">
    <w:name w:val="heading 6"/>
    <w:basedOn w:val="Normal"/>
    <w:next w:val="Normal"/>
    <w:link w:val="Heading6Char"/>
    <w:uiPriority w:val="9"/>
    <w:semiHidden/>
    <w:unhideWhenUsed/>
    <w:qFormat/>
    <w:rsid w:val="009B3D03"/>
    <w:pPr>
      <w:numPr>
        <w:ilvl w:val="5"/>
        <w:numId w:val="4"/>
      </w:numPr>
      <w:pBdr>
        <w:bottom w:val="dotted" w:sz="6" w:space="1" w:color="477CBF" w:themeColor="accent1"/>
      </w:pBdr>
      <w:spacing w:after="0"/>
      <w:outlineLvl w:val="5"/>
    </w:pPr>
    <w:rPr>
      <w:color w:val="325C91" w:themeColor="accent1" w:themeShade="BF"/>
      <w:spacing w:val="10"/>
      <w:szCs w:val="22"/>
    </w:rPr>
  </w:style>
  <w:style w:type="paragraph" w:styleId="Heading7">
    <w:name w:val="heading 7"/>
    <w:basedOn w:val="Normal"/>
    <w:next w:val="Normal"/>
    <w:link w:val="Heading7Char"/>
    <w:uiPriority w:val="9"/>
    <w:semiHidden/>
    <w:unhideWhenUsed/>
    <w:qFormat/>
    <w:rsid w:val="009B3D03"/>
    <w:pPr>
      <w:numPr>
        <w:ilvl w:val="6"/>
        <w:numId w:val="4"/>
      </w:numPr>
      <w:spacing w:after="0"/>
      <w:outlineLvl w:val="6"/>
    </w:pPr>
    <w:rPr>
      <w:b/>
      <w:color w:val="325C91" w:themeColor="accent1" w:themeShade="BF"/>
      <w:spacing w:val="10"/>
      <w:szCs w:val="22"/>
    </w:rPr>
  </w:style>
  <w:style w:type="paragraph" w:styleId="Heading8">
    <w:name w:val="heading 8"/>
    <w:basedOn w:val="Normal"/>
    <w:next w:val="Normal"/>
    <w:link w:val="Heading8Char"/>
    <w:uiPriority w:val="9"/>
    <w:semiHidden/>
    <w:unhideWhenUsed/>
    <w:qFormat/>
    <w:rsid w:val="009B3D03"/>
    <w:pPr>
      <w:numPr>
        <w:ilvl w:val="7"/>
        <w:numId w:val="4"/>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B3D03"/>
    <w:pPr>
      <w:numPr>
        <w:ilvl w:val="8"/>
        <w:numId w:val="2"/>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59C3"/>
    <w:rPr>
      <w:rFonts w:ascii="Arial" w:hAnsi="Arial"/>
      <w:bCs/>
      <w:caps/>
      <w:spacing w:val="15"/>
      <w:sz w:val="24"/>
      <w:shd w:val="clear" w:color="auto" w:fill="DAE4F2" w:themeFill="accent1" w:themeFillTint="33"/>
    </w:rPr>
  </w:style>
  <w:style w:type="paragraph" w:styleId="TOC1">
    <w:name w:val="toc 1"/>
    <w:basedOn w:val="Normal"/>
    <w:next w:val="Normal"/>
    <w:autoRedefine/>
    <w:uiPriority w:val="39"/>
    <w:rsid w:val="006955E1"/>
    <w:rPr>
      <w:b/>
    </w:rPr>
  </w:style>
  <w:style w:type="paragraph" w:styleId="TOC2">
    <w:name w:val="toc 2"/>
    <w:basedOn w:val="Normal"/>
    <w:next w:val="Normal"/>
    <w:autoRedefine/>
    <w:uiPriority w:val="39"/>
    <w:rsid w:val="006955E1"/>
    <w:pPr>
      <w:ind w:left="284"/>
      <w:contextualSpacing/>
    </w:pPr>
  </w:style>
  <w:style w:type="paragraph" w:styleId="TOC3">
    <w:name w:val="toc 3"/>
    <w:basedOn w:val="Normal"/>
    <w:next w:val="Normal"/>
    <w:autoRedefine/>
    <w:uiPriority w:val="39"/>
    <w:rsid w:val="00F92C87"/>
    <w:pPr>
      <w:ind w:left="480"/>
    </w:pPr>
  </w:style>
  <w:style w:type="character" w:styleId="Hyperlink">
    <w:name w:val="Hyperlink"/>
    <w:uiPriority w:val="99"/>
    <w:rsid w:val="00F92C87"/>
    <w:rPr>
      <w:color w:val="0000FF"/>
      <w:u w:val="single"/>
    </w:rPr>
  </w:style>
  <w:style w:type="paragraph" w:styleId="FootnoteText">
    <w:name w:val="footnote text"/>
    <w:basedOn w:val="Normal"/>
    <w:link w:val="FootnoteTextChar"/>
    <w:semiHidden/>
    <w:rsid w:val="0015328B"/>
    <w:rPr>
      <w:sz w:val="20"/>
    </w:rPr>
  </w:style>
  <w:style w:type="character" w:styleId="FootnoteReference">
    <w:name w:val="footnote reference"/>
    <w:uiPriority w:val="99"/>
    <w:rsid w:val="0015328B"/>
    <w:rPr>
      <w:vertAlign w:val="superscript"/>
    </w:rPr>
  </w:style>
  <w:style w:type="paragraph" w:styleId="Header">
    <w:name w:val="header"/>
    <w:basedOn w:val="Normal"/>
    <w:link w:val="HeaderChar"/>
    <w:rsid w:val="00651327"/>
    <w:pPr>
      <w:tabs>
        <w:tab w:val="center" w:pos="4153"/>
        <w:tab w:val="right" w:pos="8306"/>
      </w:tabs>
    </w:pPr>
  </w:style>
  <w:style w:type="paragraph" w:styleId="Footer">
    <w:name w:val="footer"/>
    <w:basedOn w:val="Normal"/>
    <w:link w:val="FooterChar"/>
    <w:uiPriority w:val="99"/>
    <w:rsid w:val="00651327"/>
    <w:pPr>
      <w:tabs>
        <w:tab w:val="center" w:pos="4153"/>
        <w:tab w:val="right" w:pos="8306"/>
      </w:tabs>
    </w:pPr>
  </w:style>
  <w:style w:type="paragraph" w:styleId="EndnoteText">
    <w:name w:val="endnote text"/>
    <w:basedOn w:val="Normal"/>
    <w:link w:val="EndnoteTextChar"/>
    <w:semiHidden/>
    <w:rsid w:val="00942C9E"/>
    <w:rPr>
      <w:rFonts w:ascii="Times New Roman" w:hAnsi="Times New Roman"/>
      <w:sz w:val="20"/>
      <w:lang w:eastAsia="en-US"/>
    </w:rPr>
  </w:style>
  <w:style w:type="character" w:styleId="EndnoteReference">
    <w:name w:val="endnote reference"/>
    <w:semiHidden/>
    <w:rsid w:val="00942C9E"/>
    <w:rPr>
      <w:vertAlign w:val="superscript"/>
    </w:rPr>
  </w:style>
  <w:style w:type="table" w:styleId="TableGrid">
    <w:name w:val="Table Grid"/>
    <w:basedOn w:val="TableNormal"/>
    <w:rsid w:val="00E176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25998"/>
    <w:rPr>
      <w:color w:val="800080"/>
      <w:u w:val="single"/>
    </w:rPr>
  </w:style>
  <w:style w:type="paragraph" w:styleId="TOC4">
    <w:name w:val="toc 4"/>
    <w:basedOn w:val="Normal"/>
    <w:next w:val="Normal"/>
    <w:autoRedefine/>
    <w:uiPriority w:val="39"/>
    <w:rsid w:val="004702BC"/>
    <w:pPr>
      <w:ind w:left="720"/>
    </w:pPr>
    <w:rPr>
      <w:rFonts w:ascii="Times New Roman" w:hAnsi="Times New Roman"/>
    </w:rPr>
  </w:style>
  <w:style w:type="paragraph" w:styleId="TOC5">
    <w:name w:val="toc 5"/>
    <w:basedOn w:val="Normal"/>
    <w:next w:val="Normal"/>
    <w:autoRedefine/>
    <w:uiPriority w:val="39"/>
    <w:rsid w:val="004702BC"/>
    <w:pPr>
      <w:ind w:left="960"/>
    </w:pPr>
    <w:rPr>
      <w:rFonts w:ascii="Times New Roman" w:hAnsi="Times New Roman"/>
    </w:rPr>
  </w:style>
  <w:style w:type="paragraph" w:styleId="TOC6">
    <w:name w:val="toc 6"/>
    <w:basedOn w:val="Normal"/>
    <w:next w:val="Normal"/>
    <w:autoRedefine/>
    <w:uiPriority w:val="39"/>
    <w:rsid w:val="004702BC"/>
    <w:pPr>
      <w:ind w:left="1200"/>
    </w:pPr>
    <w:rPr>
      <w:rFonts w:ascii="Times New Roman" w:hAnsi="Times New Roman"/>
    </w:rPr>
  </w:style>
  <w:style w:type="paragraph" w:styleId="TOC7">
    <w:name w:val="toc 7"/>
    <w:basedOn w:val="Normal"/>
    <w:next w:val="Normal"/>
    <w:autoRedefine/>
    <w:uiPriority w:val="39"/>
    <w:rsid w:val="004702BC"/>
    <w:pPr>
      <w:ind w:left="1440"/>
    </w:pPr>
    <w:rPr>
      <w:rFonts w:ascii="Times New Roman" w:hAnsi="Times New Roman"/>
    </w:rPr>
  </w:style>
  <w:style w:type="paragraph" w:styleId="TOC8">
    <w:name w:val="toc 8"/>
    <w:basedOn w:val="Normal"/>
    <w:next w:val="Normal"/>
    <w:autoRedefine/>
    <w:uiPriority w:val="39"/>
    <w:rsid w:val="004702BC"/>
    <w:pPr>
      <w:ind w:left="1680"/>
    </w:pPr>
    <w:rPr>
      <w:rFonts w:ascii="Times New Roman" w:hAnsi="Times New Roman"/>
    </w:rPr>
  </w:style>
  <w:style w:type="paragraph" w:styleId="TOC9">
    <w:name w:val="toc 9"/>
    <w:basedOn w:val="Normal"/>
    <w:next w:val="Normal"/>
    <w:autoRedefine/>
    <w:uiPriority w:val="39"/>
    <w:rsid w:val="004702BC"/>
    <w:pPr>
      <w:ind w:left="1920"/>
    </w:pPr>
    <w:rPr>
      <w:rFonts w:ascii="Times New Roman" w:hAnsi="Times New Roman"/>
    </w:rPr>
  </w:style>
  <w:style w:type="paragraph" w:customStyle="1" w:styleId="Tablerowtotal">
    <w:name w:val="Table row total"/>
    <w:basedOn w:val="Tablerownames"/>
    <w:next w:val="Normal"/>
    <w:rsid w:val="00FD556C"/>
    <w:pPr>
      <w:numPr>
        <w:numId w:val="3"/>
      </w:numPr>
    </w:pPr>
    <w:rPr>
      <w:b/>
      <w:bCs/>
    </w:rPr>
  </w:style>
  <w:style w:type="paragraph" w:customStyle="1" w:styleId="Contents">
    <w:name w:val="Contents"/>
    <w:basedOn w:val="TOCHeading"/>
    <w:next w:val="Normal"/>
    <w:rsid w:val="00D46705"/>
    <w:rPr>
      <w:rFonts w:ascii="Calibri" w:hAnsi="Calibri"/>
      <w:color w:val="auto"/>
    </w:rPr>
  </w:style>
  <w:style w:type="paragraph" w:styleId="TOCHeading">
    <w:name w:val="TOC Heading"/>
    <w:basedOn w:val="Heading1"/>
    <w:next w:val="Normal"/>
    <w:uiPriority w:val="39"/>
    <w:unhideWhenUsed/>
    <w:qFormat/>
    <w:rsid w:val="009B3D03"/>
    <w:pPr>
      <w:outlineLvl w:val="9"/>
    </w:pPr>
    <w:rPr>
      <w:lang w:bidi="en-US"/>
    </w:rPr>
  </w:style>
  <w:style w:type="character" w:customStyle="1" w:styleId="FooterChar">
    <w:name w:val="Footer Char"/>
    <w:basedOn w:val="DefaultParagraphFont"/>
    <w:link w:val="Footer"/>
    <w:uiPriority w:val="99"/>
    <w:rsid w:val="005B5F82"/>
    <w:rPr>
      <w:rFonts w:ascii="Arial" w:hAnsi="Arial"/>
      <w:sz w:val="24"/>
      <w:szCs w:val="20"/>
    </w:rPr>
  </w:style>
  <w:style w:type="paragraph" w:customStyle="1" w:styleId="Numberedbullets">
    <w:name w:val="Numbered bullets"/>
    <w:basedOn w:val="Normal"/>
    <w:next w:val="Normal"/>
    <w:rsid w:val="007249A3"/>
    <w:pPr>
      <w:tabs>
        <w:tab w:val="num" w:pos="720"/>
      </w:tabs>
      <w:ind w:left="720" w:hanging="360"/>
    </w:pPr>
    <w:rPr>
      <w:szCs w:val="22"/>
      <w:lang w:val="en-US" w:eastAsia="en-US"/>
    </w:rPr>
  </w:style>
  <w:style w:type="table" w:styleId="TableList4">
    <w:name w:val="Table List 4"/>
    <w:basedOn w:val="TableNormal"/>
    <w:rsid w:val="007249A3"/>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Bulleted">
    <w:name w:val="Bulleted"/>
    <w:basedOn w:val="NoList"/>
    <w:rsid w:val="007249A3"/>
    <w:pPr>
      <w:numPr>
        <w:numId w:val="69"/>
      </w:numPr>
    </w:pPr>
  </w:style>
  <w:style w:type="character" w:customStyle="1" w:styleId="Casestudybolditalic">
    <w:name w:val="Case study bold italic"/>
    <w:basedOn w:val="DefaultParagraphFont"/>
    <w:rsid w:val="007249A3"/>
    <w:rPr>
      <w:b/>
      <w:bCs/>
      <w:i/>
      <w:iCs/>
    </w:rPr>
  </w:style>
  <w:style w:type="character" w:customStyle="1" w:styleId="FootnoteTextChar">
    <w:name w:val="Footnote Text Char"/>
    <w:basedOn w:val="DefaultParagraphFont"/>
    <w:link w:val="FootnoteText"/>
    <w:semiHidden/>
    <w:locked/>
    <w:rsid w:val="007249A3"/>
    <w:rPr>
      <w:rFonts w:ascii="Arial" w:hAnsi="Arial"/>
      <w:sz w:val="20"/>
      <w:szCs w:val="20"/>
    </w:rPr>
  </w:style>
  <w:style w:type="paragraph" w:customStyle="1" w:styleId="QuotationIndent">
    <w:name w:val="Quotation Indent"/>
    <w:basedOn w:val="Normal"/>
    <w:next w:val="Normal"/>
    <w:rsid w:val="007249A3"/>
    <w:pPr>
      <w:ind w:left="720"/>
    </w:pPr>
    <w:rPr>
      <w:rFonts w:eastAsia="Calibri" w:cs="Arial"/>
      <w:szCs w:val="22"/>
      <w:lang w:eastAsia="en-US"/>
    </w:rPr>
  </w:style>
  <w:style w:type="character" w:customStyle="1" w:styleId="CasestudyItalic">
    <w:name w:val="Case study Italic"/>
    <w:basedOn w:val="DefaultParagraphFont"/>
    <w:rsid w:val="007249A3"/>
    <w:rPr>
      <w:i/>
      <w:iCs/>
    </w:rPr>
  </w:style>
  <w:style w:type="paragraph" w:customStyle="1" w:styleId="Bullets">
    <w:name w:val="Bullets"/>
    <w:basedOn w:val="Normal"/>
    <w:next w:val="Normal"/>
    <w:qFormat/>
    <w:rsid w:val="00E1641E"/>
    <w:pPr>
      <w:contextualSpacing/>
    </w:pPr>
    <w:rPr>
      <w:szCs w:val="22"/>
      <w:lang w:val="en-US" w:eastAsia="en-US"/>
    </w:rPr>
  </w:style>
  <w:style w:type="paragraph" w:customStyle="1" w:styleId="Tableheadings">
    <w:name w:val="Table headings"/>
    <w:basedOn w:val="Normal"/>
    <w:next w:val="Normal"/>
    <w:rsid w:val="007249A3"/>
    <w:rPr>
      <w:bCs/>
      <w:color w:val="FFFFFF"/>
      <w:szCs w:val="22"/>
      <w:lang w:val="en-US" w:eastAsia="en-US"/>
    </w:rPr>
  </w:style>
  <w:style w:type="paragraph" w:customStyle="1" w:styleId="Sourcereference">
    <w:name w:val="Source reference"/>
    <w:basedOn w:val="Normal"/>
    <w:next w:val="Normal"/>
    <w:rsid w:val="007249A3"/>
    <w:rPr>
      <w:sz w:val="18"/>
      <w:szCs w:val="22"/>
      <w:lang w:val="en-US" w:eastAsia="en-US"/>
    </w:rPr>
  </w:style>
  <w:style w:type="paragraph" w:customStyle="1" w:styleId="Interviewquotations">
    <w:name w:val="Interview quotations"/>
    <w:basedOn w:val="Normal"/>
    <w:next w:val="Normal"/>
    <w:rsid w:val="00901C16"/>
    <w:rPr>
      <w:rFonts w:ascii="Comic Sans MS" w:hAnsi="Comic Sans MS"/>
      <w:i/>
      <w:iCs/>
      <w:sz w:val="20"/>
      <w:szCs w:val="22"/>
      <w:lang w:val="en-US" w:eastAsia="en-US"/>
    </w:rPr>
  </w:style>
  <w:style w:type="paragraph" w:styleId="ListParagraph">
    <w:name w:val="List Paragraph"/>
    <w:basedOn w:val="Normal"/>
    <w:uiPriority w:val="34"/>
    <w:qFormat/>
    <w:rsid w:val="002408D2"/>
    <w:pPr>
      <w:spacing w:after="200"/>
      <w:ind w:left="284"/>
      <w:contextualSpacing/>
    </w:pPr>
    <w:rPr>
      <w:rFonts w:eastAsia="Calibri"/>
      <w:szCs w:val="22"/>
      <w:lang w:eastAsia="en-US"/>
    </w:rPr>
  </w:style>
  <w:style w:type="paragraph" w:styleId="Quote">
    <w:name w:val="Quote"/>
    <w:basedOn w:val="Normal"/>
    <w:next w:val="Normal"/>
    <w:link w:val="QuoteChar"/>
    <w:uiPriority w:val="29"/>
    <w:rsid w:val="008161E9"/>
    <w:rPr>
      <w:i/>
      <w:iCs/>
      <w:color w:val="000000"/>
      <w:szCs w:val="22"/>
      <w:lang w:val="x-none" w:eastAsia="en-US"/>
    </w:rPr>
  </w:style>
  <w:style w:type="character" w:customStyle="1" w:styleId="QuoteChar">
    <w:name w:val="Quote Char"/>
    <w:basedOn w:val="DefaultParagraphFont"/>
    <w:link w:val="Quote"/>
    <w:uiPriority w:val="29"/>
    <w:rsid w:val="008161E9"/>
    <w:rPr>
      <w:rFonts w:ascii="Arial" w:hAnsi="Arial"/>
      <w:i/>
      <w:iCs/>
      <w:color w:val="000000"/>
      <w:sz w:val="24"/>
      <w:lang w:val="x-none" w:eastAsia="en-US"/>
    </w:rPr>
  </w:style>
  <w:style w:type="character" w:customStyle="1" w:styleId="Heading3Char">
    <w:name w:val="Heading 3 Char"/>
    <w:basedOn w:val="DefaultParagraphFont"/>
    <w:link w:val="Heading3"/>
    <w:uiPriority w:val="9"/>
    <w:rsid w:val="00FF4CA6"/>
    <w:rPr>
      <w:rFonts w:ascii="Arial" w:hAnsi="Arial"/>
      <w:caps/>
      <w:color w:val="213D60" w:themeColor="accent1" w:themeShade="7F"/>
      <w:spacing w:val="15"/>
      <w:sz w:val="24"/>
    </w:rPr>
  </w:style>
  <w:style w:type="paragraph" w:customStyle="1" w:styleId="Tablerownames">
    <w:name w:val="Table row names"/>
    <w:basedOn w:val="Normal"/>
    <w:next w:val="Normal"/>
    <w:rsid w:val="00FD556C"/>
  </w:style>
  <w:style w:type="paragraph" w:customStyle="1" w:styleId="Tableentries">
    <w:name w:val="Table entries"/>
    <w:basedOn w:val="Normal"/>
    <w:next w:val="Normal"/>
    <w:rsid w:val="00FD556C"/>
  </w:style>
  <w:style w:type="paragraph" w:styleId="BalloonText">
    <w:name w:val="Balloon Text"/>
    <w:basedOn w:val="Normal"/>
    <w:link w:val="BalloonTextChar"/>
    <w:rsid w:val="00D46705"/>
    <w:rPr>
      <w:rFonts w:ascii="Tahoma" w:hAnsi="Tahoma" w:cs="Tahoma"/>
      <w:sz w:val="16"/>
      <w:szCs w:val="16"/>
    </w:rPr>
  </w:style>
  <w:style w:type="character" w:customStyle="1" w:styleId="BalloonTextChar">
    <w:name w:val="Balloon Text Char"/>
    <w:basedOn w:val="DefaultParagraphFont"/>
    <w:link w:val="BalloonText"/>
    <w:rsid w:val="00D46705"/>
    <w:rPr>
      <w:rFonts w:ascii="Tahoma" w:hAnsi="Tahoma" w:cs="Tahoma"/>
      <w:sz w:val="16"/>
      <w:szCs w:val="16"/>
    </w:rPr>
  </w:style>
  <w:style w:type="paragraph" w:styleId="NormalWeb">
    <w:name w:val="Normal (Web)"/>
    <w:basedOn w:val="Normal"/>
    <w:uiPriority w:val="99"/>
    <w:unhideWhenUsed/>
    <w:rsid w:val="0075430E"/>
    <w:pPr>
      <w:spacing w:before="100" w:beforeAutospacing="1" w:after="100" w:afterAutospacing="1"/>
    </w:pPr>
    <w:rPr>
      <w:rFonts w:ascii="Times New Roman" w:hAnsi="Times New Roman"/>
    </w:rPr>
  </w:style>
  <w:style w:type="paragraph" w:styleId="NoSpacing">
    <w:name w:val="No Spacing"/>
    <w:uiPriority w:val="1"/>
    <w:qFormat/>
    <w:rsid w:val="00F55BD0"/>
    <w:rPr>
      <w:rFonts w:ascii="Arial" w:eastAsiaTheme="minorHAnsi" w:hAnsi="Arial" w:cs="Arial"/>
      <w:sz w:val="24"/>
      <w:szCs w:val="24"/>
      <w:lang w:eastAsia="en-US"/>
    </w:rPr>
  </w:style>
  <w:style w:type="character" w:styleId="CommentReference">
    <w:name w:val="annotation reference"/>
    <w:basedOn w:val="DefaultParagraphFont"/>
    <w:uiPriority w:val="99"/>
    <w:rsid w:val="00FA6D42"/>
    <w:rPr>
      <w:sz w:val="16"/>
      <w:szCs w:val="16"/>
    </w:rPr>
  </w:style>
  <w:style w:type="paragraph" w:styleId="CommentText">
    <w:name w:val="annotation text"/>
    <w:basedOn w:val="Normal"/>
    <w:link w:val="CommentTextChar"/>
    <w:uiPriority w:val="99"/>
    <w:rsid w:val="00FA6D42"/>
    <w:rPr>
      <w:sz w:val="20"/>
    </w:rPr>
  </w:style>
  <w:style w:type="character" w:customStyle="1" w:styleId="CommentTextChar">
    <w:name w:val="Comment Text Char"/>
    <w:basedOn w:val="DefaultParagraphFont"/>
    <w:link w:val="CommentText"/>
    <w:uiPriority w:val="99"/>
    <w:rsid w:val="00FA6D42"/>
    <w:rPr>
      <w:rFonts w:ascii="Arial" w:hAnsi="Arial"/>
      <w:sz w:val="20"/>
      <w:szCs w:val="20"/>
    </w:rPr>
  </w:style>
  <w:style w:type="paragraph" w:styleId="CommentSubject">
    <w:name w:val="annotation subject"/>
    <w:basedOn w:val="CommentText"/>
    <w:next w:val="CommentText"/>
    <w:link w:val="CommentSubjectChar"/>
    <w:rsid w:val="00FA6D42"/>
    <w:rPr>
      <w:b/>
      <w:bCs/>
    </w:rPr>
  </w:style>
  <w:style w:type="character" w:customStyle="1" w:styleId="CommentSubjectChar">
    <w:name w:val="Comment Subject Char"/>
    <w:basedOn w:val="CommentTextChar"/>
    <w:link w:val="CommentSubject"/>
    <w:rsid w:val="00FA6D42"/>
    <w:rPr>
      <w:rFonts w:ascii="Arial" w:hAnsi="Arial"/>
      <w:b/>
      <w:bCs/>
      <w:sz w:val="20"/>
      <w:szCs w:val="20"/>
    </w:rPr>
  </w:style>
  <w:style w:type="paragraph" w:styleId="Revision">
    <w:name w:val="Revision"/>
    <w:hidden/>
    <w:uiPriority w:val="99"/>
    <w:semiHidden/>
    <w:rsid w:val="00C51E90"/>
    <w:rPr>
      <w:rFonts w:ascii="Calibri" w:hAnsi="Calibri"/>
      <w:szCs w:val="24"/>
    </w:rPr>
  </w:style>
  <w:style w:type="character" w:customStyle="1" w:styleId="apple-converted-space">
    <w:name w:val="apple-converted-space"/>
    <w:basedOn w:val="DefaultParagraphFont"/>
    <w:rsid w:val="00A923AE"/>
  </w:style>
  <w:style w:type="character" w:customStyle="1" w:styleId="Heading1Char">
    <w:name w:val="Heading 1 Char"/>
    <w:basedOn w:val="DefaultParagraphFont"/>
    <w:link w:val="Heading1"/>
    <w:uiPriority w:val="9"/>
    <w:rsid w:val="00C531BF"/>
    <w:rPr>
      <w:rFonts w:ascii="Arial" w:hAnsi="Arial"/>
      <w:bCs/>
      <w:caps/>
      <w:color w:val="FFFFFF" w:themeColor="background1"/>
      <w:spacing w:val="15"/>
      <w:sz w:val="24"/>
      <w:shd w:val="clear" w:color="auto" w:fill="477CBF" w:themeFill="accent1"/>
    </w:rPr>
  </w:style>
  <w:style w:type="character" w:customStyle="1" w:styleId="Heading4Char">
    <w:name w:val="Heading 4 Char"/>
    <w:basedOn w:val="DefaultParagraphFont"/>
    <w:link w:val="Heading4"/>
    <w:uiPriority w:val="9"/>
    <w:rsid w:val="00530560"/>
    <w:rPr>
      <w:rFonts w:ascii="Arial" w:hAnsi="Arial"/>
      <w:color w:val="325C91" w:themeColor="accent1" w:themeShade="BF"/>
      <w:spacing w:val="10"/>
      <w:sz w:val="24"/>
    </w:rPr>
  </w:style>
  <w:style w:type="character" w:customStyle="1" w:styleId="Heading5Char">
    <w:name w:val="Heading 5 Char"/>
    <w:basedOn w:val="DefaultParagraphFont"/>
    <w:link w:val="Heading5"/>
    <w:uiPriority w:val="9"/>
    <w:semiHidden/>
    <w:rsid w:val="009B3D03"/>
    <w:rPr>
      <w:rFonts w:ascii="Arial" w:hAnsi="Arial"/>
      <w:b/>
      <w:color w:val="325C91" w:themeColor="accent1" w:themeShade="BF"/>
      <w:spacing w:val="10"/>
      <w:sz w:val="24"/>
    </w:rPr>
  </w:style>
  <w:style w:type="character" w:customStyle="1" w:styleId="Heading6Char">
    <w:name w:val="Heading 6 Char"/>
    <w:basedOn w:val="DefaultParagraphFont"/>
    <w:link w:val="Heading6"/>
    <w:uiPriority w:val="9"/>
    <w:semiHidden/>
    <w:rsid w:val="009B3D03"/>
    <w:rPr>
      <w:rFonts w:ascii="Arial" w:hAnsi="Arial"/>
      <w:color w:val="325C91" w:themeColor="accent1" w:themeShade="BF"/>
      <w:spacing w:val="10"/>
      <w:sz w:val="24"/>
    </w:rPr>
  </w:style>
  <w:style w:type="character" w:customStyle="1" w:styleId="Heading7Char">
    <w:name w:val="Heading 7 Char"/>
    <w:basedOn w:val="DefaultParagraphFont"/>
    <w:link w:val="Heading7"/>
    <w:uiPriority w:val="9"/>
    <w:semiHidden/>
    <w:rsid w:val="009B3D03"/>
    <w:rPr>
      <w:rFonts w:ascii="Arial" w:hAnsi="Arial"/>
      <w:b/>
      <w:color w:val="325C91" w:themeColor="accent1" w:themeShade="BF"/>
      <w:spacing w:val="10"/>
      <w:sz w:val="24"/>
    </w:rPr>
  </w:style>
  <w:style w:type="character" w:customStyle="1" w:styleId="Heading8Char">
    <w:name w:val="Heading 8 Char"/>
    <w:basedOn w:val="DefaultParagraphFont"/>
    <w:link w:val="Heading8"/>
    <w:uiPriority w:val="9"/>
    <w:semiHidden/>
    <w:rsid w:val="009B3D03"/>
    <w:rPr>
      <w:rFonts w:ascii="Arial" w:hAnsi="Arial"/>
      <w:caps/>
      <w:spacing w:val="10"/>
      <w:sz w:val="18"/>
      <w:szCs w:val="18"/>
    </w:rPr>
  </w:style>
  <w:style w:type="character" w:customStyle="1" w:styleId="Heading9Char">
    <w:name w:val="Heading 9 Char"/>
    <w:basedOn w:val="DefaultParagraphFont"/>
    <w:link w:val="Heading9"/>
    <w:uiPriority w:val="9"/>
    <w:semiHidden/>
    <w:rsid w:val="009B3D03"/>
    <w:rPr>
      <w:rFonts w:ascii="Arial" w:hAnsi="Arial"/>
      <w:i/>
      <w:caps/>
      <w:spacing w:val="10"/>
      <w:sz w:val="18"/>
      <w:szCs w:val="18"/>
    </w:rPr>
  </w:style>
  <w:style w:type="paragraph" w:styleId="Caption">
    <w:name w:val="caption"/>
    <w:basedOn w:val="Normal"/>
    <w:next w:val="Normal"/>
    <w:uiPriority w:val="35"/>
    <w:unhideWhenUsed/>
    <w:qFormat/>
    <w:rsid w:val="009B3D03"/>
    <w:rPr>
      <w:b/>
      <w:bCs/>
      <w:color w:val="325C91" w:themeColor="accent1" w:themeShade="BF"/>
      <w:sz w:val="16"/>
      <w:szCs w:val="16"/>
    </w:rPr>
  </w:style>
  <w:style w:type="paragraph" w:styleId="Title">
    <w:name w:val="Title"/>
    <w:basedOn w:val="Normal"/>
    <w:next w:val="Normal"/>
    <w:link w:val="TitleChar"/>
    <w:uiPriority w:val="10"/>
    <w:qFormat/>
    <w:rsid w:val="009B3D03"/>
    <w:pPr>
      <w:tabs>
        <w:tab w:val="num" w:pos="284"/>
      </w:tabs>
      <w:spacing w:before="720"/>
    </w:pPr>
    <w:rPr>
      <w:rFonts w:asciiTheme="minorHAnsi" w:hAnsiTheme="minorHAnsi"/>
      <w:caps/>
      <w:color w:val="477CBF" w:themeColor="accent1"/>
      <w:spacing w:val="10"/>
      <w:kern w:val="28"/>
      <w:sz w:val="52"/>
      <w:szCs w:val="52"/>
    </w:rPr>
  </w:style>
  <w:style w:type="character" w:customStyle="1" w:styleId="TitleChar">
    <w:name w:val="Title Char"/>
    <w:basedOn w:val="DefaultParagraphFont"/>
    <w:link w:val="Title"/>
    <w:uiPriority w:val="10"/>
    <w:rsid w:val="009B3D03"/>
    <w:rPr>
      <w:caps/>
      <w:color w:val="477CBF" w:themeColor="accent1"/>
      <w:spacing w:val="10"/>
      <w:kern w:val="28"/>
      <w:sz w:val="52"/>
      <w:szCs w:val="52"/>
    </w:rPr>
  </w:style>
  <w:style w:type="paragraph" w:customStyle="1" w:styleId="TableText">
    <w:name w:val="Table Text"/>
    <w:basedOn w:val="NoSpacing"/>
    <w:link w:val="TableTextChar"/>
    <w:qFormat/>
    <w:rsid w:val="00A846BE"/>
    <w:pPr>
      <w:spacing w:before="0" w:after="0" w:line="240" w:lineRule="auto"/>
    </w:pPr>
    <w:rPr>
      <w:rFonts w:eastAsia="Calibri" w:cs="Times New Roman"/>
      <w:szCs w:val="22"/>
      <w:lang w:eastAsia="en-GB"/>
    </w:rPr>
  </w:style>
  <w:style w:type="character" w:customStyle="1" w:styleId="TableTextChar">
    <w:name w:val="Table Text Char"/>
    <w:basedOn w:val="DefaultParagraphFont"/>
    <w:link w:val="TableText"/>
    <w:rsid w:val="00A846BE"/>
    <w:rPr>
      <w:rFonts w:ascii="Arial" w:eastAsia="Calibri" w:hAnsi="Arial" w:cs="Times New Roman"/>
      <w:sz w:val="24"/>
    </w:rPr>
  </w:style>
  <w:style w:type="paragraph" w:customStyle="1" w:styleId="DeveloperControl">
    <w:name w:val="Developer Control"/>
    <w:basedOn w:val="TableText"/>
    <w:link w:val="DeveloperControlChar"/>
    <w:qFormat/>
    <w:rsid w:val="00400B7D"/>
    <w:rPr>
      <w:i/>
      <w:color w:val="7F7F7F" w:themeColor="text1" w:themeTint="80"/>
    </w:rPr>
  </w:style>
  <w:style w:type="character" w:customStyle="1" w:styleId="DeveloperControlChar">
    <w:name w:val="Developer Control Char"/>
    <w:basedOn w:val="TableTextChar"/>
    <w:link w:val="DeveloperControl"/>
    <w:rsid w:val="00400B7D"/>
    <w:rPr>
      <w:rFonts w:ascii="Arial" w:eastAsia="Calibri" w:hAnsi="Arial" w:cs="Times New Roman"/>
      <w:i/>
      <w:color w:val="7F7F7F" w:themeColor="text1" w:themeTint="80"/>
      <w:sz w:val="24"/>
    </w:rPr>
  </w:style>
  <w:style w:type="paragraph" w:customStyle="1" w:styleId="Notes">
    <w:name w:val="Notes"/>
    <w:basedOn w:val="Normal"/>
    <w:link w:val="NotesChar"/>
    <w:qFormat/>
    <w:rsid w:val="00400B7D"/>
    <w:pPr>
      <w:spacing w:before="0" w:after="0" w:line="240" w:lineRule="auto"/>
    </w:pPr>
    <w:rPr>
      <w:rFonts w:eastAsia="Calibri" w:cs="Times New Roman"/>
      <w:i/>
      <w:sz w:val="16"/>
      <w:szCs w:val="16"/>
      <w:lang w:eastAsia="en-US"/>
    </w:rPr>
  </w:style>
  <w:style w:type="character" w:customStyle="1" w:styleId="NotesChar">
    <w:name w:val="Notes Char"/>
    <w:basedOn w:val="DefaultParagraphFont"/>
    <w:link w:val="Notes"/>
    <w:rsid w:val="00400B7D"/>
    <w:rPr>
      <w:rFonts w:ascii="Arial" w:eastAsia="Calibri" w:hAnsi="Arial" w:cs="Times New Roman"/>
      <w:i/>
      <w:sz w:val="16"/>
      <w:szCs w:val="16"/>
      <w:lang w:eastAsia="en-US"/>
    </w:rPr>
  </w:style>
  <w:style w:type="paragraph" w:customStyle="1" w:styleId="Footnotes">
    <w:name w:val="Footnotes"/>
    <w:basedOn w:val="Normal"/>
    <w:link w:val="FootnotesChar"/>
    <w:qFormat/>
    <w:rsid w:val="00A846BE"/>
    <w:pPr>
      <w:spacing w:before="0" w:after="0" w:line="276" w:lineRule="auto"/>
      <w:contextualSpacing/>
    </w:pPr>
    <w:rPr>
      <w:sz w:val="16"/>
    </w:rPr>
  </w:style>
  <w:style w:type="paragraph" w:customStyle="1" w:styleId="TableHeading">
    <w:name w:val="Table Heading"/>
    <w:basedOn w:val="TableText"/>
    <w:link w:val="TableHeadingChar"/>
    <w:qFormat/>
    <w:rsid w:val="001C2616"/>
    <w:pPr>
      <w:jc w:val="right"/>
    </w:pPr>
  </w:style>
  <w:style w:type="character" w:customStyle="1" w:styleId="FootnotesChar">
    <w:name w:val="Footnotes Char"/>
    <w:basedOn w:val="DefaultParagraphFont"/>
    <w:link w:val="Footnotes"/>
    <w:rsid w:val="00A846BE"/>
    <w:rPr>
      <w:rFonts w:ascii="Arial" w:hAnsi="Arial"/>
      <w:sz w:val="16"/>
      <w:szCs w:val="20"/>
    </w:rPr>
  </w:style>
  <w:style w:type="paragraph" w:customStyle="1" w:styleId="DataSource">
    <w:name w:val="Data Source"/>
    <w:basedOn w:val="Normal"/>
    <w:link w:val="DataSourceChar"/>
    <w:qFormat/>
    <w:rsid w:val="007B10D9"/>
    <w:pPr>
      <w:spacing w:after="240" w:line="240" w:lineRule="auto"/>
    </w:pPr>
    <w:rPr>
      <w:i/>
      <w:sz w:val="20"/>
    </w:rPr>
  </w:style>
  <w:style w:type="character" w:customStyle="1" w:styleId="TableHeadingChar">
    <w:name w:val="Table Heading Char"/>
    <w:basedOn w:val="TableTextChar"/>
    <w:link w:val="TableHeading"/>
    <w:rsid w:val="001C2616"/>
    <w:rPr>
      <w:rFonts w:ascii="Arial" w:eastAsia="Calibri" w:hAnsi="Arial" w:cs="Times New Roman"/>
      <w:sz w:val="24"/>
    </w:rPr>
  </w:style>
  <w:style w:type="paragraph" w:customStyle="1" w:styleId="ChartsTables">
    <w:name w:val="Charts &amp; Tables"/>
    <w:basedOn w:val="Normal"/>
    <w:link w:val="ChartsTablesChar"/>
    <w:qFormat/>
    <w:rsid w:val="005F0835"/>
    <w:pPr>
      <w:keepNext/>
      <w:spacing w:before="0" w:after="0" w:line="240" w:lineRule="auto"/>
    </w:pPr>
  </w:style>
  <w:style w:type="character" w:customStyle="1" w:styleId="DataSourceChar">
    <w:name w:val="Data Source Char"/>
    <w:basedOn w:val="DefaultParagraphFont"/>
    <w:link w:val="DataSource"/>
    <w:rsid w:val="007B10D9"/>
    <w:rPr>
      <w:rFonts w:ascii="Arial" w:hAnsi="Arial"/>
      <w:i/>
      <w:sz w:val="20"/>
      <w:szCs w:val="20"/>
    </w:rPr>
  </w:style>
  <w:style w:type="paragraph" w:customStyle="1" w:styleId="Captions">
    <w:name w:val="Captions"/>
    <w:basedOn w:val="Normal"/>
    <w:link w:val="CaptionsChar"/>
    <w:qFormat/>
    <w:rsid w:val="00F81406"/>
    <w:pPr>
      <w:keepNext/>
      <w:spacing w:after="0"/>
    </w:pPr>
    <w:rPr>
      <w:b/>
    </w:rPr>
  </w:style>
  <w:style w:type="character" w:customStyle="1" w:styleId="ChartsTablesChar">
    <w:name w:val="Charts &amp; Tables Char"/>
    <w:basedOn w:val="DefaultParagraphFont"/>
    <w:link w:val="ChartsTables"/>
    <w:rsid w:val="005F0835"/>
    <w:rPr>
      <w:rFonts w:ascii="Arial" w:hAnsi="Arial"/>
      <w:sz w:val="24"/>
      <w:szCs w:val="20"/>
    </w:rPr>
  </w:style>
  <w:style w:type="paragraph" w:customStyle="1" w:styleId="Recommendations">
    <w:name w:val="Recommendations"/>
    <w:basedOn w:val="Normal"/>
    <w:link w:val="RecommendationsChar"/>
    <w:qFormat/>
    <w:rsid w:val="00F63B3C"/>
    <w:rPr>
      <w:b/>
      <w:i/>
      <w:szCs w:val="24"/>
    </w:rPr>
  </w:style>
  <w:style w:type="character" w:customStyle="1" w:styleId="CaptionsChar">
    <w:name w:val="Captions Char"/>
    <w:basedOn w:val="DefaultParagraphFont"/>
    <w:link w:val="Captions"/>
    <w:rsid w:val="00F81406"/>
    <w:rPr>
      <w:rFonts w:ascii="Arial" w:hAnsi="Arial"/>
      <w:b/>
      <w:sz w:val="24"/>
      <w:szCs w:val="20"/>
    </w:rPr>
  </w:style>
  <w:style w:type="character" w:customStyle="1" w:styleId="RecommendationsChar">
    <w:name w:val="Recommendations Char"/>
    <w:basedOn w:val="DefaultParagraphFont"/>
    <w:link w:val="Recommendations"/>
    <w:rsid w:val="00F63B3C"/>
    <w:rPr>
      <w:rFonts w:ascii="Arial" w:hAnsi="Arial"/>
      <w:b/>
      <w:i/>
      <w:sz w:val="24"/>
      <w:szCs w:val="24"/>
    </w:rPr>
  </w:style>
  <w:style w:type="paragraph" w:customStyle="1" w:styleId="Quotes">
    <w:name w:val="Quotes"/>
    <w:basedOn w:val="Normal"/>
    <w:link w:val="QuotesChar"/>
    <w:qFormat/>
    <w:rsid w:val="00153FA5"/>
    <w:rPr>
      <w:i/>
    </w:rPr>
  </w:style>
  <w:style w:type="character" w:customStyle="1" w:styleId="QuotesChar">
    <w:name w:val="Quotes Char"/>
    <w:basedOn w:val="DefaultParagraphFont"/>
    <w:link w:val="Quotes"/>
    <w:rsid w:val="00153FA5"/>
    <w:rPr>
      <w:rFonts w:ascii="Arial" w:hAnsi="Arial"/>
      <w:i/>
      <w:sz w:val="24"/>
      <w:szCs w:val="20"/>
    </w:rPr>
  </w:style>
  <w:style w:type="table" w:styleId="GridTable4-Accent1">
    <w:name w:val="Grid Table 4 Accent 1"/>
    <w:basedOn w:val="TableNormal"/>
    <w:uiPriority w:val="49"/>
    <w:rsid w:val="00023FB8"/>
    <w:pPr>
      <w:spacing w:after="0" w:line="240" w:lineRule="auto"/>
    </w:pPr>
    <w:tblPr>
      <w:tblStyleRowBandSize w:val="1"/>
      <w:tblStyleColBandSize w:val="1"/>
      <w:tblBorders>
        <w:top w:val="single" w:sz="4" w:space="0" w:color="90B0D8" w:themeColor="accent1" w:themeTint="99"/>
        <w:left w:val="single" w:sz="4" w:space="0" w:color="90B0D8" w:themeColor="accent1" w:themeTint="99"/>
        <w:bottom w:val="single" w:sz="4" w:space="0" w:color="90B0D8" w:themeColor="accent1" w:themeTint="99"/>
        <w:right w:val="single" w:sz="4" w:space="0" w:color="90B0D8" w:themeColor="accent1" w:themeTint="99"/>
        <w:insideH w:val="single" w:sz="4" w:space="0" w:color="90B0D8" w:themeColor="accent1" w:themeTint="99"/>
        <w:insideV w:val="single" w:sz="4" w:space="0" w:color="90B0D8" w:themeColor="accent1" w:themeTint="99"/>
      </w:tblBorders>
    </w:tblPr>
    <w:tblStylePr w:type="firstRow">
      <w:rPr>
        <w:b/>
        <w:bCs/>
        <w:color w:val="FFFFFF" w:themeColor="background1"/>
      </w:rPr>
      <w:tblPr/>
      <w:tcPr>
        <w:tcBorders>
          <w:top w:val="single" w:sz="4" w:space="0" w:color="477CBF" w:themeColor="accent1"/>
          <w:left w:val="single" w:sz="4" w:space="0" w:color="477CBF" w:themeColor="accent1"/>
          <w:bottom w:val="single" w:sz="4" w:space="0" w:color="477CBF" w:themeColor="accent1"/>
          <w:right w:val="single" w:sz="4" w:space="0" w:color="477CBF" w:themeColor="accent1"/>
          <w:insideH w:val="nil"/>
          <w:insideV w:val="nil"/>
        </w:tcBorders>
        <w:shd w:val="clear" w:color="auto" w:fill="477CBF" w:themeFill="accent1"/>
      </w:tcPr>
    </w:tblStylePr>
    <w:tblStylePr w:type="lastRow">
      <w:rPr>
        <w:b/>
        <w:bCs/>
      </w:rPr>
      <w:tblPr/>
      <w:tcPr>
        <w:tcBorders>
          <w:top w:val="double" w:sz="4" w:space="0" w:color="477CBF" w:themeColor="accent1"/>
        </w:tcBorders>
      </w:tcPr>
    </w:tblStylePr>
    <w:tblStylePr w:type="firstCol">
      <w:rPr>
        <w:b/>
        <w:bCs/>
      </w:rPr>
    </w:tblStylePr>
    <w:tblStylePr w:type="lastCol">
      <w:rPr>
        <w:b/>
        <w:bCs/>
      </w:rPr>
    </w:tblStylePr>
    <w:tblStylePr w:type="band1Vert">
      <w:tblPr/>
      <w:tcPr>
        <w:shd w:val="clear" w:color="auto" w:fill="DAE4F2" w:themeFill="accent1" w:themeFillTint="33"/>
      </w:tcPr>
    </w:tblStylePr>
    <w:tblStylePr w:type="band1Horz">
      <w:tblPr/>
      <w:tcPr>
        <w:shd w:val="clear" w:color="auto" w:fill="DAE4F2" w:themeFill="accent1" w:themeFillTint="33"/>
      </w:tcPr>
    </w:tblStylePr>
  </w:style>
  <w:style w:type="character" w:styleId="UnresolvedMention">
    <w:name w:val="Unresolved Mention"/>
    <w:basedOn w:val="DefaultParagraphFont"/>
    <w:uiPriority w:val="99"/>
    <w:unhideWhenUsed/>
    <w:rsid w:val="00560BD6"/>
    <w:rPr>
      <w:color w:val="605E5C"/>
      <w:shd w:val="clear" w:color="auto" w:fill="E1DFDD"/>
    </w:rPr>
  </w:style>
  <w:style w:type="character" w:styleId="Mention">
    <w:name w:val="Mention"/>
    <w:basedOn w:val="DefaultParagraphFont"/>
    <w:uiPriority w:val="99"/>
    <w:unhideWhenUsed/>
    <w:rsid w:val="00D13963"/>
    <w:rPr>
      <w:color w:val="2B579A"/>
      <w:shd w:val="clear" w:color="auto" w:fill="E6E6E6"/>
    </w:rPr>
  </w:style>
  <w:style w:type="table" w:styleId="GridTable7Colorful-Accent1">
    <w:name w:val="Grid Table 7 Colorful Accent 1"/>
    <w:basedOn w:val="TableNormal"/>
    <w:uiPriority w:val="52"/>
    <w:rsid w:val="001B7C26"/>
    <w:pPr>
      <w:spacing w:after="0" w:line="240" w:lineRule="auto"/>
    </w:pPr>
    <w:rPr>
      <w:color w:val="325C91" w:themeColor="accent1" w:themeShade="BF"/>
    </w:rPr>
    <w:tblPr>
      <w:tblStyleRowBandSize w:val="1"/>
      <w:tblStyleColBandSize w:val="1"/>
      <w:tblBorders>
        <w:top w:val="single" w:sz="4" w:space="0" w:color="90B0D8" w:themeColor="accent1" w:themeTint="99"/>
        <w:left w:val="single" w:sz="4" w:space="0" w:color="90B0D8" w:themeColor="accent1" w:themeTint="99"/>
        <w:bottom w:val="single" w:sz="4" w:space="0" w:color="90B0D8" w:themeColor="accent1" w:themeTint="99"/>
        <w:right w:val="single" w:sz="4" w:space="0" w:color="90B0D8" w:themeColor="accent1" w:themeTint="99"/>
        <w:insideH w:val="single" w:sz="4" w:space="0" w:color="90B0D8" w:themeColor="accent1" w:themeTint="99"/>
        <w:insideV w:val="single" w:sz="4" w:space="0" w:color="90B0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4F2" w:themeFill="accent1" w:themeFillTint="33"/>
      </w:tcPr>
    </w:tblStylePr>
    <w:tblStylePr w:type="band1Horz">
      <w:tblPr/>
      <w:tcPr>
        <w:shd w:val="clear" w:color="auto" w:fill="DAE4F2" w:themeFill="accent1" w:themeFillTint="33"/>
      </w:tcPr>
    </w:tblStylePr>
    <w:tblStylePr w:type="neCell">
      <w:tblPr/>
      <w:tcPr>
        <w:tcBorders>
          <w:bottom w:val="single" w:sz="4" w:space="0" w:color="90B0D8" w:themeColor="accent1" w:themeTint="99"/>
        </w:tcBorders>
      </w:tcPr>
    </w:tblStylePr>
    <w:tblStylePr w:type="nwCell">
      <w:tblPr/>
      <w:tcPr>
        <w:tcBorders>
          <w:bottom w:val="single" w:sz="4" w:space="0" w:color="90B0D8" w:themeColor="accent1" w:themeTint="99"/>
        </w:tcBorders>
      </w:tcPr>
    </w:tblStylePr>
    <w:tblStylePr w:type="seCell">
      <w:tblPr/>
      <w:tcPr>
        <w:tcBorders>
          <w:top w:val="single" w:sz="4" w:space="0" w:color="90B0D8" w:themeColor="accent1" w:themeTint="99"/>
        </w:tcBorders>
      </w:tcPr>
    </w:tblStylePr>
    <w:tblStylePr w:type="swCell">
      <w:tblPr/>
      <w:tcPr>
        <w:tcBorders>
          <w:top w:val="single" w:sz="4" w:space="0" w:color="90B0D8" w:themeColor="accent1" w:themeTint="99"/>
        </w:tcBorders>
      </w:tcPr>
    </w:tblStylePr>
  </w:style>
  <w:style w:type="table" w:styleId="GridTable2-Accent1">
    <w:name w:val="Grid Table 2 Accent 1"/>
    <w:basedOn w:val="TableNormal"/>
    <w:uiPriority w:val="47"/>
    <w:rsid w:val="00B06A05"/>
    <w:pPr>
      <w:spacing w:after="0" w:line="240" w:lineRule="auto"/>
    </w:pPr>
    <w:tblPr>
      <w:tblStyleRowBandSize w:val="1"/>
      <w:tblStyleColBandSize w:val="1"/>
      <w:tblBorders>
        <w:top w:val="single" w:sz="2" w:space="0" w:color="90B0D8" w:themeColor="accent1" w:themeTint="99"/>
        <w:bottom w:val="single" w:sz="2" w:space="0" w:color="90B0D8" w:themeColor="accent1" w:themeTint="99"/>
        <w:insideH w:val="single" w:sz="2" w:space="0" w:color="90B0D8" w:themeColor="accent1" w:themeTint="99"/>
        <w:insideV w:val="single" w:sz="2" w:space="0" w:color="90B0D8" w:themeColor="accent1" w:themeTint="99"/>
      </w:tblBorders>
    </w:tblPr>
    <w:tblStylePr w:type="firstRow">
      <w:rPr>
        <w:b/>
        <w:bCs/>
      </w:rPr>
      <w:tblPr/>
      <w:tcPr>
        <w:tcBorders>
          <w:top w:val="nil"/>
          <w:bottom w:val="single" w:sz="12" w:space="0" w:color="90B0D8" w:themeColor="accent1" w:themeTint="99"/>
          <w:insideH w:val="nil"/>
          <w:insideV w:val="nil"/>
        </w:tcBorders>
        <w:shd w:val="clear" w:color="auto" w:fill="FFFFFF" w:themeFill="background1"/>
      </w:tcPr>
    </w:tblStylePr>
    <w:tblStylePr w:type="lastRow">
      <w:rPr>
        <w:b/>
        <w:bCs/>
      </w:rPr>
      <w:tblPr/>
      <w:tcPr>
        <w:tcBorders>
          <w:top w:val="double" w:sz="2" w:space="0" w:color="90B0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4F2" w:themeFill="accent1" w:themeFillTint="33"/>
      </w:tcPr>
    </w:tblStylePr>
    <w:tblStylePr w:type="band1Horz">
      <w:tblPr/>
      <w:tcPr>
        <w:shd w:val="clear" w:color="auto" w:fill="DAE4F2" w:themeFill="accent1" w:themeFillTint="33"/>
      </w:tcPr>
    </w:tblStylePr>
  </w:style>
  <w:style w:type="table" w:styleId="ListTable2-Accent1">
    <w:name w:val="List Table 2 Accent 1"/>
    <w:basedOn w:val="TableNormal"/>
    <w:uiPriority w:val="47"/>
    <w:rsid w:val="007E4694"/>
    <w:pPr>
      <w:spacing w:after="0" w:line="240" w:lineRule="auto"/>
    </w:pPr>
    <w:tblPr>
      <w:tblStyleRowBandSize w:val="1"/>
      <w:tblStyleColBandSize w:val="1"/>
      <w:tblBorders>
        <w:top w:val="single" w:sz="4" w:space="0" w:color="90B0D8" w:themeColor="accent1" w:themeTint="99"/>
        <w:bottom w:val="single" w:sz="4" w:space="0" w:color="90B0D8" w:themeColor="accent1" w:themeTint="99"/>
        <w:insideH w:val="single" w:sz="4" w:space="0" w:color="90B0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4F2" w:themeFill="accent1" w:themeFillTint="33"/>
      </w:tcPr>
    </w:tblStylePr>
    <w:tblStylePr w:type="band1Horz">
      <w:tblPr/>
      <w:tcPr>
        <w:shd w:val="clear" w:color="auto" w:fill="DAE4F2" w:themeFill="accent1" w:themeFillTint="33"/>
      </w:tcPr>
    </w:tblStylePr>
  </w:style>
  <w:style w:type="table" w:styleId="ListTable3-Accent1">
    <w:name w:val="List Table 3 Accent 1"/>
    <w:basedOn w:val="TableNormal"/>
    <w:uiPriority w:val="48"/>
    <w:rsid w:val="00926D6C"/>
    <w:pPr>
      <w:spacing w:after="0" w:line="240" w:lineRule="auto"/>
    </w:pPr>
    <w:tblPr>
      <w:tblStyleRowBandSize w:val="1"/>
      <w:tblStyleColBandSize w:val="1"/>
      <w:tblBorders>
        <w:top w:val="single" w:sz="4" w:space="0" w:color="477CBF" w:themeColor="accent1"/>
        <w:left w:val="single" w:sz="4" w:space="0" w:color="477CBF" w:themeColor="accent1"/>
        <w:bottom w:val="single" w:sz="4" w:space="0" w:color="477CBF" w:themeColor="accent1"/>
        <w:right w:val="single" w:sz="4" w:space="0" w:color="477CBF" w:themeColor="accent1"/>
      </w:tblBorders>
    </w:tblPr>
    <w:tblStylePr w:type="firstRow">
      <w:rPr>
        <w:b/>
        <w:bCs/>
        <w:color w:val="FFFFFF" w:themeColor="background1"/>
      </w:rPr>
      <w:tblPr/>
      <w:tcPr>
        <w:shd w:val="clear" w:color="auto" w:fill="477CBF" w:themeFill="accent1"/>
      </w:tcPr>
    </w:tblStylePr>
    <w:tblStylePr w:type="lastRow">
      <w:rPr>
        <w:b/>
        <w:bCs/>
      </w:rPr>
      <w:tblPr/>
      <w:tcPr>
        <w:tcBorders>
          <w:top w:val="double" w:sz="4" w:space="0" w:color="477CB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7CBF" w:themeColor="accent1"/>
          <w:right w:val="single" w:sz="4" w:space="0" w:color="477CBF" w:themeColor="accent1"/>
        </w:tcBorders>
      </w:tcPr>
    </w:tblStylePr>
    <w:tblStylePr w:type="band1Horz">
      <w:tblPr/>
      <w:tcPr>
        <w:tcBorders>
          <w:top w:val="single" w:sz="4" w:space="0" w:color="477CBF" w:themeColor="accent1"/>
          <w:bottom w:val="single" w:sz="4" w:space="0" w:color="477CB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7CBF" w:themeColor="accent1"/>
          <w:left w:val="nil"/>
        </w:tcBorders>
      </w:tcPr>
    </w:tblStylePr>
    <w:tblStylePr w:type="swCell">
      <w:tblPr/>
      <w:tcPr>
        <w:tcBorders>
          <w:top w:val="double" w:sz="4" w:space="0" w:color="477CBF" w:themeColor="accent1"/>
          <w:right w:val="nil"/>
        </w:tcBorders>
      </w:tcPr>
    </w:tblStylePr>
  </w:style>
  <w:style w:type="table" w:styleId="PlainTable1">
    <w:name w:val="Plain Table 1"/>
    <w:basedOn w:val="TableNormal"/>
    <w:uiPriority w:val="41"/>
    <w:rsid w:val="005262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5262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4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C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C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C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CBF" w:themeFill="accent1"/>
      </w:tcPr>
    </w:tblStylePr>
    <w:tblStylePr w:type="band1Vert">
      <w:tblPr/>
      <w:tcPr>
        <w:shd w:val="clear" w:color="auto" w:fill="B5CAE5" w:themeFill="accent1" w:themeFillTint="66"/>
      </w:tcPr>
    </w:tblStylePr>
    <w:tblStylePr w:type="band1Horz">
      <w:tblPr/>
      <w:tcPr>
        <w:shd w:val="clear" w:color="auto" w:fill="B5CAE5" w:themeFill="accent1" w:themeFillTint="66"/>
      </w:tcPr>
    </w:tblStylePr>
  </w:style>
  <w:style w:type="character" w:customStyle="1" w:styleId="HeaderChar">
    <w:name w:val="Header Char"/>
    <w:basedOn w:val="DefaultParagraphFont"/>
    <w:link w:val="Header"/>
    <w:rsid w:val="006563B8"/>
    <w:rPr>
      <w:rFonts w:ascii="Arial" w:hAnsi="Arial"/>
      <w:sz w:val="24"/>
      <w:szCs w:val="20"/>
    </w:rPr>
  </w:style>
  <w:style w:type="character" w:customStyle="1" w:styleId="EndnoteTextChar">
    <w:name w:val="Endnote Text Char"/>
    <w:basedOn w:val="DefaultParagraphFont"/>
    <w:link w:val="EndnoteText"/>
    <w:semiHidden/>
    <w:rsid w:val="006563B8"/>
    <w:rPr>
      <w:rFonts w:ascii="Times New Roman" w:hAnsi="Times New Roman"/>
      <w:sz w:val="20"/>
      <w:szCs w:val="20"/>
      <w:lang w:eastAsia="en-US"/>
    </w:rPr>
  </w:style>
  <w:style w:type="paragraph" w:customStyle="1" w:styleId="msonormal0">
    <w:name w:val="msonormal"/>
    <w:basedOn w:val="Normal"/>
    <w:rsid w:val="008D3B10"/>
    <w:pPr>
      <w:spacing w:before="100" w:beforeAutospacing="1" w:after="100" w:afterAutospacing="1" w:line="240" w:lineRule="auto"/>
    </w:pPr>
    <w:rPr>
      <w:rFonts w:ascii="Times New Roman" w:eastAsia="Times New Roman" w:hAnsi="Times New Roman" w:cs="Times New Roman"/>
      <w:szCs w:val="24"/>
    </w:rPr>
  </w:style>
  <w:style w:type="paragraph" w:customStyle="1" w:styleId="paragraph">
    <w:name w:val="paragraph"/>
    <w:basedOn w:val="Normal"/>
    <w:rsid w:val="008D3B10"/>
    <w:pPr>
      <w:spacing w:before="100" w:beforeAutospacing="1" w:after="100" w:afterAutospacing="1" w:line="240" w:lineRule="auto"/>
    </w:pPr>
    <w:rPr>
      <w:rFonts w:ascii="Times New Roman" w:eastAsia="Times New Roman" w:hAnsi="Times New Roman" w:cs="Times New Roman"/>
      <w:szCs w:val="24"/>
    </w:rPr>
  </w:style>
  <w:style w:type="character" w:customStyle="1" w:styleId="textrun">
    <w:name w:val="textrun"/>
    <w:basedOn w:val="DefaultParagraphFont"/>
    <w:rsid w:val="008D3B10"/>
  </w:style>
  <w:style w:type="character" w:customStyle="1" w:styleId="normaltextrun">
    <w:name w:val="normaltextrun"/>
    <w:basedOn w:val="DefaultParagraphFont"/>
    <w:rsid w:val="008D3B10"/>
  </w:style>
  <w:style w:type="character" w:customStyle="1" w:styleId="eop">
    <w:name w:val="eop"/>
    <w:basedOn w:val="DefaultParagraphFont"/>
    <w:rsid w:val="008D3B10"/>
  </w:style>
  <w:style w:type="character" w:customStyle="1" w:styleId="wacimagegroupcontainer">
    <w:name w:val="wacimagegroupcontainer"/>
    <w:basedOn w:val="DefaultParagraphFont"/>
    <w:rsid w:val="008D3B10"/>
  </w:style>
  <w:style w:type="character" w:customStyle="1" w:styleId="wacimagecontainer">
    <w:name w:val="wacimagecontainer"/>
    <w:basedOn w:val="DefaultParagraphFont"/>
    <w:rsid w:val="008D3B10"/>
  </w:style>
  <w:style w:type="paragraph" w:customStyle="1" w:styleId="outlineelement">
    <w:name w:val="outlineelement"/>
    <w:basedOn w:val="Normal"/>
    <w:rsid w:val="008D3B10"/>
    <w:pPr>
      <w:spacing w:before="100" w:beforeAutospacing="1" w:after="100" w:afterAutospacing="1" w:line="240" w:lineRule="auto"/>
    </w:pPr>
    <w:rPr>
      <w:rFonts w:ascii="Times New Roman" w:eastAsia="Times New Roman" w:hAnsi="Times New Roman" w:cs="Times New Roman"/>
      <w:szCs w:val="24"/>
    </w:rPr>
  </w:style>
  <w:style w:type="table" w:styleId="GridTable3-Accent1">
    <w:name w:val="Grid Table 3 Accent 1"/>
    <w:basedOn w:val="TableNormal"/>
    <w:uiPriority w:val="48"/>
    <w:rsid w:val="00524B1F"/>
    <w:pPr>
      <w:spacing w:after="0" w:line="240" w:lineRule="auto"/>
    </w:pPr>
    <w:tblPr>
      <w:tblStyleRowBandSize w:val="1"/>
      <w:tblStyleColBandSize w:val="1"/>
      <w:tblBorders>
        <w:top w:val="single" w:sz="4" w:space="0" w:color="90B0D8" w:themeColor="accent1" w:themeTint="99"/>
        <w:left w:val="single" w:sz="4" w:space="0" w:color="90B0D8" w:themeColor="accent1" w:themeTint="99"/>
        <w:bottom w:val="single" w:sz="4" w:space="0" w:color="90B0D8" w:themeColor="accent1" w:themeTint="99"/>
        <w:right w:val="single" w:sz="4" w:space="0" w:color="90B0D8" w:themeColor="accent1" w:themeTint="99"/>
        <w:insideH w:val="single" w:sz="4" w:space="0" w:color="90B0D8" w:themeColor="accent1" w:themeTint="99"/>
        <w:insideV w:val="single" w:sz="4" w:space="0" w:color="90B0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4F2" w:themeFill="accent1" w:themeFillTint="33"/>
      </w:tcPr>
    </w:tblStylePr>
    <w:tblStylePr w:type="band1Horz">
      <w:tblPr/>
      <w:tcPr>
        <w:shd w:val="clear" w:color="auto" w:fill="DAE4F2" w:themeFill="accent1" w:themeFillTint="33"/>
      </w:tcPr>
    </w:tblStylePr>
    <w:tblStylePr w:type="neCell">
      <w:tblPr/>
      <w:tcPr>
        <w:tcBorders>
          <w:bottom w:val="single" w:sz="4" w:space="0" w:color="90B0D8" w:themeColor="accent1" w:themeTint="99"/>
        </w:tcBorders>
      </w:tcPr>
    </w:tblStylePr>
    <w:tblStylePr w:type="nwCell">
      <w:tblPr/>
      <w:tcPr>
        <w:tcBorders>
          <w:bottom w:val="single" w:sz="4" w:space="0" w:color="90B0D8" w:themeColor="accent1" w:themeTint="99"/>
        </w:tcBorders>
      </w:tcPr>
    </w:tblStylePr>
    <w:tblStylePr w:type="seCell">
      <w:tblPr/>
      <w:tcPr>
        <w:tcBorders>
          <w:top w:val="single" w:sz="4" w:space="0" w:color="90B0D8" w:themeColor="accent1" w:themeTint="99"/>
        </w:tcBorders>
      </w:tcPr>
    </w:tblStylePr>
    <w:tblStylePr w:type="swCell">
      <w:tblPr/>
      <w:tcPr>
        <w:tcBorders>
          <w:top w:val="single" w:sz="4" w:space="0" w:color="90B0D8" w:themeColor="accent1" w:themeTint="99"/>
        </w:tcBorders>
      </w:tcPr>
    </w:tblStylePr>
  </w:style>
  <w:style w:type="table" w:styleId="GridTable6Colorful-Accent1">
    <w:name w:val="Grid Table 6 Colorful Accent 1"/>
    <w:basedOn w:val="TableNormal"/>
    <w:uiPriority w:val="51"/>
    <w:rsid w:val="00F845B8"/>
    <w:pPr>
      <w:spacing w:after="0" w:line="240" w:lineRule="auto"/>
    </w:pPr>
    <w:rPr>
      <w:color w:val="325C91" w:themeColor="accent1" w:themeShade="BF"/>
    </w:rPr>
    <w:tblPr>
      <w:tblStyleRowBandSize w:val="1"/>
      <w:tblStyleColBandSize w:val="1"/>
      <w:tblBorders>
        <w:top w:val="single" w:sz="4" w:space="0" w:color="90B0D8" w:themeColor="accent1" w:themeTint="99"/>
        <w:left w:val="single" w:sz="4" w:space="0" w:color="90B0D8" w:themeColor="accent1" w:themeTint="99"/>
        <w:bottom w:val="single" w:sz="4" w:space="0" w:color="90B0D8" w:themeColor="accent1" w:themeTint="99"/>
        <w:right w:val="single" w:sz="4" w:space="0" w:color="90B0D8" w:themeColor="accent1" w:themeTint="99"/>
        <w:insideH w:val="single" w:sz="4" w:space="0" w:color="90B0D8" w:themeColor="accent1" w:themeTint="99"/>
        <w:insideV w:val="single" w:sz="4" w:space="0" w:color="90B0D8" w:themeColor="accent1" w:themeTint="99"/>
      </w:tblBorders>
    </w:tblPr>
    <w:tblStylePr w:type="firstRow">
      <w:rPr>
        <w:b/>
        <w:bCs/>
      </w:rPr>
      <w:tblPr/>
      <w:tcPr>
        <w:tcBorders>
          <w:bottom w:val="single" w:sz="12" w:space="0" w:color="90B0D8" w:themeColor="accent1" w:themeTint="99"/>
        </w:tcBorders>
      </w:tcPr>
    </w:tblStylePr>
    <w:tblStylePr w:type="lastRow">
      <w:rPr>
        <w:b/>
        <w:bCs/>
      </w:rPr>
      <w:tblPr/>
      <w:tcPr>
        <w:tcBorders>
          <w:top w:val="double" w:sz="4" w:space="0" w:color="90B0D8" w:themeColor="accent1" w:themeTint="99"/>
        </w:tcBorders>
      </w:tcPr>
    </w:tblStylePr>
    <w:tblStylePr w:type="firstCol">
      <w:rPr>
        <w:b/>
        <w:bCs/>
      </w:rPr>
    </w:tblStylePr>
    <w:tblStylePr w:type="lastCol">
      <w:rPr>
        <w:b/>
        <w:bCs/>
      </w:rPr>
    </w:tblStylePr>
    <w:tblStylePr w:type="band1Vert">
      <w:tblPr/>
      <w:tcPr>
        <w:shd w:val="clear" w:color="auto" w:fill="DAE4F2" w:themeFill="accent1" w:themeFillTint="33"/>
      </w:tcPr>
    </w:tblStylePr>
    <w:tblStylePr w:type="band1Horz">
      <w:tblPr/>
      <w:tcPr>
        <w:shd w:val="clear" w:color="auto" w:fill="DAE4F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284">
      <w:bodyDiv w:val="1"/>
      <w:marLeft w:val="0"/>
      <w:marRight w:val="0"/>
      <w:marTop w:val="0"/>
      <w:marBottom w:val="0"/>
      <w:divBdr>
        <w:top w:val="none" w:sz="0" w:space="0" w:color="auto"/>
        <w:left w:val="none" w:sz="0" w:space="0" w:color="auto"/>
        <w:bottom w:val="none" w:sz="0" w:space="0" w:color="auto"/>
        <w:right w:val="none" w:sz="0" w:space="0" w:color="auto"/>
      </w:divBdr>
    </w:div>
    <w:div w:id="20009308">
      <w:bodyDiv w:val="1"/>
      <w:marLeft w:val="0"/>
      <w:marRight w:val="0"/>
      <w:marTop w:val="0"/>
      <w:marBottom w:val="0"/>
      <w:divBdr>
        <w:top w:val="none" w:sz="0" w:space="0" w:color="auto"/>
        <w:left w:val="none" w:sz="0" w:space="0" w:color="auto"/>
        <w:bottom w:val="none" w:sz="0" w:space="0" w:color="auto"/>
        <w:right w:val="none" w:sz="0" w:space="0" w:color="auto"/>
      </w:divBdr>
    </w:div>
    <w:div w:id="25253649">
      <w:bodyDiv w:val="1"/>
      <w:marLeft w:val="0"/>
      <w:marRight w:val="0"/>
      <w:marTop w:val="0"/>
      <w:marBottom w:val="0"/>
      <w:divBdr>
        <w:top w:val="none" w:sz="0" w:space="0" w:color="auto"/>
        <w:left w:val="none" w:sz="0" w:space="0" w:color="auto"/>
        <w:bottom w:val="none" w:sz="0" w:space="0" w:color="auto"/>
        <w:right w:val="none" w:sz="0" w:space="0" w:color="auto"/>
      </w:divBdr>
    </w:div>
    <w:div w:id="28378396">
      <w:bodyDiv w:val="1"/>
      <w:marLeft w:val="0"/>
      <w:marRight w:val="0"/>
      <w:marTop w:val="0"/>
      <w:marBottom w:val="0"/>
      <w:divBdr>
        <w:top w:val="none" w:sz="0" w:space="0" w:color="auto"/>
        <w:left w:val="none" w:sz="0" w:space="0" w:color="auto"/>
        <w:bottom w:val="none" w:sz="0" w:space="0" w:color="auto"/>
        <w:right w:val="none" w:sz="0" w:space="0" w:color="auto"/>
      </w:divBdr>
    </w:div>
    <w:div w:id="38942102">
      <w:bodyDiv w:val="1"/>
      <w:marLeft w:val="0"/>
      <w:marRight w:val="0"/>
      <w:marTop w:val="0"/>
      <w:marBottom w:val="0"/>
      <w:divBdr>
        <w:top w:val="none" w:sz="0" w:space="0" w:color="auto"/>
        <w:left w:val="none" w:sz="0" w:space="0" w:color="auto"/>
        <w:bottom w:val="none" w:sz="0" w:space="0" w:color="auto"/>
        <w:right w:val="none" w:sz="0" w:space="0" w:color="auto"/>
      </w:divBdr>
    </w:div>
    <w:div w:id="41637014">
      <w:bodyDiv w:val="1"/>
      <w:marLeft w:val="0"/>
      <w:marRight w:val="0"/>
      <w:marTop w:val="0"/>
      <w:marBottom w:val="0"/>
      <w:divBdr>
        <w:top w:val="none" w:sz="0" w:space="0" w:color="auto"/>
        <w:left w:val="none" w:sz="0" w:space="0" w:color="auto"/>
        <w:bottom w:val="none" w:sz="0" w:space="0" w:color="auto"/>
        <w:right w:val="none" w:sz="0" w:space="0" w:color="auto"/>
      </w:divBdr>
    </w:div>
    <w:div w:id="46226169">
      <w:bodyDiv w:val="1"/>
      <w:marLeft w:val="0"/>
      <w:marRight w:val="0"/>
      <w:marTop w:val="0"/>
      <w:marBottom w:val="0"/>
      <w:divBdr>
        <w:top w:val="none" w:sz="0" w:space="0" w:color="auto"/>
        <w:left w:val="none" w:sz="0" w:space="0" w:color="auto"/>
        <w:bottom w:val="none" w:sz="0" w:space="0" w:color="auto"/>
        <w:right w:val="none" w:sz="0" w:space="0" w:color="auto"/>
      </w:divBdr>
    </w:div>
    <w:div w:id="49765033">
      <w:bodyDiv w:val="1"/>
      <w:marLeft w:val="0"/>
      <w:marRight w:val="0"/>
      <w:marTop w:val="0"/>
      <w:marBottom w:val="0"/>
      <w:divBdr>
        <w:top w:val="none" w:sz="0" w:space="0" w:color="auto"/>
        <w:left w:val="none" w:sz="0" w:space="0" w:color="auto"/>
        <w:bottom w:val="none" w:sz="0" w:space="0" w:color="auto"/>
        <w:right w:val="none" w:sz="0" w:space="0" w:color="auto"/>
      </w:divBdr>
    </w:div>
    <w:div w:id="56323849">
      <w:bodyDiv w:val="1"/>
      <w:marLeft w:val="0"/>
      <w:marRight w:val="0"/>
      <w:marTop w:val="0"/>
      <w:marBottom w:val="0"/>
      <w:divBdr>
        <w:top w:val="none" w:sz="0" w:space="0" w:color="auto"/>
        <w:left w:val="none" w:sz="0" w:space="0" w:color="auto"/>
        <w:bottom w:val="none" w:sz="0" w:space="0" w:color="auto"/>
        <w:right w:val="none" w:sz="0" w:space="0" w:color="auto"/>
      </w:divBdr>
    </w:div>
    <w:div w:id="56630692">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9890405">
      <w:bodyDiv w:val="1"/>
      <w:marLeft w:val="0"/>
      <w:marRight w:val="0"/>
      <w:marTop w:val="0"/>
      <w:marBottom w:val="0"/>
      <w:divBdr>
        <w:top w:val="none" w:sz="0" w:space="0" w:color="auto"/>
        <w:left w:val="none" w:sz="0" w:space="0" w:color="auto"/>
        <w:bottom w:val="none" w:sz="0" w:space="0" w:color="auto"/>
        <w:right w:val="none" w:sz="0" w:space="0" w:color="auto"/>
      </w:divBdr>
    </w:div>
    <w:div w:id="84109366">
      <w:bodyDiv w:val="1"/>
      <w:marLeft w:val="0"/>
      <w:marRight w:val="0"/>
      <w:marTop w:val="0"/>
      <w:marBottom w:val="0"/>
      <w:divBdr>
        <w:top w:val="none" w:sz="0" w:space="0" w:color="auto"/>
        <w:left w:val="none" w:sz="0" w:space="0" w:color="auto"/>
        <w:bottom w:val="none" w:sz="0" w:space="0" w:color="auto"/>
        <w:right w:val="none" w:sz="0" w:space="0" w:color="auto"/>
      </w:divBdr>
    </w:div>
    <w:div w:id="85000457">
      <w:bodyDiv w:val="1"/>
      <w:marLeft w:val="0"/>
      <w:marRight w:val="0"/>
      <w:marTop w:val="0"/>
      <w:marBottom w:val="0"/>
      <w:divBdr>
        <w:top w:val="none" w:sz="0" w:space="0" w:color="auto"/>
        <w:left w:val="none" w:sz="0" w:space="0" w:color="auto"/>
        <w:bottom w:val="none" w:sz="0" w:space="0" w:color="auto"/>
        <w:right w:val="none" w:sz="0" w:space="0" w:color="auto"/>
      </w:divBdr>
      <w:divsChild>
        <w:div w:id="122509095">
          <w:marLeft w:val="0"/>
          <w:marRight w:val="0"/>
          <w:marTop w:val="0"/>
          <w:marBottom w:val="0"/>
          <w:divBdr>
            <w:top w:val="none" w:sz="0" w:space="0" w:color="auto"/>
            <w:left w:val="none" w:sz="0" w:space="0" w:color="auto"/>
            <w:bottom w:val="none" w:sz="0" w:space="0" w:color="auto"/>
            <w:right w:val="none" w:sz="0" w:space="0" w:color="auto"/>
          </w:divBdr>
          <w:divsChild>
            <w:div w:id="1414164278">
              <w:marLeft w:val="0"/>
              <w:marRight w:val="0"/>
              <w:marTop w:val="0"/>
              <w:marBottom w:val="0"/>
              <w:divBdr>
                <w:top w:val="none" w:sz="0" w:space="0" w:color="auto"/>
                <w:left w:val="none" w:sz="0" w:space="0" w:color="auto"/>
                <w:bottom w:val="none" w:sz="0" w:space="0" w:color="auto"/>
                <w:right w:val="none" w:sz="0" w:space="0" w:color="auto"/>
              </w:divBdr>
              <w:divsChild>
                <w:div w:id="787160759">
                  <w:marLeft w:val="0"/>
                  <w:marRight w:val="0"/>
                  <w:marTop w:val="0"/>
                  <w:marBottom w:val="0"/>
                  <w:divBdr>
                    <w:top w:val="none" w:sz="0" w:space="0" w:color="auto"/>
                    <w:left w:val="none" w:sz="0" w:space="0" w:color="auto"/>
                    <w:bottom w:val="none" w:sz="0" w:space="0" w:color="auto"/>
                    <w:right w:val="none" w:sz="0" w:space="0" w:color="auto"/>
                  </w:divBdr>
                  <w:divsChild>
                    <w:div w:id="1240603634">
                      <w:marLeft w:val="0"/>
                      <w:marRight w:val="0"/>
                      <w:marTop w:val="0"/>
                      <w:marBottom w:val="0"/>
                      <w:divBdr>
                        <w:top w:val="none" w:sz="0" w:space="0" w:color="auto"/>
                        <w:left w:val="none" w:sz="0" w:space="0" w:color="auto"/>
                        <w:bottom w:val="none" w:sz="0" w:space="0" w:color="auto"/>
                        <w:right w:val="none" w:sz="0" w:space="0" w:color="auto"/>
                      </w:divBdr>
                      <w:divsChild>
                        <w:div w:id="533814624">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 w:id="105775855">
      <w:bodyDiv w:val="1"/>
      <w:marLeft w:val="0"/>
      <w:marRight w:val="0"/>
      <w:marTop w:val="0"/>
      <w:marBottom w:val="0"/>
      <w:divBdr>
        <w:top w:val="none" w:sz="0" w:space="0" w:color="auto"/>
        <w:left w:val="none" w:sz="0" w:space="0" w:color="auto"/>
        <w:bottom w:val="none" w:sz="0" w:space="0" w:color="auto"/>
        <w:right w:val="none" w:sz="0" w:space="0" w:color="auto"/>
      </w:divBdr>
      <w:divsChild>
        <w:div w:id="78723940">
          <w:marLeft w:val="0"/>
          <w:marRight w:val="0"/>
          <w:marTop w:val="0"/>
          <w:marBottom w:val="0"/>
          <w:divBdr>
            <w:top w:val="none" w:sz="0" w:space="0" w:color="auto"/>
            <w:left w:val="none" w:sz="0" w:space="0" w:color="auto"/>
            <w:bottom w:val="none" w:sz="0" w:space="0" w:color="auto"/>
            <w:right w:val="none" w:sz="0" w:space="0" w:color="auto"/>
          </w:divBdr>
          <w:divsChild>
            <w:div w:id="1491216634">
              <w:marLeft w:val="0"/>
              <w:marRight w:val="0"/>
              <w:marTop w:val="0"/>
              <w:marBottom w:val="0"/>
              <w:divBdr>
                <w:top w:val="none" w:sz="0" w:space="0" w:color="auto"/>
                <w:left w:val="none" w:sz="0" w:space="0" w:color="auto"/>
                <w:bottom w:val="none" w:sz="0" w:space="0" w:color="auto"/>
                <w:right w:val="none" w:sz="0" w:space="0" w:color="auto"/>
              </w:divBdr>
              <w:divsChild>
                <w:div w:id="13296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42079">
      <w:bodyDiv w:val="1"/>
      <w:marLeft w:val="0"/>
      <w:marRight w:val="0"/>
      <w:marTop w:val="0"/>
      <w:marBottom w:val="0"/>
      <w:divBdr>
        <w:top w:val="none" w:sz="0" w:space="0" w:color="auto"/>
        <w:left w:val="none" w:sz="0" w:space="0" w:color="auto"/>
        <w:bottom w:val="none" w:sz="0" w:space="0" w:color="auto"/>
        <w:right w:val="none" w:sz="0" w:space="0" w:color="auto"/>
      </w:divBdr>
    </w:div>
    <w:div w:id="111900912">
      <w:bodyDiv w:val="1"/>
      <w:marLeft w:val="0"/>
      <w:marRight w:val="0"/>
      <w:marTop w:val="0"/>
      <w:marBottom w:val="0"/>
      <w:divBdr>
        <w:top w:val="none" w:sz="0" w:space="0" w:color="auto"/>
        <w:left w:val="none" w:sz="0" w:space="0" w:color="auto"/>
        <w:bottom w:val="none" w:sz="0" w:space="0" w:color="auto"/>
        <w:right w:val="none" w:sz="0" w:space="0" w:color="auto"/>
      </w:divBdr>
    </w:div>
    <w:div w:id="113058449">
      <w:bodyDiv w:val="1"/>
      <w:marLeft w:val="0"/>
      <w:marRight w:val="0"/>
      <w:marTop w:val="0"/>
      <w:marBottom w:val="0"/>
      <w:divBdr>
        <w:top w:val="none" w:sz="0" w:space="0" w:color="auto"/>
        <w:left w:val="none" w:sz="0" w:space="0" w:color="auto"/>
        <w:bottom w:val="none" w:sz="0" w:space="0" w:color="auto"/>
        <w:right w:val="none" w:sz="0" w:space="0" w:color="auto"/>
      </w:divBdr>
    </w:div>
    <w:div w:id="113713740">
      <w:bodyDiv w:val="1"/>
      <w:marLeft w:val="0"/>
      <w:marRight w:val="0"/>
      <w:marTop w:val="0"/>
      <w:marBottom w:val="0"/>
      <w:divBdr>
        <w:top w:val="none" w:sz="0" w:space="0" w:color="auto"/>
        <w:left w:val="none" w:sz="0" w:space="0" w:color="auto"/>
        <w:bottom w:val="none" w:sz="0" w:space="0" w:color="auto"/>
        <w:right w:val="none" w:sz="0" w:space="0" w:color="auto"/>
      </w:divBdr>
    </w:div>
    <w:div w:id="129709711">
      <w:bodyDiv w:val="1"/>
      <w:marLeft w:val="0"/>
      <w:marRight w:val="0"/>
      <w:marTop w:val="0"/>
      <w:marBottom w:val="0"/>
      <w:divBdr>
        <w:top w:val="none" w:sz="0" w:space="0" w:color="auto"/>
        <w:left w:val="none" w:sz="0" w:space="0" w:color="auto"/>
        <w:bottom w:val="none" w:sz="0" w:space="0" w:color="auto"/>
        <w:right w:val="none" w:sz="0" w:space="0" w:color="auto"/>
      </w:divBdr>
    </w:div>
    <w:div w:id="140462362">
      <w:bodyDiv w:val="1"/>
      <w:marLeft w:val="0"/>
      <w:marRight w:val="0"/>
      <w:marTop w:val="0"/>
      <w:marBottom w:val="0"/>
      <w:divBdr>
        <w:top w:val="none" w:sz="0" w:space="0" w:color="auto"/>
        <w:left w:val="none" w:sz="0" w:space="0" w:color="auto"/>
        <w:bottom w:val="none" w:sz="0" w:space="0" w:color="auto"/>
        <w:right w:val="none" w:sz="0" w:space="0" w:color="auto"/>
      </w:divBdr>
    </w:div>
    <w:div w:id="160896201">
      <w:bodyDiv w:val="1"/>
      <w:marLeft w:val="0"/>
      <w:marRight w:val="0"/>
      <w:marTop w:val="0"/>
      <w:marBottom w:val="0"/>
      <w:divBdr>
        <w:top w:val="none" w:sz="0" w:space="0" w:color="auto"/>
        <w:left w:val="none" w:sz="0" w:space="0" w:color="auto"/>
        <w:bottom w:val="none" w:sz="0" w:space="0" w:color="auto"/>
        <w:right w:val="none" w:sz="0" w:space="0" w:color="auto"/>
      </w:divBdr>
    </w:div>
    <w:div w:id="163984582">
      <w:bodyDiv w:val="1"/>
      <w:marLeft w:val="0"/>
      <w:marRight w:val="0"/>
      <w:marTop w:val="0"/>
      <w:marBottom w:val="0"/>
      <w:divBdr>
        <w:top w:val="none" w:sz="0" w:space="0" w:color="auto"/>
        <w:left w:val="none" w:sz="0" w:space="0" w:color="auto"/>
        <w:bottom w:val="none" w:sz="0" w:space="0" w:color="auto"/>
        <w:right w:val="none" w:sz="0" w:space="0" w:color="auto"/>
      </w:divBdr>
    </w:div>
    <w:div w:id="170032377">
      <w:bodyDiv w:val="1"/>
      <w:marLeft w:val="0"/>
      <w:marRight w:val="0"/>
      <w:marTop w:val="0"/>
      <w:marBottom w:val="0"/>
      <w:divBdr>
        <w:top w:val="none" w:sz="0" w:space="0" w:color="auto"/>
        <w:left w:val="none" w:sz="0" w:space="0" w:color="auto"/>
        <w:bottom w:val="none" w:sz="0" w:space="0" w:color="auto"/>
        <w:right w:val="none" w:sz="0" w:space="0" w:color="auto"/>
      </w:divBdr>
    </w:div>
    <w:div w:id="180973827">
      <w:bodyDiv w:val="1"/>
      <w:marLeft w:val="0"/>
      <w:marRight w:val="0"/>
      <w:marTop w:val="0"/>
      <w:marBottom w:val="0"/>
      <w:divBdr>
        <w:top w:val="none" w:sz="0" w:space="0" w:color="auto"/>
        <w:left w:val="none" w:sz="0" w:space="0" w:color="auto"/>
        <w:bottom w:val="none" w:sz="0" w:space="0" w:color="auto"/>
        <w:right w:val="none" w:sz="0" w:space="0" w:color="auto"/>
      </w:divBdr>
    </w:div>
    <w:div w:id="182213264">
      <w:bodyDiv w:val="1"/>
      <w:marLeft w:val="0"/>
      <w:marRight w:val="0"/>
      <w:marTop w:val="0"/>
      <w:marBottom w:val="0"/>
      <w:divBdr>
        <w:top w:val="none" w:sz="0" w:space="0" w:color="auto"/>
        <w:left w:val="none" w:sz="0" w:space="0" w:color="auto"/>
        <w:bottom w:val="none" w:sz="0" w:space="0" w:color="auto"/>
        <w:right w:val="none" w:sz="0" w:space="0" w:color="auto"/>
      </w:divBdr>
    </w:div>
    <w:div w:id="187062743">
      <w:bodyDiv w:val="1"/>
      <w:marLeft w:val="0"/>
      <w:marRight w:val="0"/>
      <w:marTop w:val="0"/>
      <w:marBottom w:val="0"/>
      <w:divBdr>
        <w:top w:val="none" w:sz="0" w:space="0" w:color="auto"/>
        <w:left w:val="none" w:sz="0" w:space="0" w:color="auto"/>
        <w:bottom w:val="none" w:sz="0" w:space="0" w:color="auto"/>
        <w:right w:val="none" w:sz="0" w:space="0" w:color="auto"/>
      </w:divBdr>
    </w:div>
    <w:div w:id="187983951">
      <w:bodyDiv w:val="1"/>
      <w:marLeft w:val="0"/>
      <w:marRight w:val="0"/>
      <w:marTop w:val="0"/>
      <w:marBottom w:val="0"/>
      <w:divBdr>
        <w:top w:val="none" w:sz="0" w:space="0" w:color="auto"/>
        <w:left w:val="none" w:sz="0" w:space="0" w:color="auto"/>
        <w:bottom w:val="none" w:sz="0" w:space="0" w:color="auto"/>
        <w:right w:val="none" w:sz="0" w:space="0" w:color="auto"/>
      </w:divBdr>
    </w:div>
    <w:div w:id="193731732">
      <w:bodyDiv w:val="1"/>
      <w:marLeft w:val="0"/>
      <w:marRight w:val="0"/>
      <w:marTop w:val="0"/>
      <w:marBottom w:val="0"/>
      <w:divBdr>
        <w:top w:val="none" w:sz="0" w:space="0" w:color="auto"/>
        <w:left w:val="none" w:sz="0" w:space="0" w:color="auto"/>
        <w:bottom w:val="none" w:sz="0" w:space="0" w:color="auto"/>
        <w:right w:val="none" w:sz="0" w:space="0" w:color="auto"/>
      </w:divBdr>
    </w:div>
    <w:div w:id="194316017">
      <w:bodyDiv w:val="1"/>
      <w:marLeft w:val="0"/>
      <w:marRight w:val="0"/>
      <w:marTop w:val="0"/>
      <w:marBottom w:val="0"/>
      <w:divBdr>
        <w:top w:val="none" w:sz="0" w:space="0" w:color="auto"/>
        <w:left w:val="none" w:sz="0" w:space="0" w:color="auto"/>
        <w:bottom w:val="none" w:sz="0" w:space="0" w:color="auto"/>
        <w:right w:val="none" w:sz="0" w:space="0" w:color="auto"/>
      </w:divBdr>
    </w:div>
    <w:div w:id="195510216">
      <w:bodyDiv w:val="1"/>
      <w:marLeft w:val="0"/>
      <w:marRight w:val="0"/>
      <w:marTop w:val="0"/>
      <w:marBottom w:val="0"/>
      <w:divBdr>
        <w:top w:val="none" w:sz="0" w:space="0" w:color="auto"/>
        <w:left w:val="none" w:sz="0" w:space="0" w:color="auto"/>
        <w:bottom w:val="none" w:sz="0" w:space="0" w:color="auto"/>
        <w:right w:val="none" w:sz="0" w:space="0" w:color="auto"/>
      </w:divBdr>
    </w:div>
    <w:div w:id="196090830">
      <w:bodyDiv w:val="1"/>
      <w:marLeft w:val="0"/>
      <w:marRight w:val="0"/>
      <w:marTop w:val="0"/>
      <w:marBottom w:val="0"/>
      <w:divBdr>
        <w:top w:val="none" w:sz="0" w:space="0" w:color="auto"/>
        <w:left w:val="none" w:sz="0" w:space="0" w:color="auto"/>
        <w:bottom w:val="none" w:sz="0" w:space="0" w:color="auto"/>
        <w:right w:val="none" w:sz="0" w:space="0" w:color="auto"/>
      </w:divBdr>
    </w:div>
    <w:div w:id="198251545">
      <w:bodyDiv w:val="1"/>
      <w:marLeft w:val="0"/>
      <w:marRight w:val="0"/>
      <w:marTop w:val="0"/>
      <w:marBottom w:val="0"/>
      <w:divBdr>
        <w:top w:val="none" w:sz="0" w:space="0" w:color="auto"/>
        <w:left w:val="none" w:sz="0" w:space="0" w:color="auto"/>
        <w:bottom w:val="none" w:sz="0" w:space="0" w:color="auto"/>
        <w:right w:val="none" w:sz="0" w:space="0" w:color="auto"/>
      </w:divBdr>
    </w:div>
    <w:div w:id="205412942">
      <w:bodyDiv w:val="1"/>
      <w:marLeft w:val="0"/>
      <w:marRight w:val="0"/>
      <w:marTop w:val="0"/>
      <w:marBottom w:val="0"/>
      <w:divBdr>
        <w:top w:val="none" w:sz="0" w:space="0" w:color="auto"/>
        <w:left w:val="none" w:sz="0" w:space="0" w:color="auto"/>
        <w:bottom w:val="none" w:sz="0" w:space="0" w:color="auto"/>
        <w:right w:val="none" w:sz="0" w:space="0" w:color="auto"/>
      </w:divBdr>
    </w:div>
    <w:div w:id="206843891">
      <w:bodyDiv w:val="1"/>
      <w:marLeft w:val="0"/>
      <w:marRight w:val="0"/>
      <w:marTop w:val="0"/>
      <w:marBottom w:val="0"/>
      <w:divBdr>
        <w:top w:val="none" w:sz="0" w:space="0" w:color="auto"/>
        <w:left w:val="none" w:sz="0" w:space="0" w:color="auto"/>
        <w:bottom w:val="none" w:sz="0" w:space="0" w:color="auto"/>
        <w:right w:val="none" w:sz="0" w:space="0" w:color="auto"/>
      </w:divBdr>
    </w:div>
    <w:div w:id="209998173">
      <w:bodyDiv w:val="1"/>
      <w:marLeft w:val="0"/>
      <w:marRight w:val="0"/>
      <w:marTop w:val="0"/>
      <w:marBottom w:val="0"/>
      <w:divBdr>
        <w:top w:val="none" w:sz="0" w:space="0" w:color="auto"/>
        <w:left w:val="none" w:sz="0" w:space="0" w:color="auto"/>
        <w:bottom w:val="none" w:sz="0" w:space="0" w:color="auto"/>
        <w:right w:val="none" w:sz="0" w:space="0" w:color="auto"/>
      </w:divBdr>
    </w:div>
    <w:div w:id="211773726">
      <w:bodyDiv w:val="1"/>
      <w:marLeft w:val="0"/>
      <w:marRight w:val="0"/>
      <w:marTop w:val="0"/>
      <w:marBottom w:val="0"/>
      <w:divBdr>
        <w:top w:val="none" w:sz="0" w:space="0" w:color="auto"/>
        <w:left w:val="none" w:sz="0" w:space="0" w:color="auto"/>
        <w:bottom w:val="none" w:sz="0" w:space="0" w:color="auto"/>
        <w:right w:val="none" w:sz="0" w:space="0" w:color="auto"/>
      </w:divBdr>
    </w:div>
    <w:div w:id="216937891">
      <w:bodyDiv w:val="1"/>
      <w:marLeft w:val="0"/>
      <w:marRight w:val="0"/>
      <w:marTop w:val="0"/>
      <w:marBottom w:val="0"/>
      <w:divBdr>
        <w:top w:val="none" w:sz="0" w:space="0" w:color="auto"/>
        <w:left w:val="none" w:sz="0" w:space="0" w:color="auto"/>
        <w:bottom w:val="none" w:sz="0" w:space="0" w:color="auto"/>
        <w:right w:val="none" w:sz="0" w:space="0" w:color="auto"/>
      </w:divBdr>
      <w:divsChild>
        <w:div w:id="653267302">
          <w:marLeft w:val="0"/>
          <w:marRight w:val="0"/>
          <w:marTop w:val="0"/>
          <w:marBottom w:val="0"/>
          <w:divBdr>
            <w:top w:val="none" w:sz="0" w:space="0" w:color="auto"/>
            <w:left w:val="none" w:sz="0" w:space="0" w:color="auto"/>
            <w:bottom w:val="none" w:sz="0" w:space="0" w:color="auto"/>
            <w:right w:val="none" w:sz="0" w:space="0" w:color="auto"/>
          </w:divBdr>
        </w:div>
        <w:div w:id="1117869217">
          <w:marLeft w:val="0"/>
          <w:marRight w:val="0"/>
          <w:marTop w:val="0"/>
          <w:marBottom w:val="0"/>
          <w:divBdr>
            <w:top w:val="none" w:sz="0" w:space="0" w:color="auto"/>
            <w:left w:val="none" w:sz="0" w:space="0" w:color="auto"/>
            <w:bottom w:val="none" w:sz="0" w:space="0" w:color="auto"/>
            <w:right w:val="none" w:sz="0" w:space="0" w:color="auto"/>
          </w:divBdr>
        </w:div>
      </w:divsChild>
    </w:div>
    <w:div w:id="219905855">
      <w:bodyDiv w:val="1"/>
      <w:marLeft w:val="0"/>
      <w:marRight w:val="0"/>
      <w:marTop w:val="0"/>
      <w:marBottom w:val="0"/>
      <w:divBdr>
        <w:top w:val="none" w:sz="0" w:space="0" w:color="auto"/>
        <w:left w:val="none" w:sz="0" w:space="0" w:color="auto"/>
        <w:bottom w:val="none" w:sz="0" w:space="0" w:color="auto"/>
        <w:right w:val="none" w:sz="0" w:space="0" w:color="auto"/>
      </w:divBdr>
    </w:div>
    <w:div w:id="228731286">
      <w:bodyDiv w:val="1"/>
      <w:marLeft w:val="0"/>
      <w:marRight w:val="0"/>
      <w:marTop w:val="0"/>
      <w:marBottom w:val="0"/>
      <w:divBdr>
        <w:top w:val="none" w:sz="0" w:space="0" w:color="auto"/>
        <w:left w:val="none" w:sz="0" w:space="0" w:color="auto"/>
        <w:bottom w:val="none" w:sz="0" w:space="0" w:color="auto"/>
        <w:right w:val="none" w:sz="0" w:space="0" w:color="auto"/>
      </w:divBdr>
      <w:divsChild>
        <w:div w:id="744961835">
          <w:marLeft w:val="0"/>
          <w:marRight w:val="0"/>
          <w:marTop w:val="0"/>
          <w:marBottom w:val="0"/>
          <w:divBdr>
            <w:top w:val="none" w:sz="0" w:space="0" w:color="auto"/>
            <w:left w:val="none" w:sz="0" w:space="0" w:color="auto"/>
            <w:bottom w:val="none" w:sz="0" w:space="0" w:color="auto"/>
            <w:right w:val="none" w:sz="0" w:space="0" w:color="auto"/>
          </w:divBdr>
        </w:div>
        <w:div w:id="2130926852">
          <w:marLeft w:val="0"/>
          <w:marRight w:val="0"/>
          <w:marTop w:val="0"/>
          <w:marBottom w:val="0"/>
          <w:divBdr>
            <w:top w:val="none" w:sz="0" w:space="0" w:color="auto"/>
            <w:left w:val="none" w:sz="0" w:space="0" w:color="auto"/>
            <w:bottom w:val="none" w:sz="0" w:space="0" w:color="auto"/>
            <w:right w:val="none" w:sz="0" w:space="0" w:color="auto"/>
          </w:divBdr>
        </w:div>
      </w:divsChild>
    </w:div>
    <w:div w:id="235290007">
      <w:bodyDiv w:val="1"/>
      <w:marLeft w:val="0"/>
      <w:marRight w:val="0"/>
      <w:marTop w:val="0"/>
      <w:marBottom w:val="0"/>
      <w:divBdr>
        <w:top w:val="none" w:sz="0" w:space="0" w:color="auto"/>
        <w:left w:val="none" w:sz="0" w:space="0" w:color="auto"/>
        <w:bottom w:val="none" w:sz="0" w:space="0" w:color="auto"/>
        <w:right w:val="none" w:sz="0" w:space="0" w:color="auto"/>
      </w:divBdr>
    </w:div>
    <w:div w:id="240797576">
      <w:bodyDiv w:val="1"/>
      <w:marLeft w:val="0"/>
      <w:marRight w:val="0"/>
      <w:marTop w:val="0"/>
      <w:marBottom w:val="0"/>
      <w:divBdr>
        <w:top w:val="none" w:sz="0" w:space="0" w:color="auto"/>
        <w:left w:val="none" w:sz="0" w:space="0" w:color="auto"/>
        <w:bottom w:val="none" w:sz="0" w:space="0" w:color="auto"/>
        <w:right w:val="none" w:sz="0" w:space="0" w:color="auto"/>
      </w:divBdr>
    </w:div>
    <w:div w:id="243296194">
      <w:bodyDiv w:val="1"/>
      <w:marLeft w:val="0"/>
      <w:marRight w:val="0"/>
      <w:marTop w:val="0"/>
      <w:marBottom w:val="0"/>
      <w:divBdr>
        <w:top w:val="none" w:sz="0" w:space="0" w:color="auto"/>
        <w:left w:val="none" w:sz="0" w:space="0" w:color="auto"/>
        <w:bottom w:val="none" w:sz="0" w:space="0" w:color="auto"/>
        <w:right w:val="none" w:sz="0" w:space="0" w:color="auto"/>
      </w:divBdr>
    </w:div>
    <w:div w:id="243804674">
      <w:bodyDiv w:val="1"/>
      <w:marLeft w:val="0"/>
      <w:marRight w:val="0"/>
      <w:marTop w:val="0"/>
      <w:marBottom w:val="0"/>
      <w:divBdr>
        <w:top w:val="none" w:sz="0" w:space="0" w:color="auto"/>
        <w:left w:val="none" w:sz="0" w:space="0" w:color="auto"/>
        <w:bottom w:val="none" w:sz="0" w:space="0" w:color="auto"/>
        <w:right w:val="none" w:sz="0" w:space="0" w:color="auto"/>
      </w:divBdr>
    </w:div>
    <w:div w:id="250550488">
      <w:bodyDiv w:val="1"/>
      <w:marLeft w:val="0"/>
      <w:marRight w:val="0"/>
      <w:marTop w:val="0"/>
      <w:marBottom w:val="0"/>
      <w:divBdr>
        <w:top w:val="none" w:sz="0" w:space="0" w:color="auto"/>
        <w:left w:val="none" w:sz="0" w:space="0" w:color="auto"/>
        <w:bottom w:val="none" w:sz="0" w:space="0" w:color="auto"/>
        <w:right w:val="none" w:sz="0" w:space="0" w:color="auto"/>
      </w:divBdr>
    </w:div>
    <w:div w:id="251742446">
      <w:bodyDiv w:val="1"/>
      <w:marLeft w:val="0"/>
      <w:marRight w:val="0"/>
      <w:marTop w:val="0"/>
      <w:marBottom w:val="0"/>
      <w:divBdr>
        <w:top w:val="none" w:sz="0" w:space="0" w:color="auto"/>
        <w:left w:val="none" w:sz="0" w:space="0" w:color="auto"/>
        <w:bottom w:val="none" w:sz="0" w:space="0" w:color="auto"/>
        <w:right w:val="none" w:sz="0" w:space="0" w:color="auto"/>
      </w:divBdr>
    </w:div>
    <w:div w:id="254481785">
      <w:bodyDiv w:val="1"/>
      <w:marLeft w:val="0"/>
      <w:marRight w:val="0"/>
      <w:marTop w:val="0"/>
      <w:marBottom w:val="0"/>
      <w:divBdr>
        <w:top w:val="none" w:sz="0" w:space="0" w:color="auto"/>
        <w:left w:val="none" w:sz="0" w:space="0" w:color="auto"/>
        <w:bottom w:val="none" w:sz="0" w:space="0" w:color="auto"/>
        <w:right w:val="none" w:sz="0" w:space="0" w:color="auto"/>
      </w:divBdr>
    </w:div>
    <w:div w:id="256257667">
      <w:bodyDiv w:val="1"/>
      <w:marLeft w:val="0"/>
      <w:marRight w:val="0"/>
      <w:marTop w:val="0"/>
      <w:marBottom w:val="0"/>
      <w:divBdr>
        <w:top w:val="none" w:sz="0" w:space="0" w:color="auto"/>
        <w:left w:val="none" w:sz="0" w:space="0" w:color="auto"/>
        <w:bottom w:val="none" w:sz="0" w:space="0" w:color="auto"/>
        <w:right w:val="none" w:sz="0" w:space="0" w:color="auto"/>
      </w:divBdr>
    </w:div>
    <w:div w:id="261686261">
      <w:bodyDiv w:val="1"/>
      <w:marLeft w:val="0"/>
      <w:marRight w:val="0"/>
      <w:marTop w:val="0"/>
      <w:marBottom w:val="0"/>
      <w:divBdr>
        <w:top w:val="none" w:sz="0" w:space="0" w:color="auto"/>
        <w:left w:val="none" w:sz="0" w:space="0" w:color="auto"/>
        <w:bottom w:val="none" w:sz="0" w:space="0" w:color="auto"/>
        <w:right w:val="none" w:sz="0" w:space="0" w:color="auto"/>
      </w:divBdr>
    </w:div>
    <w:div w:id="273489095">
      <w:bodyDiv w:val="1"/>
      <w:marLeft w:val="0"/>
      <w:marRight w:val="0"/>
      <w:marTop w:val="0"/>
      <w:marBottom w:val="0"/>
      <w:divBdr>
        <w:top w:val="none" w:sz="0" w:space="0" w:color="auto"/>
        <w:left w:val="none" w:sz="0" w:space="0" w:color="auto"/>
        <w:bottom w:val="none" w:sz="0" w:space="0" w:color="auto"/>
        <w:right w:val="none" w:sz="0" w:space="0" w:color="auto"/>
      </w:divBdr>
    </w:div>
    <w:div w:id="278538263">
      <w:bodyDiv w:val="1"/>
      <w:marLeft w:val="0"/>
      <w:marRight w:val="0"/>
      <w:marTop w:val="0"/>
      <w:marBottom w:val="0"/>
      <w:divBdr>
        <w:top w:val="none" w:sz="0" w:space="0" w:color="auto"/>
        <w:left w:val="none" w:sz="0" w:space="0" w:color="auto"/>
        <w:bottom w:val="none" w:sz="0" w:space="0" w:color="auto"/>
        <w:right w:val="none" w:sz="0" w:space="0" w:color="auto"/>
      </w:divBdr>
    </w:div>
    <w:div w:id="279725324">
      <w:bodyDiv w:val="1"/>
      <w:marLeft w:val="0"/>
      <w:marRight w:val="0"/>
      <w:marTop w:val="0"/>
      <w:marBottom w:val="0"/>
      <w:divBdr>
        <w:top w:val="none" w:sz="0" w:space="0" w:color="auto"/>
        <w:left w:val="none" w:sz="0" w:space="0" w:color="auto"/>
        <w:bottom w:val="none" w:sz="0" w:space="0" w:color="auto"/>
        <w:right w:val="none" w:sz="0" w:space="0" w:color="auto"/>
      </w:divBdr>
    </w:div>
    <w:div w:id="283315649">
      <w:bodyDiv w:val="1"/>
      <w:marLeft w:val="0"/>
      <w:marRight w:val="0"/>
      <w:marTop w:val="0"/>
      <w:marBottom w:val="0"/>
      <w:divBdr>
        <w:top w:val="none" w:sz="0" w:space="0" w:color="auto"/>
        <w:left w:val="none" w:sz="0" w:space="0" w:color="auto"/>
        <w:bottom w:val="none" w:sz="0" w:space="0" w:color="auto"/>
        <w:right w:val="none" w:sz="0" w:space="0" w:color="auto"/>
      </w:divBdr>
    </w:div>
    <w:div w:id="285161620">
      <w:bodyDiv w:val="1"/>
      <w:marLeft w:val="0"/>
      <w:marRight w:val="0"/>
      <w:marTop w:val="0"/>
      <w:marBottom w:val="0"/>
      <w:divBdr>
        <w:top w:val="none" w:sz="0" w:space="0" w:color="auto"/>
        <w:left w:val="none" w:sz="0" w:space="0" w:color="auto"/>
        <w:bottom w:val="none" w:sz="0" w:space="0" w:color="auto"/>
        <w:right w:val="none" w:sz="0" w:space="0" w:color="auto"/>
      </w:divBdr>
    </w:div>
    <w:div w:id="294338450">
      <w:bodyDiv w:val="1"/>
      <w:marLeft w:val="0"/>
      <w:marRight w:val="0"/>
      <w:marTop w:val="0"/>
      <w:marBottom w:val="0"/>
      <w:divBdr>
        <w:top w:val="none" w:sz="0" w:space="0" w:color="auto"/>
        <w:left w:val="none" w:sz="0" w:space="0" w:color="auto"/>
        <w:bottom w:val="none" w:sz="0" w:space="0" w:color="auto"/>
        <w:right w:val="none" w:sz="0" w:space="0" w:color="auto"/>
      </w:divBdr>
    </w:div>
    <w:div w:id="299725186">
      <w:bodyDiv w:val="1"/>
      <w:marLeft w:val="0"/>
      <w:marRight w:val="0"/>
      <w:marTop w:val="0"/>
      <w:marBottom w:val="0"/>
      <w:divBdr>
        <w:top w:val="none" w:sz="0" w:space="0" w:color="auto"/>
        <w:left w:val="none" w:sz="0" w:space="0" w:color="auto"/>
        <w:bottom w:val="none" w:sz="0" w:space="0" w:color="auto"/>
        <w:right w:val="none" w:sz="0" w:space="0" w:color="auto"/>
      </w:divBdr>
    </w:div>
    <w:div w:id="304816121">
      <w:bodyDiv w:val="1"/>
      <w:marLeft w:val="0"/>
      <w:marRight w:val="0"/>
      <w:marTop w:val="0"/>
      <w:marBottom w:val="0"/>
      <w:divBdr>
        <w:top w:val="none" w:sz="0" w:space="0" w:color="auto"/>
        <w:left w:val="none" w:sz="0" w:space="0" w:color="auto"/>
        <w:bottom w:val="none" w:sz="0" w:space="0" w:color="auto"/>
        <w:right w:val="none" w:sz="0" w:space="0" w:color="auto"/>
      </w:divBdr>
    </w:div>
    <w:div w:id="322319236">
      <w:bodyDiv w:val="1"/>
      <w:marLeft w:val="0"/>
      <w:marRight w:val="0"/>
      <w:marTop w:val="0"/>
      <w:marBottom w:val="0"/>
      <w:divBdr>
        <w:top w:val="none" w:sz="0" w:space="0" w:color="auto"/>
        <w:left w:val="none" w:sz="0" w:space="0" w:color="auto"/>
        <w:bottom w:val="none" w:sz="0" w:space="0" w:color="auto"/>
        <w:right w:val="none" w:sz="0" w:space="0" w:color="auto"/>
      </w:divBdr>
    </w:div>
    <w:div w:id="330331327">
      <w:bodyDiv w:val="1"/>
      <w:marLeft w:val="0"/>
      <w:marRight w:val="0"/>
      <w:marTop w:val="0"/>
      <w:marBottom w:val="0"/>
      <w:divBdr>
        <w:top w:val="none" w:sz="0" w:space="0" w:color="auto"/>
        <w:left w:val="none" w:sz="0" w:space="0" w:color="auto"/>
        <w:bottom w:val="none" w:sz="0" w:space="0" w:color="auto"/>
        <w:right w:val="none" w:sz="0" w:space="0" w:color="auto"/>
      </w:divBdr>
      <w:divsChild>
        <w:div w:id="38363914">
          <w:marLeft w:val="0"/>
          <w:marRight w:val="0"/>
          <w:marTop w:val="0"/>
          <w:marBottom w:val="0"/>
          <w:divBdr>
            <w:top w:val="none" w:sz="0" w:space="0" w:color="auto"/>
            <w:left w:val="none" w:sz="0" w:space="0" w:color="auto"/>
            <w:bottom w:val="none" w:sz="0" w:space="0" w:color="auto"/>
            <w:right w:val="none" w:sz="0" w:space="0" w:color="auto"/>
          </w:divBdr>
          <w:divsChild>
            <w:div w:id="626860318">
              <w:marLeft w:val="0"/>
              <w:marRight w:val="0"/>
              <w:marTop w:val="0"/>
              <w:marBottom w:val="0"/>
              <w:divBdr>
                <w:top w:val="none" w:sz="0" w:space="0" w:color="auto"/>
                <w:left w:val="none" w:sz="0" w:space="0" w:color="auto"/>
                <w:bottom w:val="none" w:sz="0" w:space="0" w:color="auto"/>
                <w:right w:val="none" w:sz="0" w:space="0" w:color="auto"/>
              </w:divBdr>
              <w:divsChild>
                <w:div w:id="17001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38908">
      <w:bodyDiv w:val="1"/>
      <w:marLeft w:val="0"/>
      <w:marRight w:val="0"/>
      <w:marTop w:val="0"/>
      <w:marBottom w:val="0"/>
      <w:divBdr>
        <w:top w:val="none" w:sz="0" w:space="0" w:color="auto"/>
        <w:left w:val="none" w:sz="0" w:space="0" w:color="auto"/>
        <w:bottom w:val="none" w:sz="0" w:space="0" w:color="auto"/>
        <w:right w:val="none" w:sz="0" w:space="0" w:color="auto"/>
      </w:divBdr>
    </w:div>
    <w:div w:id="335501252">
      <w:bodyDiv w:val="1"/>
      <w:marLeft w:val="0"/>
      <w:marRight w:val="0"/>
      <w:marTop w:val="0"/>
      <w:marBottom w:val="0"/>
      <w:divBdr>
        <w:top w:val="none" w:sz="0" w:space="0" w:color="auto"/>
        <w:left w:val="none" w:sz="0" w:space="0" w:color="auto"/>
        <w:bottom w:val="none" w:sz="0" w:space="0" w:color="auto"/>
        <w:right w:val="none" w:sz="0" w:space="0" w:color="auto"/>
      </w:divBdr>
    </w:div>
    <w:div w:id="340087626">
      <w:bodyDiv w:val="1"/>
      <w:marLeft w:val="0"/>
      <w:marRight w:val="0"/>
      <w:marTop w:val="0"/>
      <w:marBottom w:val="0"/>
      <w:divBdr>
        <w:top w:val="none" w:sz="0" w:space="0" w:color="auto"/>
        <w:left w:val="none" w:sz="0" w:space="0" w:color="auto"/>
        <w:bottom w:val="none" w:sz="0" w:space="0" w:color="auto"/>
        <w:right w:val="none" w:sz="0" w:space="0" w:color="auto"/>
      </w:divBdr>
      <w:divsChild>
        <w:div w:id="51462291">
          <w:marLeft w:val="0"/>
          <w:marRight w:val="0"/>
          <w:marTop w:val="0"/>
          <w:marBottom w:val="0"/>
          <w:divBdr>
            <w:top w:val="none" w:sz="0" w:space="0" w:color="auto"/>
            <w:left w:val="none" w:sz="0" w:space="0" w:color="auto"/>
            <w:bottom w:val="none" w:sz="0" w:space="0" w:color="auto"/>
            <w:right w:val="none" w:sz="0" w:space="0" w:color="auto"/>
          </w:divBdr>
        </w:div>
        <w:div w:id="132020737">
          <w:marLeft w:val="0"/>
          <w:marRight w:val="0"/>
          <w:marTop w:val="0"/>
          <w:marBottom w:val="0"/>
          <w:divBdr>
            <w:top w:val="none" w:sz="0" w:space="0" w:color="auto"/>
            <w:left w:val="none" w:sz="0" w:space="0" w:color="auto"/>
            <w:bottom w:val="none" w:sz="0" w:space="0" w:color="auto"/>
            <w:right w:val="none" w:sz="0" w:space="0" w:color="auto"/>
          </w:divBdr>
          <w:divsChild>
            <w:div w:id="296885236">
              <w:marLeft w:val="0"/>
              <w:marRight w:val="0"/>
              <w:marTop w:val="0"/>
              <w:marBottom w:val="0"/>
              <w:divBdr>
                <w:top w:val="none" w:sz="0" w:space="0" w:color="auto"/>
                <w:left w:val="none" w:sz="0" w:space="0" w:color="auto"/>
                <w:bottom w:val="none" w:sz="0" w:space="0" w:color="auto"/>
                <w:right w:val="none" w:sz="0" w:space="0" w:color="auto"/>
              </w:divBdr>
            </w:div>
            <w:div w:id="595528171">
              <w:marLeft w:val="0"/>
              <w:marRight w:val="0"/>
              <w:marTop w:val="0"/>
              <w:marBottom w:val="0"/>
              <w:divBdr>
                <w:top w:val="none" w:sz="0" w:space="0" w:color="auto"/>
                <w:left w:val="none" w:sz="0" w:space="0" w:color="auto"/>
                <w:bottom w:val="none" w:sz="0" w:space="0" w:color="auto"/>
                <w:right w:val="none" w:sz="0" w:space="0" w:color="auto"/>
              </w:divBdr>
            </w:div>
            <w:div w:id="1210654666">
              <w:marLeft w:val="0"/>
              <w:marRight w:val="0"/>
              <w:marTop w:val="0"/>
              <w:marBottom w:val="0"/>
              <w:divBdr>
                <w:top w:val="none" w:sz="0" w:space="0" w:color="auto"/>
                <w:left w:val="none" w:sz="0" w:space="0" w:color="auto"/>
                <w:bottom w:val="none" w:sz="0" w:space="0" w:color="auto"/>
                <w:right w:val="none" w:sz="0" w:space="0" w:color="auto"/>
              </w:divBdr>
            </w:div>
            <w:div w:id="1624966138">
              <w:marLeft w:val="0"/>
              <w:marRight w:val="0"/>
              <w:marTop w:val="0"/>
              <w:marBottom w:val="0"/>
              <w:divBdr>
                <w:top w:val="none" w:sz="0" w:space="0" w:color="auto"/>
                <w:left w:val="none" w:sz="0" w:space="0" w:color="auto"/>
                <w:bottom w:val="none" w:sz="0" w:space="0" w:color="auto"/>
                <w:right w:val="none" w:sz="0" w:space="0" w:color="auto"/>
              </w:divBdr>
            </w:div>
            <w:div w:id="2096706943">
              <w:marLeft w:val="0"/>
              <w:marRight w:val="0"/>
              <w:marTop w:val="0"/>
              <w:marBottom w:val="0"/>
              <w:divBdr>
                <w:top w:val="none" w:sz="0" w:space="0" w:color="auto"/>
                <w:left w:val="none" w:sz="0" w:space="0" w:color="auto"/>
                <w:bottom w:val="none" w:sz="0" w:space="0" w:color="auto"/>
                <w:right w:val="none" w:sz="0" w:space="0" w:color="auto"/>
              </w:divBdr>
            </w:div>
          </w:divsChild>
        </w:div>
        <w:div w:id="256445417">
          <w:marLeft w:val="0"/>
          <w:marRight w:val="0"/>
          <w:marTop w:val="0"/>
          <w:marBottom w:val="0"/>
          <w:divBdr>
            <w:top w:val="none" w:sz="0" w:space="0" w:color="auto"/>
            <w:left w:val="none" w:sz="0" w:space="0" w:color="auto"/>
            <w:bottom w:val="none" w:sz="0" w:space="0" w:color="auto"/>
            <w:right w:val="none" w:sz="0" w:space="0" w:color="auto"/>
          </w:divBdr>
        </w:div>
        <w:div w:id="409281268">
          <w:marLeft w:val="0"/>
          <w:marRight w:val="0"/>
          <w:marTop w:val="0"/>
          <w:marBottom w:val="0"/>
          <w:divBdr>
            <w:top w:val="none" w:sz="0" w:space="0" w:color="auto"/>
            <w:left w:val="none" w:sz="0" w:space="0" w:color="auto"/>
            <w:bottom w:val="none" w:sz="0" w:space="0" w:color="auto"/>
            <w:right w:val="none" w:sz="0" w:space="0" w:color="auto"/>
          </w:divBdr>
        </w:div>
        <w:div w:id="477575676">
          <w:marLeft w:val="0"/>
          <w:marRight w:val="0"/>
          <w:marTop w:val="0"/>
          <w:marBottom w:val="0"/>
          <w:divBdr>
            <w:top w:val="none" w:sz="0" w:space="0" w:color="auto"/>
            <w:left w:val="none" w:sz="0" w:space="0" w:color="auto"/>
            <w:bottom w:val="none" w:sz="0" w:space="0" w:color="auto"/>
            <w:right w:val="none" w:sz="0" w:space="0" w:color="auto"/>
          </w:divBdr>
        </w:div>
        <w:div w:id="1301305169">
          <w:marLeft w:val="0"/>
          <w:marRight w:val="0"/>
          <w:marTop w:val="0"/>
          <w:marBottom w:val="0"/>
          <w:divBdr>
            <w:top w:val="none" w:sz="0" w:space="0" w:color="auto"/>
            <w:left w:val="none" w:sz="0" w:space="0" w:color="auto"/>
            <w:bottom w:val="none" w:sz="0" w:space="0" w:color="auto"/>
            <w:right w:val="none" w:sz="0" w:space="0" w:color="auto"/>
          </w:divBdr>
          <w:divsChild>
            <w:div w:id="369035647">
              <w:marLeft w:val="0"/>
              <w:marRight w:val="0"/>
              <w:marTop w:val="0"/>
              <w:marBottom w:val="0"/>
              <w:divBdr>
                <w:top w:val="none" w:sz="0" w:space="0" w:color="auto"/>
                <w:left w:val="none" w:sz="0" w:space="0" w:color="auto"/>
                <w:bottom w:val="none" w:sz="0" w:space="0" w:color="auto"/>
                <w:right w:val="none" w:sz="0" w:space="0" w:color="auto"/>
              </w:divBdr>
            </w:div>
          </w:divsChild>
        </w:div>
        <w:div w:id="1316571789">
          <w:marLeft w:val="0"/>
          <w:marRight w:val="0"/>
          <w:marTop w:val="0"/>
          <w:marBottom w:val="0"/>
          <w:divBdr>
            <w:top w:val="none" w:sz="0" w:space="0" w:color="auto"/>
            <w:left w:val="none" w:sz="0" w:space="0" w:color="auto"/>
            <w:bottom w:val="none" w:sz="0" w:space="0" w:color="auto"/>
            <w:right w:val="none" w:sz="0" w:space="0" w:color="auto"/>
          </w:divBdr>
          <w:divsChild>
            <w:div w:id="749740200">
              <w:marLeft w:val="-75"/>
              <w:marRight w:val="0"/>
              <w:marTop w:val="30"/>
              <w:marBottom w:val="30"/>
              <w:divBdr>
                <w:top w:val="none" w:sz="0" w:space="0" w:color="auto"/>
                <w:left w:val="none" w:sz="0" w:space="0" w:color="auto"/>
                <w:bottom w:val="none" w:sz="0" w:space="0" w:color="auto"/>
                <w:right w:val="none" w:sz="0" w:space="0" w:color="auto"/>
              </w:divBdr>
              <w:divsChild>
                <w:div w:id="91782988">
                  <w:marLeft w:val="0"/>
                  <w:marRight w:val="0"/>
                  <w:marTop w:val="0"/>
                  <w:marBottom w:val="0"/>
                  <w:divBdr>
                    <w:top w:val="none" w:sz="0" w:space="0" w:color="auto"/>
                    <w:left w:val="none" w:sz="0" w:space="0" w:color="auto"/>
                    <w:bottom w:val="none" w:sz="0" w:space="0" w:color="auto"/>
                    <w:right w:val="none" w:sz="0" w:space="0" w:color="auto"/>
                  </w:divBdr>
                  <w:divsChild>
                    <w:div w:id="193471002">
                      <w:marLeft w:val="0"/>
                      <w:marRight w:val="0"/>
                      <w:marTop w:val="0"/>
                      <w:marBottom w:val="0"/>
                      <w:divBdr>
                        <w:top w:val="none" w:sz="0" w:space="0" w:color="auto"/>
                        <w:left w:val="none" w:sz="0" w:space="0" w:color="auto"/>
                        <w:bottom w:val="none" w:sz="0" w:space="0" w:color="auto"/>
                        <w:right w:val="none" w:sz="0" w:space="0" w:color="auto"/>
                      </w:divBdr>
                    </w:div>
                    <w:div w:id="284390716">
                      <w:marLeft w:val="0"/>
                      <w:marRight w:val="0"/>
                      <w:marTop w:val="0"/>
                      <w:marBottom w:val="0"/>
                      <w:divBdr>
                        <w:top w:val="none" w:sz="0" w:space="0" w:color="auto"/>
                        <w:left w:val="none" w:sz="0" w:space="0" w:color="auto"/>
                        <w:bottom w:val="none" w:sz="0" w:space="0" w:color="auto"/>
                        <w:right w:val="none" w:sz="0" w:space="0" w:color="auto"/>
                      </w:divBdr>
                    </w:div>
                    <w:div w:id="335427338">
                      <w:marLeft w:val="0"/>
                      <w:marRight w:val="0"/>
                      <w:marTop w:val="0"/>
                      <w:marBottom w:val="0"/>
                      <w:divBdr>
                        <w:top w:val="none" w:sz="0" w:space="0" w:color="auto"/>
                        <w:left w:val="none" w:sz="0" w:space="0" w:color="auto"/>
                        <w:bottom w:val="none" w:sz="0" w:space="0" w:color="auto"/>
                        <w:right w:val="none" w:sz="0" w:space="0" w:color="auto"/>
                      </w:divBdr>
                    </w:div>
                    <w:div w:id="440608587">
                      <w:marLeft w:val="0"/>
                      <w:marRight w:val="0"/>
                      <w:marTop w:val="0"/>
                      <w:marBottom w:val="0"/>
                      <w:divBdr>
                        <w:top w:val="none" w:sz="0" w:space="0" w:color="auto"/>
                        <w:left w:val="none" w:sz="0" w:space="0" w:color="auto"/>
                        <w:bottom w:val="none" w:sz="0" w:space="0" w:color="auto"/>
                        <w:right w:val="none" w:sz="0" w:space="0" w:color="auto"/>
                      </w:divBdr>
                    </w:div>
                    <w:div w:id="480317584">
                      <w:marLeft w:val="0"/>
                      <w:marRight w:val="0"/>
                      <w:marTop w:val="0"/>
                      <w:marBottom w:val="0"/>
                      <w:divBdr>
                        <w:top w:val="none" w:sz="0" w:space="0" w:color="auto"/>
                        <w:left w:val="none" w:sz="0" w:space="0" w:color="auto"/>
                        <w:bottom w:val="none" w:sz="0" w:space="0" w:color="auto"/>
                        <w:right w:val="none" w:sz="0" w:space="0" w:color="auto"/>
                      </w:divBdr>
                    </w:div>
                    <w:div w:id="576281403">
                      <w:marLeft w:val="0"/>
                      <w:marRight w:val="0"/>
                      <w:marTop w:val="0"/>
                      <w:marBottom w:val="0"/>
                      <w:divBdr>
                        <w:top w:val="none" w:sz="0" w:space="0" w:color="auto"/>
                        <w:left w:val="none" w:sz="0" w:space="0" w:color="auto"/>
                        <w:bottom w:val="none" w:sz="0" w:space="0" w:color="auto"/>
                        <w:right w:val="none" w:sz="0" w:space="0" w:color="auto"/>
                      </w:divBdr>
                    </w:div>
                    <w:div w:id="738942705">
                      <w:marLeft w:val="0"/>
                      <w:marRight w:val="0"/>
                      <w:marTop w:val="0"/>
                      <w:marBottom w:val="0"/>
                      <w:divBdr>
                        <w:top w:val="none" w:sz="0" w:space="0" w:color="auto"/>
                        <w:left w:val="none" w:sz="0" w:space="0" w:color="auto"/>
                        <w:bottom w:val="none" w:sz="0" w:space="0" w:color="auto"/>
                        <w:right w:val="none" w:sz="0" w:space="0" w:color="auto"/>
                      </w:divBdr>
                    </w:div>
                    <w:div w:id="951281581">
                      <w:marLeft w:val="0"/>
                      <w:marRight w:val="0"/>
                      <w:marTop w:val="0"/>
                      <w:marBottom w:val="0"/>
                      <w:divBdr>
                        <w:top w:val="none" w:sz="0" w:space="0" w:color="auto"/>
                        <w:left w:val="none" w:sz="0" w:space="0" w:color="auto"/>
                        <w:bottom w:val="none" w:sz="0" w:space="0" w:color="auto"/>
                        <w:right w:val="none" w:sz="0" w:space="0" w:color="auto"/>
                      </w:divBdr>
                    </w:div>
                    <w:div w:id="1551764474">
                      <w:marLeft w:val="0"/>
                      <w:marRight w:val="0"/>
                      <w:marTop w:val="0"/>
                      <w:marBottom w:val="0"/>
                      <w:divBdr>
                        <w:top w:val="none" w:sz="0" w:space="0" w:color="auto"/>
                        <w:left w:val="none" w:sz="0" w:space="0" w:color="auto"/>
                        <w:bottom w:val="none" w:sz="0" w:space="0" w:color="auto"/>
                        <w:right w:val="none" w:sz="0" w:space="0" w:color="auto"/>
                      </w:divBdr>
                    </w:div>
                    <w:div w:id="1653174470">
                      <w:marLeft w:val="0"/>
                      <w:marRight w:val="0"/>
                      <w:marTop w:val="0"/>
                      <w:marBottom w:val="0"/>
                      <w:divBdr>
                        <w:top w:val="none" w:sz="0" w:space="0" w:color="auto"/>
                        <w:left w:val="none" w:sz="0" w:space="0" w:color="auto"/>
                        <w:bottom w:val="none" w:sz="0" w:space="0" w:color="auto"/>
                        <w:right w:val="none" w:sz="0" w:space="0" w:color="auto"/>
                      </w:divBdr>
                    </w:div>
                    <w:div w:id="1763145243">
                      <w:marLeft w:val="0"/>
                      <w:marRight w:val="0"/>
                      <w:marTop w:val="0"/>
                      <w:marBottom w:val="0"/>
                      <w:divBdr>
                        <w:top w:val="none" w:sz="0" w:space="0" w:color="auto"/>
                        <w:left w:val="none" w:sz="0" w:space="0" w:color="auto"/>
                        <w:bottom w:val="none" w:sz="0" w:space="0" w:color="auto"/>
                        <w:right w:val="none" w:sz="0" w:space="0" w:color="auto"/>
                      </w:divBdr>
                    </w:div>
                    <w:div w:id="1871532696">
                      <w:marLeft w:val="0"/>
                      <w:marRight w:val="0"/>
                      <w:marTop w:val="0"/>
                      <w:marBottom w:val="0"/>
                      <w:divBdr>
                        <w:top w:val="none" w:sz="0" w:space="0" w:color="auto"/>
                        <w:left w:val="none" w:sz="0" w:space="0" w:color="auto"/>
                        <w:bottom w:val="none" w:sz="0" w:space="0" w:color="auto"/>
                        <w:right w:val="none" w:sz="0" w:space="0" w:color="auto"/>
                      </w:divBdr>
                    </w:div>
                    <w:div w:id="1902712707">
                      <w:marLeft w:val="0"/>
                      <w:marRight w:val="0"/>
                      <w:marTop w:val="0"/>
                      <w:marBottom w:val="0"/>
                      <w:divBdr>
                        <w:top w:val="none" w:sz="0" w:space="0" w:color="auto"/>
                        <w:left w:val="none" w:sz="0" w:space="0" w:color="auto"/>
                        <w:bottom w:val="none" w:sz="0" w:space="0" w:color="auto"/>
                        <w:right w:val="none" w:sz="0" w:space="0" w:color="auto"/>
                      </w:divBdr>
                    </w:div>
                    <w:div w:id="2074542371">
                      <w:marLeft w:val="0"/>
                      <w:marRight w:val="0"/>
                      <w:marTop w:val="0"/>
                      <w:marBottom w:val="0"/>
                      <w:divBdr>
                        <w:top w:val="none" w:sz="0" w:space="0" w:color="auto"/>
                        <w:left w:val="none" w:sz="0" w:space="0" w:color="auto"/>
                        <w:bottom w:val="none" w:sz="0" w:space="0" w:color="auto"/>
                        <w:right w:val="none" w:sz="0" w:space="0" w:color="auto"/>
                      </w:divBdr>
                    </w:div>
                  </w:divsChild>
                </w:div>
                <w:div w:id="99374231">
                  <w:marLeft w:val="0"/>
                  <w:marRight w:val="0"/>
                  <w:marTop w:val="0"/>
                  <w:marBottom w:val="0"/>
                  <w:divBdr>
                    <w:top w:val="none" w:sz="0" w:space="0" w:color="auto"/>
                    <w:left w:val="none" w:sz="0" w:space="0" w:color="auto"/>
                    <w:bottom w:val="none" w:sz="0" w:space="0" w:color="auto"/>
                    <w:right w:val="none" w:sz="0" w:space="0" w:color="auto"/>
                  </w:divBdr>
                  <w:divsChild>
                    <w:div w:id="1263563870">
                      <w:marLeft w:val="0"/>
                      <w:marRight w:val="0"/>
                      <w:marTop w:val="0"/>
                      <w:marBottom w:val="0"/>
                      <w:divBdr>
                        <w:top w:val="none" w:sz="0" w:space="0" w:color="auto"/>
                        <w:left w:val="none" w:sz="0" w:space="0" w:color="auto"/>
                        <w:bottom w:val="none" w:sz="0" w:space="0" w:color="auto"/>
                        <w:right w:val="none" w:sz="0" w:space="0" w:color="auto"/>
                      </w:divBdr>
                    </w:div>
                    <w:div w:id="1998025459">
                      <w:marLeft w:val="0"/>
                      <w:marRight w:val="0"/>
                      <w:marTop w:val="0"/>
                      <w:marBottom w:val="0"/>
                      <w:divBdr>
                        <w:top w:val="none" w:sz="0" w:space="0" w:color="auto"/>
                        <w:left w:val="none" w:sz="0" w:space="0" w:color="auto"/>
                        <w:bottom w:val="none" w:sz="0" w:space="0" w:color="auto"/>
                        <w:right w:val="none" w:sz="0" w:space="0" w:color="auto"/>
                      </w:divBdr>
                    </w:div>
                  </w:divsChild>
                </w:div>
                <w:div w:id="108286755">
                  <w:marLeft w:val="0"/>
                  <w:marRight w:val="0"/>
                  <w:marTop w:val="0"/>
                  <w:marBottom w:val="0"/>
                  <w:divBdr>
                    <w:top w:val="none" w:sz="0" w:space="0" w:color="auto"/>
                    <w:left w:val="none" w:sz="0" w:space="0" w:color="auto"/>
                    <w:bottom w:val="none" w:sz="0" w:space="0" w:color="auto"/>
                    <w:right w:val="none" w:sz="0" w:space="0" w:color="auto"/>
                  </w:divBdr>
                  <w:divsChild>
                    <w:div w:id="42562014">
                      <w:marLeft w:val="0"/>
                      <w:marRight w:val="0"/>
                      <w:marTop w:val="0"/>
                      <w:marBottom w:val="0"/>
                      <w:divBdr>
                        <w:top w:val="none" w:sz="0" w:space="0" w:color="auto"/>
                        <w:left w:val="none" w:sz="0" w:space="0" w:color="auto"/>
                        <w:bottom w:val="none" w:sz="0" w:space="0" w:color="auto"/>
                        <w:right w:val="none" w:sz="0" w:space="0" w:color="auto"/>
                      </w:divBdr>
                    </w:div>
                    <w:div w:id="253441363">
                      <w:marLeft w:val="0"/>
                      <w:marRight w:val="0"/>
                      <w:marTop w:val="0"/>
                      <w:marBottom w:val="0"/>
                      <w:divBdr>
                        <w:top w:val="none" w:sz="0" w:space="0" w:color="auto"/>
                        <w:left w:val="none" w:sz="0" w:space="0" w:color="auto"/>
                        <w:bottom w:val="none" w:sz="0" w:space="0" w:color="auto"/>
                        <w:right w:val="none" w:sz="0" w:space="0" w:color="auto"/>
                      </w:divBdr>
                    </w:div>
                    <w:div w:id="375354645">
                      <w:marLeft w:val="0"/>
                      <w:marRight w:val="0"/>
                      <w:marTop w:val="0"/>
                      <w:marBottom w:val="0"/>
                      <w:divBdr>
                        <w:top w:val="none" w:sz="0" w:space="0" w:color="auto"/>
                        <w:left w:val="none" w:sz="0" w:space="0" w:color="auto"/>
                        <w:bottom w:val="none" w:sz="0" w:space="0" w:color="auto"/>
                        <w:right w:val="none" w:sz="0" w:space="0" w:color="auto"/>
                      </w:divBdr>
                    </w:div>
                    <w:div w:id="1377579465">
                      <w:marLeft w:val="0"/>
                      <w:marRight w:val="0"/>
                      <w:marTop w:val="0"/>
                      <w:marBottom w:val="0"/>
                      <w:divBdr>
                        <w:top w:val="none" w:sz="0" w:space="0" w:color="auto"/>
                        <w:left w:val="none" w:sz="0" w:space="0" w:color="auto"/>
                        <w:bottom w:val="none" w:sz="0" w:space="0" w:color="auto"/>
                        <w:right w:val="none" w:sz="0" w:space="0" w:color="auto"/>
                      </w:divBdr>
                    </w:div>
                    <w:div w:id="1585332145">
                      <w:marLeft w:val="0"/>
                      <w:marRight w:val="0"/>
                      <w:marTop w:val="0"/>
                      <w:marBottom w:val="0"/>
                      <w:divBdr>
                        <w:top w:val="none" w:sz="0" w:space="0" w:color="auto"/>
                        <w:left w:val="none" w:sz="0" w:space="0" w:color="auto"/>
                        <w:bottom w:val="none" w:sz="0" w:space="0" w:color="auto"/>
                        <w:right w:val="none" w:sz="0" w:space="0" w:color="auto"/>
                      </w:divBdr>
                    </w:div>
                  </w:divsChild>
                </w:div>
                <w:div w:id="124935330">
                  <w:marLeft w:val="0"/>
                  <w:marRight w:val="0"/>
                  <w:marTop w:val="0"/>
                  <w:marBottom w:val="0"/>
                  <w:divBdr>
                    <w:top w:val="none" w:sz="0" w:space="0" w:color="auto"/>
                    <w:left w:val="none" w:sz="0" w:space="0" w:color="auto"/>
                    <w:bottom w:val="none" w:sz="0" w:space="0" w:color="auto"/>
                    <w:right w:val="none" w:sz="0" w:space="0" w:color="auto"/>
                  </w:divBdr>
                  <w:divsChild>
                    <w:div w:id="1127435566">
                      <w:marLeft w:val="0"/>
                      <w:marRight w:val="0"/>
                      <w:marTop w:val="0"/>
                      <w:marBottom w:val="0"/>
                      <w:divBdr>
                        <w:top w:val="none" w:sz="0" w:space="0" w:color="auto"/>
                        <w:left w:val="none" w:sz="0" w:space="0" w:color="auto"/>
                        <w:bottom w:val="none" w:sz="0" w:space="0" w:color="auto"/>
                        <w:right w:val="none" w:sz="0" w:space="0" w:color="auto"/>
                      </w:divBdr>
                    </w:div>
                  </w:divsChild>
                </w:div>
                <w:div w:id="229119834">
                  <w:marLeft w:val="0"/>
                  <w:marRight w:val="0"/>
                  <w:marTop w:val="0"/>
                  <w:marBottom w:val="0"/>
                  <w:divBdr>
                    <w:top w:val="none" w:sz="0" w:space="0" w:color="auto"/>
                    <w:left w:val="none" w:sz="0" w:space="0" w:color="auto"/>
                    <w:bottom w:val="none" w:sz="0" w:space="0" w:color="auto"/>
                    <w:right w:val="none" w:sz="0" w:space="0" w:color="auto"/>
                  </w:divBdr>
                  <w:divsChild>
                    <w:div w:id="1110054053">
                      <w:marLeft w:val="0"/>
                      <w:marRight w:val="0"/>
                      <w:marTop w:val="0"/>
                      <w:marBottom w:val="0"/>
                      <w:divBdr>
                        <w:top w:val="none" w:sz="0" w:space="0" w:color="auto"/>
                        <w:left w:val="none" w:sz="0" w:space="0" w:color="auto"/>
                        <w:bottom w:val="none" w:sz="0" w:space="0" w:color="auto"/>
                        <w:right w:val="none" w:sz="0" w:space="0" w:color="auto"/>
                      </w:divBdr>
                    </w:div>
                    <w:div w:id="2146464459">
                      <w:marLeft w:val="0"/>
                      <w:marRight w:val="0"/>
                      <w:marTop w:val="0"/>
                      <w:marBottom w:val="0"/>
                      <w:divBdr>
                        <w:top w:val="none" w:sz="0" w:space="0" w:color="auto"/>
                        <w:left w:val="none" w:sz="0" w:space="0" w:color="auto"/>
                        <w:bottom w:val="none" w:sz="0" w:space="0" w:color="auto"/>
                        <w:right w:val="none" w:sz="0" w:space="0" w:color="auto"/>
                      </w:divBdr>
                    </w:div>
                  </w:divsChild>
                </w:div>
                <w:div w:id="293103140">
                  <w:marLeft w:val="0"/>
                  <w:marRight w:val="0"/>
                  <w:marTop w:val="0"/>
                  <w:marBottom w:val="0"/>
                  <w:divBdr>
                    <w:top w:val="none" w:sz="0" w:space="0" w:color="auto"/>
                    <w:left w:val="none" w:sz="0" w:space="0" w:color="auto"/>
                    <w:bottom w:val="none" w:sz="0" w:space="0" w:color="auto"/>
                    <w:right w:val="none" w:sz="0" w:space="0" w:color="auto"/>
                  </w:divBdr>
                  <w:divsChild>
                    <w:div w:id="831138402">
                      <w:marLeft w:val="0"/>
                      <w:marRight w:val="0"/>
                      <w:marTop w:val="0"/>
                      <w:marBottom w:val="0"/>
                      <w:divBdr>
                        <w:top w:val="none" w:sz="0" w:space="0" w:color="auto"/>
                        <w:left w:val="none" w:sz="0" w:space="0" w:color="auto"/>
                        <w:bottom w:val="none" w:sz="0" w:space="0" w:color="auto"/>
                        <w:right w:val="none" w:sz="0" w:space="0" w:color="auto"/>
                      </w:divBdr>
                    </w:div>
                  </w:divsChild>
                </w:div>
                <w:div w:id="298801108">
                  <w:marLeft w:val="0"/>
                  <w:marRight w:val="0"/>
                  <w:marTop w:val="0"/>
                  <w:marBottom w:val="0"/>
                  <w:divBdr>
                    <w:top w:val="none" w:sz="0" w:space="0" w:color="auto"/>
                    <w:left w:val="none" w:sz="0" w:space="0" w:color="auto"/>
                    <w:bottom w:val="none" w:sz="0" w:space="0" w:color="auto"/>
                    <w:right w:val="none" w:sz="0" w:space="0" w:color="auto"/>
                  </w:divBdr>
                  <w:divsChild>
                    <w:div w:id="229192948">
                      <w:marLeft w:val="0"/>
                      <w:marRight w:val="0"/>
                      <w:marTop w:val="0"/>
                      <w:marBottom w:val="0"/>
                      <w:divBdr>
                        <w:top w:val="none" w:sz="0" w:space="0" w:color="auto"/>
                        <w:left w:val="none" w:sz="0" w:space="0" w:color="auto"/>
                        <w:bottom w:val="none" w:sz="0" w:space="0" w:color="auto"/>
                        <w:right w:val="none" w:sz="0" w:space="0" w:color="auto"/>
                      </w:divBdr>
                    </w:div>
                    <w:div w:id="833032183">
                      <w:marLeft w:val="0"/>
                      <w:marRight w:val="0"/>
                      <w:marTop w:val="0"/>
                      <w:marBottom w:val="0"/>
                      <w:divBdr>
                        <w:top w:val="none" w:sz="0" w:space="0" w:color="auto"/>
                        <w:left w:val="none" w:sz="0" w:space="0" w:color="auto"/>
                        <w:bottom w:val="none" w:sz="0" w:space="0" w:color="auto"/>
                        <w:right w:val="none" w:sz="0" w:space="0" w:color="auto"/>
                      </w:divBdr>
                    </w:div>
                  </w:divsChild>
                </w:div>
                <w:div w:id="323707478">
                  <w:marLeft w:val="0"/>
                  <w:marRight w:val="0"/>
                  <w:marTop w:val="0"/>
                  <w:marBottom w:val="0"/>
                  <w:divBdr>
                    <w:top w:val="none" w:sz="0" w:space="0" w:color="auto"/>
                    <w:left w:val="none" w:sz="0" w:space="0" w:color="auto"/>
                    <w:bottom w:val="none" w:sz="0" w:space="0" w:color="auto"/>
                    <w:right w:val="none" w:sz="0" w:space="0" w:color="auto"/>
                  </w:divBdr>
                  <w:divsChild>
                    <w:div w:id="245000727">
                      <w:marLeft w:val="0"/>
                      <w:marRight w:val="0"/>
                      <w:marTop w:val="0"/>
                      <w:marBottom w:val="0"/>
                      <w:divBdr>
                        <w:top w:val="none" w:sz="0" w:space="0" w:color="auto"/>
                        <w:left w:val="none" w:sz="0" w:space="0" w:color="auto"/>
                        <w:bottom w:val="none" w:sz="0" w:space="0" w:color="auto"/>
                        <w:right w:val="none" w:sz="0" w:space="0" w:color="auto"/>
                      </w:divBdr>
                    </w:div>
                    <w:div w:id="355272725">
                      <w:marLeft w:val="0"/>
                      <w:marRight w:val="0"/>
                      <w:marTop w:val="0"/>
                      <w:marBottom w:val="0"/>
                      <w:divBdr>
                        <w:top w:val="none" w:sz="0" w:space="0" w:color="auto"/>
                        <w:left w:val="none" w:sz="0" w:space="0" w:color="auto"/>
                        <w:bottom w:val="none" w:sz="0" w:space="0" w:color="auto"/>
                        <w:right w:val="none" w:sz="0" w:space="0" w:color="auto"/>
                      </w:divBdr>
                    </w:div>
                  </w:divsChild>
                </w:div>
                <w:div w:id="397675626">
                  <w:marLeft w:val="0"/>
                  <w:marRight w:val="0"/>
                  <w:marTop w:val="0"/>
                  <w:marBottom w:val="0"/>
                  <w:divBdr>
                    <w:top w:val="none" w:sz="0" w:space="0" w:color="auto"/>
                    <w:left w:val="none" w:sz="0" w:space="0" w:color="auto"/>
                    <w:bottom w:val="none" w:sz="0" w:space="0" w:color="auto"/>
                    <w:right w:val="none" w:sz="0" w:space="0" w:color="auto"/>
                  </w:divBdr>
                  <w:divsChild>
                    <w:div w:id="444929266">
                      <w:marLeft w:val="0"/>
                      <w:marRight w:val="0"/>
                      <w:marTop w:val="0"/>
                      <w:marBottom w:val="0"/>
                      <w:divBdr>
                        <w:top w:val="none" w:sz="0" w:space="0" w:color="auto"/>
                        <w:left w:val="none" w:sz="0" w:space="0" w:color="auto"/>
                        <w:bottom w:val="none" w:sz="0" w:space="0" w:color="auto"/>
                        <w:right w:val="none" w:sz="0" w:space="0" w:color="auto"/>
                      </w:divBdr>
                    </w:div>
                    <w:div w:id="585110553">
                      <w:marLeft w:val="0"/>
                      <w:marRight w:val="0"/>
                      <w:marTop w:val="0"/>
                      <w:marBottom w:val="0"/>
                      <w:divBdr>
                        <w:top w:val="none" w:sz="0" w:space="0" w:color="auto"/>
                        <w:left w:val="none" w:sz="0" w:space="0" w:color="auto"/>
                        <w:bottom w:val="none" w:sz="0" w:space="0" w:color="auto"/>
                        <w:right w:val="none" w:sz="0" w:space="0" w:color="auto"/>
                      </w:divBdr>
                    </w:div>
                    <w:div w:id="591621122">
                      <w:marLeft w:val="0"/>
                      <w:marRight w:val="0"/>
                      <w:marTop w:val="0"/>
                      <w:marBottom w:val="0"/>
                      <w:divBdr>
                        <w:top w:val="none" w:sz="0" w:space="0" w:color="auto"/>
                        <w:left w:val="none" w:sz="0" w:space="0" w:color="auto"/>
                        <w:bottom w:val="none" w:sz="0" w:space="0" w:color="auto"/>
                        <w:right w:val="none" w:sz="0" w:space="0" w:color="auto"/>
                      </w:divBdr>
                    </w:div>
                    <w:div w:id="688675720">
                      <w:marLeft w:val="0"/>
                      <w:marRight w:val="0"/>
                      <w:marTop w:val="0"/>
                      <w:marBottom w:val="0"/>
                      <w:divBdr>
                        <w:top w:val="none" w:sz="0" w:space="0" w:color="auto"/>
                        <w:left w:val="none" w:sz="0" w:space="0" w:color="auto"/>
                        <w:bottom w:val="none" w:sz="0" w:space="0" w:color="auto"/>
                        <w:right w:val="none" w:sz="0" w:space="0" w:color="auto"/>
                      </w:divBdr>
                    </w:div>
                    <w:div w:id="912081078">
                      <w:marLeft w:val="0"/>
                      <w:marRight w:val="0"/>
                      <w:marTop w:val="0"/>
                      <w:marBottom w:val="0"/>
                      <w:divBdr>
                        <w:top w:val="none" w:sz="0" w:space="0" w:color="auto"/>
                        <w:left w:val="none" w:sz="0" w:space="0" w:color="auto"/>
                        <w:bottom w:val="none" w:sz="0" w:space="0" w:color="auto"/>
                        <w:right w:val="none" w:sz="0" w:space="0" w:color="auto"/>
                      </w:divBdr>
                    </w:div>
                  </w:divsChild>
                </w:div>
                <w:div w:id="415639419">
                  <w:marLeft w:val="0"/>
                  <w:marRight w:val="0"/>
                  <w:marTop w:val="0"/>
                  <w:marBottom w:val="0"/>
                  <w:divBdr>
                    <w:top w:val="none" w:sz="0" w:space="0" w:color="auto"/>
                    <w:left w:val="none" w:sz="0" w:space="0" w:color="auto"/>
                    <w:bottom w:val="none" w:sz="0" w:space="0" w:color="auto"/>
                    <w:right w:val="none" w:sz="0" w:space="0" w:color="auto"/>
                  </w:divBdr>
                  <w:divsChild>
                    <w:div w:id="1388141431">
                      <w:marLeft w:val="0"/>
                      <w:marRight w:val="0"/>
                      <w:marTop w:val="0"/>
                      <w:marBottom w:val="0"/>
                      <w:divBdr>
                        <w:top w:val="none" w:sz="0" w:space="0" w:color="auto"/>
                        <w:left w:val="none" w:sz="0" w:space="0" w:color="auto"/>
                        <w:bottom w:val="none" w:sz="0" w:space="0" w:color="auto"/>
                        <w:right w:val="none" w:sz="0" w:space="0" w:color="auto"/>
                      </w:divBdr>
                    </w:div>
                  </w:divsChild>
                </w:div>
                <w:div w:id="437720019">
                  <w:marLeft w:val="0"/>
                  <w:marRight w:val="0"/>
                  <w:marTop w:val="0"/>
                  <w:marBottom w:val="0"/>
                  <w:divBdr>
                    <w:top w:val="none" w:sz="0" w:space="0" w:color="auto"/>
                    <w:left w:val="none" w:sz="0" w:space="0" w:color="auto"/>
                    <w:bottom w:val="none" w:sz="0" w:space="0" w:color="auto"/>
                    <w:right w:val="none" w:sz="0" w:space="0" w:color="auto"/>
                  </w:divBdr>
                  <w:divsChild>
                    <w:div w:id="187065909">
                      <w:marLeft w:val="0"/>
                      <w:marRight w:val="0"/>
                      <w:marTop w:val="0"/>
                      <w:marBottom w:val="0"/>
                      <w:divBdr>
                        <w:top w:val="none" w:sz="0" w:space="0" w:color="auto"/>
                        <w:left w:val="none" w:sz="0" w:space="0" w:color="auto"/>
                        <w:bottom w:val="none" w:sz="0" w:space="0" w:color="auto"/>
                        <w:right w:val="none" w:sz="0" w:space="0" w:color="auto"/>
                      </w:divBdr>
                    </w:div>
                    <w:div w:id="751122470">
                      <w:marLeft w:val="0"/>
                      <w:marRight w:val="0"/>
                      <w:marTop w:val="0"/>
                      <w:marBottom w:val="0"/>
                      <w:divBdr>
                        <w:top w:val="none" w:sz="0" w:space="0" w:color="auto"/>
                        <w:left w:val="none" w:sz="0" w:space="0" w:color="auto"/>
                        <w:bottom w:val="none" w:sz="0" w:space="0" w:color="auto"/>
                        <w:right w:val="none" w:sz="0" w:space="0" w:color="auto"/>
                      </w:divBdr>
                    </w:div>
                    <w:div w:id="1052924990">
                      <w:marLeft w:val="0"/>
                      <w:marRight w:val="0"/>
                      <w:marTop w:val="0"/>
                      <w:marBottom w:val="0"/>
                      <w:divBdr>
                        <w:top w:val="none" w:sz="0" w:space="0" w:color="auto"/>
                        <w:left w:val="none" w:sz="0" w:space="0" w:color="auto"/>
                        <w:bottom w:val="none" w:sz="0" w:space="0" w:color="auto"/>
                        <w:right w:val="none" w:sz="0" w:space="0" w:color="auto"/>
                      </w:divBdr>
                    </w:div>
                  </w:divsChild>
                </w:div>
                <w:div w:id="465003848">
                  <w:marLeft w:val="0"/>
                  <w:marRight w:val="0"/>
                  <w:marTop w:val="0"/>
                  <w:marBottom w:val="0"/>
                  <w:divBdr>
                    <w:top w:val="none" w:sz="0" w:space="0" w:color="auto"/>
                    <w:left w:val="none" w:sz="0" w:space="0" w:color="auto"/>
                    <w:bottom w:val="none" w:sz="0" w:space="0" w:color="auto"/>
                    <w:right w:val="none" w:sz="0" w:space="0" w:color="auto"/>
                  </w:divBdr>
                  <w:divsChild>
                    <w:div w:id="199056310">
                      <w:marLeft w:val="0"/>
                      <w:marRight w:val="0"/>
                      <w:marTop w:val="0"/>
                      <w:marBottom w:val="0"/>
                      <w:divBdr>
                        <w:top w:val="none" w:sz="0" w:space="0" w:color="auto"/>
                        <w:left w:val="none" w:sz="0" w:space="0" w:color="auto"/>
                        <w:bottom w:val="none" w:sz="0" w:space="0" w:color="auto"/>
                        <w:right w:val="none" w:sz="0" w:space="0" w:color="auto"/>
                      </w:divBdr>
                    </w:div>
                    <w:div w:id="201867296">
                      <w:marLeft w:val="0"/>
                      <w:marRight w:val="0"/>
                      <w:marTop w:val="0"/>
                      <w:marBottom w:val="0"/>
                      <w:divBdr>
                        <w:top w:val="none" w:sz="0" w:space="0" w:color="auto"/>
                        <w:left w:val="none" w:sz="0" w:space="0" w:color="auto"/>
                        <w:bottom w:val="none" w:sz="0" w:space="0" w:color="auto"/>
                        <w:right w:val="none" w:sz="0" w:space="0" w:color="auto"/>
                      </w:divBdr>
                    </w:div>
                    <w:div w:id="296103353">
                      <w:marLeft w:val="0"/>
                      <w:marRight w:val="0"/>
                      <w:marTop w:val="0"/>
                      <w:marBottom w:val="0"/>
                      <w:divBdr>
                        <w:top w:val="none" w:sz="0" w:space="0" w:color="auto"/>
                        <w:left w:val="none" w:sz="0" w:space="0" w:color="auto"/>
                        <w:bottom w:val="none" w:sz="0" w:space="0" w:color="auto"/>
                        <w:right w:val="none" w:sz="0" w:space="0" w:color="auto"/>
                      </w:divBdr>
                    </w:div>
                    <w:div w:id="629555947">
                      <w:marLeft w:val="0"/>
                      <w:marRight w:val="0"/>
                      <w:marTop w:val="0"/>
                      <w:marBottom w:val="0"/>
                      <w:divBdr>
                        <w:top w:val="none" w:sz="0" w:space="0" w:color="auto"/>
                        <w:left w:val="none" w:sz="0" w:space="0" w:color="auto"/>
                        <w:bottom w:val="none" w:sz="0" w:space="0" w:color="auto"/>
                        <w:right w:val="none" w:sz="0" w:space="0" w:color="auto"/>
                      </w:divBdr>
                    </w:div>
                    <w:div w:id="1160930595">
                      <w:marLeft w:val="0"/>
                      <w:marRight w:val="0"/>
                      <w:marTop w:val="0"/>
                      <w:marBottom w:val="0"/>
                      <w:divBdr>
                        <w:top w:val="none" w:sz="0" w:space="0" w:color="auto"/>
                        <w:left w:val="none" w:sz="0" w:space="0" w:color="auto"/>
                        <w:bottom w:val="none" w:sz="0" w:space="0" w:color="auto"/>
                        <w:right w:val="none" w:sz="0" w:space="0" w:color="auto"/>
                      </w:divBdr>
                    </w:div>
                    <w:div w:id="1358240642">
                      <w:marLeft w:val="0"/>
                      <w:marRight w:val="0"/>
                      <w:marTop w:val="0"/>
                      <w:marBottom w:val="0"/>
                      <w:divBdr>
                        <w:top w:val="none" w:sz="0" w:space="0" w:color="auto"/>
                        <w:left w:val="none" w:sz="0" w:space="0" w:color="auto"/>
                        <w:bottom w:val="none" w:sz="0" w:space="0" w:color="auto"/>
                        <w:right w:val="none" w:sz="0" w:space="0" w:color="auto"/>
                      </w:divBdr>
                    </w:div>
                    <w:div w:id="1552687419">
                      <w:marLeft w:val="0"/>
                      <w:marRight w:val="0"/>
                      <w:marTop w:val="0"/>
                      <w:marBottom w:val="0"/>
                      <w:divBdr>
                        <w:top w:val="none" w:sz="0" w:space="0" w:color="auto"/>
                        <w:left w:val="none" w:sz="0" w:space="0" w:color="auto"/>
                        <w:bottom w:val="none" w:sz="0" w:space="0" w:color="auto"/>
                        <w:right w:val="none" w:sz="0" w:space="0" w:color="auto"/>
                      </w:divBdr>
                    </w:div>
                    <w:div w:id="1593663556">
                      <w:marLeft w:val="0"/>
                      <w:marRight w:val="0"/>
                      <w:marTop w:val="0"/>
                      <w:marBottom w:val="0"/>
                      <w:divBdr>
                        <w:top w:val="none" w:sz="0" w:space="0" w:color="auto"/>
                        <w:left w:val="none" w:sz="0" w:space="0" w:color="auto"/>
                        <w:bottom w:val="none" w:sz="0" w:space="0" w:color="auto"/>
                        <w:right w:val="none" w:sz="0" w:space="0" w:color="auto"/>
                      </w:divBdr>
                    </w:div>
                    <w:div w:id="1614901201">
                      <w:marLeft w:val="0"/>
                      <w:marRight w:val="0"/>
                      <w:marTop w:val="0"/>
                      <w:marBottom w:val="0"/>
                      <w:divBdr>
                        <w:top w:val="none" w:sz="0" w:space="0" w:color="auto"/>
                        <w:left w:val="none" w:sz="0" w:space="0" w:color="auto"/>
                        <w:bottom w:val="none" w:sz="0" w:space="0" w:color="auto"/>
                        <w:right w:val="none" w:sz="0" w:space="0" w:color="auto"/>
                      </w:divBdr>
                    </w:div>
                    <w:div w:id="1985044624">
                      <w:marLeft w:val="0"/>
                      <w:marRight w:val="0"/>
                      <w:marTop w:val="0"/>
                      <w:marBottom w:val="0"/>
                      <w:divBdr>
                        <w:top w:val="none" w:sz="0" w:space="0" w:color="auto"/>
                        <w:left w:val="none" w:sz="0" w:space="0" w:color="auto"/>
                        <w:bottom w:val="none" w:sz="0" w:space="0" w:color="auto"/>
                        <w:right w:val="none" w:sz="0" w:space="0" w:color="auto"/>
                      </w:divBdr>
                    </w:div>
                    <w:div w:id="2051109972">
                      <w:marLeft w:val="0"/>
                      <w:marRight w:val="0"/>
                      <w:marTop w:val="0"/>
                      <w:marBottom w:val="0"/>
                      <w:divBdr>
                        <w:top w:val="none" w:sz="0" w:space="0" w:color="auto"/>
                        <w:left w:val="none" w:sz="0" w:space="0" w:color="auto"/>
                        <w:bottom w:val="none" w:sz="0" w:space="0" w:color="auto"/>
                        <w:right w:val="none" w:sz="0" w:space="0" w:color="auto"/>
                      </w:divBdr>
                    </w:div>
                  </w:divsChild>
                </w:div>
                <w:div w:id="507988400">
                  <w:marLeft w:val="0"/>
                  <w:marRight w:val="0"/>
                  <w:marTop w:val="0"/>
                  <w:marBottom w:val="0"/>
                  <w:divBdr>
                    <w:top w:val="none" w:sz="0" w:space="0" w:color="auto"/>
                    <w:left w:val="none" w:sz="0" w:space="0" w:color="auto"/>
                    <w:bottom w:val="none" w:sz="0" w:space="0" w:color="auto"/>
                    <w:right w:val="none" w:sz="0" w:space="0" w:color="auto"/>
                  </w:divBdr>
                  <w:divsChild>
                    <w:div w:id="214663108">
                      <w:marLeft w:val="0"/>
                      <w:marRight w:val="0"/>
                      <w:marTop w:val="0"/>
                      <w:marBottom w:val="0"/>
                      <w:divBdr>
                        <w:top w:val="none" w:sz="0" w:space="0" w:color="auto"/>
                        <w:left w:val="none" w:sz="0" w:space="0" w:color="auto"/>
                        <w:bottom w:val="none" w:sz="0" w:space="0" w:color="auto"/>
                        <w:right w:val="none" w:sz="0" w:space="0" w:color="auto"/>
                      </w:divBdr>
                    </w:div>
                  </w:divsChild>
                </w:div>
                <w:div w:id="563830032">
                  <w:marLeft w:val="0"/>
                  <w:marRight w:val="0"/>
                  <w:marTop w:val="0"/>
                  <w:marBottom w:val="0"/>
                  <w:divBdr>
                    <w:top w:val="none" w:sz="0" w:space="0" w:color="auto"/>
                    <w:left w:val="none" w:sz="0" w:space="0" w:color="auto"/>
                    <w:bottom w:val="none" w:sz="0" w:space="0" w:color="auto"/>
                    <w:right w:val="none" w:sz="0" w:space="0" w:color="auto"/>
                  </w:divBdr>
                  <w:divsChild>
                    <w:div w:id="442268525">
                      <w:marLeft w:val="0"/>
                      <w:marRight w:val="0"/>
                      <w:marTop w:val="0"/>
                      <w:marBottom w:val="0"/>
                      <w:divBdr>
                        <w:top w:val="none" w:sz="0" w:space="0" w:color="auto"/>
                        <w:left w:val="none" w:sz="0" w:space="0" w:color="auto"/>
                        <w:bottom w:val="none" w:sz="0" w:space="0" w:color="auto"/>
                        <w:right w:val="none" w:sz="0" w:space="0" w:color="auto"/>
                      </w:divBdr>
                    </w:div>
                  </w:divsChild>
                </w:div>
                <w:div w:id="768354048">
                  <w:marLeft w:val="0"/>
                  <w:marRight w:val="0"/>
                  <w:marTop w:val="0"/>
                  <w:marBottom w:val="0"/>
                  <w:divBdr>
                    <w:top w:val="none" w:sz="0" w:space="0" w:color="auto"/>
                    <w:left w:val="none" w:sz="0" w:space="0" w:color="auto"/>
                    <w:bottom w:val="none" w:sz="0" w:space="0" w:color="auto"/>
                    <w:right w:val="none" w:sz="0" w:space="0" w:color="auto"/>
                  </w:divBdr>
                  <w:divsChild>
                    <w:div w:id="420759655">
                      <w:marLeft w:val="0"/>
                      <w:marRight w:val="0"/>
                      <w:marTop w:val="0"/>
                      <w:marBottom w:val="0"/>
                      <w:divBdr>
                        <w:top w:val="none" w:sz="0" w:space="0" w:color="auto"/>
                        <w:left w:val="none" w:sz="0" w:space="0" w:color="auto"/>
                        <w:bottom w:val="none" w:sz="0" w:space="0" w:color="auto"/>
                        <w:right w:val="none" w:sz="0" w:space="0" w:color="auto"/>
                      </w:divBdr>
                    </w:div>
                  </w:divsChild>
                </w:div>
                <w:div w:id="805388967">
                  <w:marLeft w:val="0"/>
                  <w:marRight w:val="0"/>
                  <w:marTop w:val="0"/>
                  <w:marBottom w:val="0"/>
                  <w:divBdr>
                    <w:top w:val="none" w:sz="0" w:space="0" w:color="auto"/>
                    <w:left w:val="none" w:sz="0" w:space="0" w:color="auto"/>
                    <w:bottom w:val="none" w:sz="0" w:space="0" w:color="auto"/>
                    <w:right w:val="none" w:sz="0" w:space="0" w:color="auto"/>
                  </w:divBdr>
                  <w:divsChild>
                    <w:div w:id="26029527">
                      <w:marLeft w:val="0"/>
                      <w:marRight w:val="0"/>
                      <w:marTop w:val="0"/>
                      <w:marBottom w:val="0"/>
                      <w:divBdr>
                        <w:top w:val="none" w:sz="0" w:space="0" w:color="auto"/>
                        <w:left w:val="none" w:sz="0" w:space="0" w:color="auto"/>
                        <w:bottom w:val="none" w:sz="0" w:space="0" w:color="auto"/>
                        <w:right w:val="none" w:sz="0" w:space="0" w:color="auto"/>
                      </w:divBdr>
                    </w:div>
                    <w:div w:id="1751854588">
                      <w:marLeft w:val="0"/>
                      <w:marRight w:val="0"/>
                      <w:marTop w:val="0"/>
                      <w:marBottom w:val="0"/>
                      <w:divBdr>
                        <w:top w:val="none" w:sz="0" w:space="0" w:color="auto"/>
                        <w:left w:val="none" w:sz="0" w:space="0" w:color="auto"/>
                        <w:bottom w:val="none" w:sz="0" w:space="0" w:color="auto"/>
                        <w:right w:val="none" w:sz="0" w:space="0" w:color="auto"/>
                      </w:divBdr>
                    </w:div>
                  </w:divsChild>
                </w:div>
                <w:div w:id="823275149">
                  <w:marLeft w:val="0"/>
                  <w:marRight w:val="0"/>
                  <w:marTop w:val="0"/>
                  <w:marBottom w:val="0"/>
                  <w:divBdr>
                    <w:top w:val="none" w:sz="0" w:space="0" w:color="auto"/>
                    <w:left w:val="none" w:sz="0" w:space="0" w:color="auto"/>
                    <w:bottom w:val="none" w:sz="0" w:space="0" w:color="auto"/>
                    <w:right w:val="none" w:sz="0" w:space="0" w:color="auto"/>
                  </w:divBdr>
                  <w:divsChild>
                    <w:div w:id="276835678">
                      <w:marLeft w:val="0"/>
                      <w:marRight w:val="0"/>
                      <w:marTop w:val="0"/>
                      <w:marBottom w:val="0"/>
                      <w:divBdr>
                        <w:top w:val="none" w:sz="0" w:space="0" w:color="auto"/>
                        <w:left w:val="none" w:sz="0" w:space="0" w:color="auto"/>
                        <w:bottom w:val="none" w:sz="0" w:space="0" w:color="auto"/>
                        <w:right w:val="none" w:sz="0" w:space="0" w:color="auto"/>
                      </w:divBdr>
                    </w:div>
                    <w:div w:id="684210057">
                      <w:marLeft w:val="0"/>
                      <w:marRight w:val="0"/>
                      <w:marTop w:val="0"/>
                      <w:marBottom w:val="0"/>
                      <w:divBdr>
                        <w:top w:val="none" w:sz="0" w:space="0" w:color="auto"/>
                        <w:left w:val="none" w:sz="0" w:space="0" w:color="auto"/>
                        <w:bottom w:val="none" w:sz="0" w:space="0" w:color="auto"/>
                        <w:right w:val="none" w:sz="0" w:space="0" w:color="auto"/>
                      </w:divBdr>
                    </w:div>
                    <w:div w:id="692924324">
                      <w:marLeft w:val="0"/>
                      <w:marRight w:val="0"/>
                      <w:marTop w:val="0"/>
                      <w:marBottom w:val="0"/>
                      <w:divBdr>
                        <w:top w:val="none" w:sz="0" w:space="0" w:color="auto"/>
                        <w:left w:val="none" w:sz="0" w:space="0" w:color="auto"/>
                        <w:bottom w:val="none" w:sz="0" w:space="0" w:color="auto"/>
                        <w:right w:val="none" w:sz="0" w:space="0" w:color="auto"/>
                      </w:divBdr>
                    </w:div>
                    <w:div w:id="1119497548">
                      <w:marLeft w:val="0"/>
                      <w:marRight w:val="0"/>
                      <w:marTop w:val="0"/>
                      <w:marBottom w:val="0"/>
                      <w:divBdr>
                        <w:top w:val="none" w:sz="0" w:space="0" w:color="auto"/>
                        <w:left w:val="none" w:sz="0" w:space="0" w:color="auto"/>
                        <w:bottom w:val="none" w:sz="0" w:space="0" w:color="auto"/>
                        <w:right w:val="none" w:sz="0" w:space="0" w:color="auto"/>
                      </w:divBdr>
                    </w:div>
                    <w:div w:id="1242720772">
                      <w:marLeft w:val="0"/>
                      <w:marRight w:val="0"/>
                      <w:marTop w:val="0"/>
                      <w:marBottom w:val="0"/>
                      <w:divBdr>
                        <w:top w:val="none" w:sz="0" w:space="0" w:color="auto"/>
                        <w:left w:val="none" w:sz="0" w:space="0" w:color="auto"/>
                        <w:bottom w:val="none" w:sz="0" w:space="0" w:color="auto"/>
                        <w:right w:val="none" w:sz="0" w:space="0" w:color="auto"/>
                      </w:divBdr>
                    </w:div>
                    <w:div w:id="1244342829">
                      <w:marLeft w:val="0"/>
                      <w:marRight w:val="0"/>
                      <w:marTop w:val="0"/>
                      <w:marBottom w:val="0"/>
                      <w:divBdr>
                        <w:top w:val="none" w:sz="0" w:space="0" w:color="auto"/>
                        <w:left w:val="none" w:sz="0" w:space="0" w:color="auto"/>
                        <w:bottom w:val="none" w:sz="0" w:space="0" w:color="auto"/>
                        <w:right w:val="none" w:sz="0" w:space="0" w:color="auto"/>
                      </w:divBdr>
                    </w:div>
                    <w:div w:id="1543783674">
                      <w:marLeft w:val="0"/>
                      <w:marRight w:val="0"/>
                      <w:marTop w:val="0"/>
                      <w:marBottom w:val="0"/>
                      <w:divBdr>
                        <w:top w:val="none" w:sz="0" w:space="0" w:color="auto"/>
                        <w:left w:val="none" w:sz="0" w:space="0" w:color="auto"/>
                        <w:bottom w:val="none" w:sz="0" w:space="0" w:color="auto"/>
                        <w:right w:val="none" w:sz="0" w:space="0" w:color="auto"/>
                      </w:divBdr>
                    </w:div>
                    <w:div w:id="1737825980">
                      <w:marLeft w:val="0"/>
                      <w:marRight w:val="0"/>
                      <w:marTop w:val="0"/>
                      <w:marBottom w:val="0"/>
                      <w:divBdr>
                        <w:top w:val="none" w:sz="0" w:space="0" w:color="auto"/>
                        <w:left w:val="none" w:sz="0" w:space="0" w:color="auto"/>
                        <w:bottom w:val="none" w:sz="0" w:space="0" w:color="auto"/>
                        <w:right w:val="none" w:sz="0" w:space="0" w:color="auto"/>
                      </w:divBdr>
                    </w:div>
                    <w:div w:id="1864400096">
                      <w:marLeft w:val="0"/>
                      <w:marRight w:val="0"/>
                      <w:marTop w:val="0"/>
                      <w:marBottom w:val="0"/>
                      <w:divBdr>
                        <w:top w:val="none" w:sz="0" w:space="0" w:color="auto"/>
                        <w:left w:val="none" w:sz="0" w:space="0" w:color="auto"/>
                        <w:bottom w:val="none" w:sz="0" w:space="0" w:color="auto"/>
                        <w:right w:val="none" w:sz="0" w:space="0" w:color="auto"/>
                      </w:divBdr>
                    </w:div>
                    <w:div w:id="1915234509">
                      <w:marLeft w:val="0"/>
                      <w:marRight w:val="0"/>
                      <w:marTop w:val="0"/>
                      <w:marBottom w:val="0"/>
                      <w:divBdr>
                        <w:top w:val="none" w:sz="0" w:space="0" w:color="auto"/>
                        <w:left w:val="none" w:sz="0" w:space="0" w:color="auto"/>
                        <w:bottom w:val="none" w:sz="0" w:space="0" w:color="auto"/>
                        <w:right w:val="none" w:sz="0" w:space="0" w:color="auto"/>
                      </w:divBdr>
                    </w:div>
                  </w:divsChild>
                </w:div>
                <w:div w:id="865600104">
                  <w:marLeft w:val="0"/>
                  <w:marRight w:val="0"/>
                  <w:marTop w:val="0"/>
                  <w:marBottom w:val="0"/>
                  <w:divBdr>
                    <w:top w:val="none" w:sz="0" w:space="0" w:color="auto"/>
                    <w:left w:val="none" w:sz="0" w:space="0" w:color="auto"/>
                    <w:bottom w:val="none" w:sz="0" w:space="0" w:color="auto"/>
                    <w:right w:val="none" w:sz="0" w:space="0" w:color="auto"/>
                  </w:divBdr>
                  <w:divsChild>
                    <w:div w:id="497774107">
                      <w:marLeft w:val="0"/>
                      <w:marRight w:val="0"/>
                      <w:marTop w:val="0"/>
                      <w:marBottom w:val="0"/>
                      <w:divBdr>
                        <w:top w:val="none" w:sz="0" w:space="0" w:color="auto"/>
                        <w:left w:val="none" w:sz="0" w:space="0" w:color="auto"/>
                        <w:bottom w:val="none" w:sz="0" w:space="0" w:color="auto"/>
                        <w:right w:val="none" w:sz="0" w:space="0" w:color="auto"/>
                      </w:divBdr>
                    </w:div>
                    <w:div w:id="1897932038">
                      <w:marLeft w:val="0"/>
                      <w:marRight w:val="0"/>
                      <w:marTop w:val="0"/>
                      <w:marBottom w:val="0"/>
                      <w:divBdr>
                        <w:top w:val="none" w:sz="0" w:space="0" w:color="auto"/>
                        <w:left w:val="none" w:sz="0" w:space="0" w:color="auto"/>
                        <w:bottom w:val="none" w:sz="0" w:space="0" w:color="auto"/>
                        <w:right w:val="none" w:sz="0" w:space="0" w:color="auto"/>
                      </w:divBdr>
                    </w:div>
                    <w:div w:id="1902403668">
                      <w:marLeft w:val="0"/>
                      <w:marRight w:val="0"/>
                      <w:marTop w:val="0"/>
                      <w:marBottom w:val="0"/>
                      <w:divBdr>
                        <w:top w:val="none" w:sz="0" w:space="0" w:color="auto"/>
                        <w:left w:val="none" w:sz="0" w:space="0" w:color="auto"/>
                        <w:bottom w:val="none" w:sz="0" w:space="0" w:color="auto"/>
                        <w:right w:val="none" w:sz="0" w:space="0" w:color="auto"/>
                      </w:divBdr>
                    </w:div>
                  </w:divsChild>
                </w:div>
                <w:div w:id="877011200">
                  <w:marLeft w:val="0"/>
                  <w:marRight w:val="0"/>
                  <w:marTop w:val="0"/>
                  <w:marBottom w:val="0"/>
                  <w:divBdr>
                    <w:top w:val="none" w:sz="0" w:space="0" w:color="auto"/>
                    <w:left w:val="none" w:sz="0" w:space="0" w:color="auto"/>
                    <w:bottom w:val="none" w:sz="0" w:space="0" w:color="auto"/>
                    <w:right w:val="none" w:sz="0" w:space="0" w:color="auto"/>
                  </w:divBdr>
                  <w:divsChild>
                    <w:div w:id="70932387">
                      <w:marLeft w:val="0"/>
                      <w:marRight w:val="0"/>
                      <w:marTop w:val="0"/>
                      <w:marBottom w:val="0"/>
                      <w:divBdr>
                        <w:top w:val="none" w:sz="0" w:space="0" w:color="auto"/>
                        <w:left w:val="none" w:sz="0" w:space="0" w:color="auto"/>
                        <w:bottom w:val="none" w:sz="0" w:space="0" w:color="auto"/>
                        <w:right w:val="none" w:sz="0" w:space="0" w:color="auto"/>
                      </w:divBdr>
                    </w:div>
                    <w:div w:id="563103520">
                      <w:marLeft w:val="0"/>
                      <w:marRight w:val="0"/>
                      <w:marTop w:val="0"/>
                      <w:marBottom w:val="0"/>
                      <w:divBdr>
                        <w:top w:val="none" w:sz="0" w:space="0" w:color="auto"/>
                        <w:left w:val="none" w:sz="0" w:space="0" w:color="auto"/>
                        <w:bottom w:val="none" w:sz="0" w:space="0" w:color="auto"/>
                        <w:right w:val="none" w:sz="0" w:space="0" w:color="auto"/>
                      </w:divBdr>
                    </w:div>
                    <w:div w:id="884827806">
                      <w:marLeft w:val="0"/>
                      <w:marRight w:val="0"/>
                      <w:marTop w:val="0"/>
                      <w:marBottom w:val="0"/>
                      <w:divBdr>
                        <w:top w:val="none" w:sz="0" w:space="0" w:color="auto"/>
                        <w:left w:val="none" w:sz="0" w:space="0" w:color="auto"/>
                        <w:bottom w:val="none" w:sz="0" w:space="0" w:color="auto"/>
                        <w:right w:val="none" w:sz="0" w:space="0" w:color="auto"/>
                      </w:divBdr>
                    </w:div>
                    <w:div w:id="927693524">
                      <w:marLeft w:val="0"/>
                      <w:marRight w:val="0"/>
                      <w:marTop w:val="0"/>
                      <w:marBottom w:val="0"/>
                      <w:divBdr>
                        <w:top w:val="none" w:sz="0" w:space="0" w:color="auto"/>
                        <w:left w:val="none" w:sz="0" w:space="0" w:color="auto"/>
                        <w:bottom w:val="none" w:sz="0" w:space="0" w:color="auto"/>
                        <w:right w:val="none" w:sz="0" w:space="0" w:color="auto"/>
                      </w:divBdr>
                    </w:div>
                    <w:div w:id="1181315724">
                      <w:marLeft w:val="0"/>
                      <w:marRight w:val="0"/>
                      <w:marTop w:val="0"/>
                      <w:marBottom w:val="0"/>
                      <w:divBdr>
                        <w:top w:val="none" w:sz="0" w:space="0" w:color="auto"/>
                        <w:left w:val="none" w:sz="0" w:space="0" w:color="auto"/>
                        <w:bottom w:val="none" w:sz="0" w:space="0" w:color="auto"/>
                        <w:right w:val="none" w:sz="0" w:space="0" w:color="auto"/>
                      </w:divBdr>
                    </w:div>
                    <w:div w:id="1406104612">
                      <w:marLeft w:val="0"/>
                      <w:marRight w:val="0"/>
                      <w:marTop w:val="0"/>
                      <w:marBottom w:val="0"/>
                      <w:divBdr>
                        <w:top w:val="none" w:sz="0" w:space="0" w:color="auto"/>
                        <w:left w:val="none" w:sz="0" w:space="0" w:color="auto"/>
                        <w:bottom w:val="none" w:sz="0" w:space="0" w:color="auto"/>
                        <w:right w:val="none" w:sz="0" w:space="0" w:color="auto"/>
                      </w:divBdr>
                    </w:div>
                    <w:div w:id="1670252914">
                      <w:marLeft w:val="0"/>
                      <w:marRight w:val="0"/>
                      <w:marTop w:val="0"/>
                      <w:marBottom w:val="0"/>
                      <w:divBdr>
                        <w:top w:val="none" w:sz="0" w:space="0" w:color="auto"/>
                        <w:left w:val="none" w:sz="0" w:space="0" w:color="auto"/>
                        <w:bottom w:val="none" w:sz="0" w:space="0" w:color="auto"/>
                        <w:right w:val="none" w:sz="0" w:space="0" w:color="auto"/>
                      </w:divBdr>
                    </w:div>
                  </w:divsChild>
                </w:div>
                <w:div w:id="899093712">
                  <w:marLeft w:val="0"/>
                  <w:marRight w:val="0"/>
                  <w:marTop w:val="0"/>
                  <w:marBottom w:val="0"/>
                  <w:divBdr>
                    <w:top w:val="none" w:sz="0" w:space="0" w:color="auto"/>
                    <w:left w:val="none" w:sz="0" w:space="0" w:color="auto"/>
                    <w:bottom w:val="none" w:sz="0" w:space="0" w:color="auto"/>
                    <w:right w:val="none" w:sz="0" w:space="0" w:color="auto"/>
                  </w:divBdr>
                  <w:divsChild>
                    <w:div w:id="1964924669">
                      <w:marLeft w:val="0"/>
                      <w:marRight w:val="0"/>
                      <w:marTop w:val="0"/>
                      <w:marBottom w:val="0"/>
                      <w:divBdr>
                        <w:top w:val="none" w:sz="0" w:space="0" w:color="auto"/>
                        <w:left w:val="none" w:sz="0" w:space="0" w:color="auto"/>
                        <w:bottom w:val="none" w:sz="0" w:space="0" w:color="auto"/>
                        <w:right w:val="none" w:sz="0" w:space="0" w:color="auto"/>
                      </w:divBdr>
                    </w:div>
                  </w:divsChild>
                </w:div>
                <w:div w:id="1052919853">
                  <w:marLeft w:val="0"/>
                  <w:marRight w:val="0"/>
                  <w:marTop w:val="0"/>
                  <w:marBottom w:val="0"/>
                  <w:divBdr>
                    <w:top w:val="none" w:sz="0" w:space="0" w:color="auto"/>
                    <w:left w:val="none" w:sz="0" w:space="0" w:color="auto"/>
                    <w:bottom w:val="none" w:sz="0" w:space="0" w:color="auto"/>
                    <w:right w:val="none" w:sz="0" w:space="0" w:color="auto"/>
                  </w:divBdr>
                  <w:divsChild>
                    <w:div w:id="660887778">
                      <w:marLeft w:val="0"/>
                      <w:marRight w:val="0"/>
                      <w:marTop w:val="0"/>
                      <w:marBottom w:val="0"/>
                      <w:divBdr>
                        <w:top w:val="none" w:sz="0" w:space="0" w:color="auto"/>
                        <w:left w:val="none" w:sz="0" w:space="0" w:color="auto"/>
                        <w:bottom w:val="none" w:sz="0" w:space="0" w:color="auto"/>
                        <w:right w:val="none" w:sz="0" w:space="0" w:color="auto"/>
                      </w:divBdr>
                    </w:div>
                    <w:div w:id="1851797616">
                      <w:marLeft w:val="0"/>
                      <w:marRight w:val="0"/>
                      <w:marTop w:val="0"/>
                      <w:marBottom w:val="0"/>
                      <w:divBdr>
                        <w:top w:val="none" w:sz="0" w:space="0" w:color="auto"/>
                        <w:left w:val="none" w:sz="0" w:space="0" w:color="auto"/>
                        <w:bottom w:val="none" w:sz="0" w:space="0" w:color="auto"/>
                        <w:right w:val="none" w:sz="0" w:space="0" w:color="auto"/>
                      </w:divBdr>
                    </w:div>
                  </w:divsChild>
                </w:div>
                <w:div w:id="1065958237">
                  <w:marLeft w:val="0"/>
                  <w:marRight w:val="0"/>
                  <w:marTop w:val="0"/>
                  <w:marBottom w:val="0"/>
                  <w:divBdr>
                    <w:top w:val="none" w:sz="0" w:space="0" w:color="auto"/>
                    <w:left w:val="none" w:sz="0" w:space="0" w:color="auto"/>
                    <w:bottom w:val="none" w:sz="0" w:space="0" w:color="auto"/>
                    <w:right w:val="none" w:sz="0" w:space="0" w:color="auto"/>
                  </w:divBdr>
                  <w:divsChild>
                    <w:div w:id="157309451">
                      <w:marLeft w:val="0"/>
                      <w:marRight w:val="0"/>
                      <w:marTop w:val="0"/>
                      <w:marBottom w:val="0"/>
                      <w:divBdr>
                        <w:top w:val="none" w:sz="0" w:space="0" w:color="auto"/>
                        <w:left w:val="none" w:sz="0" w:space="0" w:color="auto"/>
                        <w:bottom w:val="none" w:sz="0" w:space="0" w:color="auto"/>
                        <w:right w:val="none" w:sz="0" w:space="0" w:color="auto"/>
                      </w:divBdr>
                    </w:div>
                    <w:div w:id="1310327920">
                      <w:marLeft w:val="0"/>
                      <w:marRight w:val="0"/>
                      <w:marTop w:val="0"/>
                      <w:marBottom w:val="0"/>
                      <w:divBdr>
                        <w:top w:val="none" w:sz="0" w:space="0" w:color="auto"/>
                        <w:left w:val="none" w:sz="0" w:space="0" w:color="auto"/>
                        <w:bottom w:val="none" w:sz="0" w:space="0" w:color="auto"/>
                        <w:right w:val="none" w:sz="0" w:space="0" w:color="auto"/>
                      </w:divBdr>
                    </w:div>
                    <w:div w:id="2081557707">
                      <w:marLeft w:val="0"/>
                      <w:marRight w:val="0"/>
                      <w:marTop w:val="0"/>
                      <w:marBottom w:val="0"/>
                      <w:divBdr>
                        <w:top w:val="none" w:sz="0" w:space="0" w:color="auto"/>
                        <w:left w:val="none" w:sz="0" w:space="0" w:color="auto"/>
                        <w:bottom w:val="none" w:sz="0" w:space="0" w:color="auto"/>
                        <w:right w:val="none" w:sz="0" w:space="0" w:color="auto"/>
                      </w:divBdr>
                    </w:div>
                  </w:divsChild>
                </w:div>
                <w:div w:id="1126856017">
                  <w:marLeft w:val="0"/>
                  <w:marRight w:val="0"/>
                  <w:marTop w:val="0"/>
                  <w:marBottom w:val="0"/>
                  <w:divBdr>
                    <w:top w:val="none" w:sz="0" w:space="0" w:color="auto"/>
                    <w:left w:val="none" w:sz="0" w:space="0" w:color="auto"/>
                    <w:bottom w:val="none" w:sz="0" w:space="0" w:color="auto"/>
                    <w:right w:val="none" w:sz="0" w:space="0" w:color="auto"/>
                  </w:divBdr>
                  <w:divsChild>
                    <w:div w:id="636179911">
                      <w:marLeft w:val="0"/>
                      <w:marRight w:val="0"/>
                      <w:marTop w:val="0"/>
                      <w:marBottom w:val="0"/>
                      <w:divBdr>
                        <w:top w:val="none" w:sz="0" w:space="0" w:color="auto"/>
                        <w:left w:val="none" w:sz="0" w:space="0" w:color="auto"/>
                        <w:bottom w:val="none" w:sz="0" w:space="0" w:color="auto"/>
                        <w:right w:val="none" w:sz="0" w:space="0" w:color="auto"/>
                      </w:divBdr>
                    </w:div>
                    <w:div w:id="1311059231">
                      <w:marLeft w:val="0"/>
                      <w:marRight w:val="0"/>
                      <w:marTop w:val="0"/>
                      <w:marBottom w:val="0"/>
                      <w:divBdr>
                        <w:top w:val="none" w:sz="0" w:space="0" w:color="auto"/>
                        <w:left w:val="none" w:sz="0" w:space="0" w:color="auto"/>
                        <w:bottom w:val="none" w:sz="0" w:space="0" w:color="auto"/>
                        <w:right w:val="none" w:sz="0" w:space="0" w:color="auto"/>
                      </w:divBdr>
                    </w:div>
                    <w:div w:id="1599480749">
                      <w:marLeft w:val="0"/>
                      <w:marRight w:val="0"/>
                      <w:marTop w:val="0"/>
                      <w:marBottom w:val="0"/>
                      <w:divBdr>
                        <w:top w:val="none" w:sz="0" w:space="0" w:color="auto"/>
                        <w:left w:val="none" w:sz="0" w:space="0" w:color="auto"/>
                        <w:bottom w:val="none" w:sz="0" w:space="0" w:color="auto"/>
                        <w:right w:val="none" w:sz="0" w:space="0" w:color="auto"/>
                      </w:divBdr>
                    </w:div>
                  </w:divsChild>
                </w:div>
                <w:div w:id="1225917140">
                  <w:marLeft w:val="0"/>
                  <w:marRight w:val="0"/>
                  <w:marTop w:val="0"/>
                  <w:marBottom w:val="0"/>
                  <w:divBdr>
                    <w:top w:val="none" w:sz="0" w:space="0" w:color="auto"/>
                    <w:left w:val="none" w:sz="0" w:space="0" w:color="auto"/>
                    <w:bottom w:val="none" w:sz="0" w:space="0" w:color="auto"/>
                    <w:right w:val="none" w:sz="0" w:space="0" w:color="auto"/>
                  </w:divBdr>
                  <w:divsChild>
                    <w:div w:id="322004485">
                      <w:marLeft w:val="0"/>
                      <w:marRight w:val="0"/>
                      <w:marTop w:val="0"/>
                      <w:marBottom w:val="0"/>
                      <w:divBdr>
                        <w:top w:val="none" w:sz="0" w:space="0" w:color="auto"/>
                        <w:left w:val="none" w:sz="0" w:space="0" w:color="auto"/>
                        <w:bottom w:val="none" w:sz="0" w:space="0" w:color="auto"/>
                        <w:right w:val="none" w:sz="0" w:space="0" w:color="auto"/>
                      </w:divBdr>
                    </w:div>
                    <w:div w:id="1246836607">
                      <w:marLeft w:val="0"/>
                      <w:marRight w:val="0"/>
                      <w:marTop w:val="0"/>
                      <w:marBottom w:val="0"/>
                      <w:divBdr>
                        <w:top w:val="none" w:sz="0" w:space="0" w:color="auto"/>
                        <w:left w:val="none" w:sz="0" w:space="0" w:color="auto"/>
                        <w:bottom w:val="none" w:sz="0" w:space="0" w:color="auto"/>
                        <w:right w:val="none" w:sz="0" w:space="0" w:color="auto"/>
                      </w:divBdr>
                    </w:div>
                    <w:div w:id="1837841651">
                      <w:marLeft w:val="0"/>
                      <w:marRight w:val="0"/>
                      <w:marTop w:val="0"/>
                      <w:marBottom w:val="0"/>
                      <w:divBdr>
                        <w:top w:val="none" w:sz="0" w:space="0" w:color="auto"/>
                        <w:left w:val="none" w:sz="0" w:space="0" w:color="auto"/>
                        <w:bottom w:val="none" w:sz="0" w:space="0" w:color="auto"/>
                        <w:right w:val="none" w:sz="0" w:space="0" w:color="auto"/>
                      </w:divBdr>
                    </w:div>
                  </w:divsChild>
                </w:div>
                <w:div w:id="1323389734">
                  <w:marLeft w:val="0"/>
                  <w:marRight w:val="0"/>
                  <w:marTop w:val="0"/>
                  <w:marBottom w:val="0"/>
                  <w:divBdr>
                    <w:top w:val="none" w:sz="0" w:space="0" w:color="auto"/>
                    <w:left w:val="none" w:sz="0" w:space="0" w:color="auto"/>
                    <w:bottom w:val="none" w:sz="0" w:space="0" w:color="auto"/>
                    <w:right w:val="none" w:sz="0" w:space="0" w:color="auto"/>
                  </w:divBdr>
                  <w:divsChild>
                    <w:div w:id="101414222">
                      <w:marLeft w:val="0"/>
                      <w:marRight w:val="0"/>
                      <w:marTop w:val="0"/>
                      <w:marBottom w:val="0"/>
                      <w:divBdr>
                        <w:top w:val="none" w:sz="0" w:space="0" w:color="auto"/>
                        <w:left w:val="none" w:sz="0" w:space="0" w:color="auto"/>
                        <w:bottom w:val="none" w:sz="0" w:space="0" w:color="auto"/>
                        <w:right w:val="none" w:sz="0" w:space="0" w:color="auto"/>
                      </w:divBdr>
                    </w:div>
                    <w:div w:id="946742443">
                      <w:marLeft w:val="0"/>
                      <w:marRight w:val="0"/>
                      <w:marTop w:val="0"/>
                      <w:marBottom w:val="0"/>
                      <w:divBdr>
                        <w:top w:val="none" w:sz="0" w:space="0" w:color="auto"/>
                        <w:left w:val="none" w:sz="0" w:space="0" w:color="auto"/>
                        <w:bottom w:val="none" w:sz="0" w:space="0" w:color="auto"/>
                        <w:right w:val="none" w:sz="0" w:space="0" w:color="auto"/>
                      </w:divBdr>
                    </w:div>
                    <w:div w:id="1368523861">
                      <w:marLeft w:val="0"/>
                      <w:marRight w:val="0"/>
                      <w:marTop w:val="0"/>
                      <w:marBottom w:val="0"/>
                      <w:divBdr>
                        <w:top w:val="none" w:sz="0" w:space="0" w:color="auto"/>
                        <w:left w:val="none" w:sz="0" w:space="0" w:color="auto"/>
                        <w:bottom w:val="none" w:sz="0" w:space="0" w:color="auto"/>
                        <w:right w:val="none" w:sz="0" w:space="0" w:color="auto"/>
                      </w:divBdr>
                    </w:div>
                    <w:div w:id="1637376137">
                      <w:marLeft w:val="0"/>
                      <w:marRight w:val="0"/>
                      <w:marTop w:val="0"/>
                      <w:marBottom w:val="0"/>
                      <w:divBdr>
                        <w:top w:val="none" w:sz="0" w:space="0" w:color="auto"/>
                        <w:left w:val="none" w:sz="0" w:space="0" w:color="auto"/>
                        <w:bottom w:val="none" w:sz="0" w:space="0" w:color="auto"/>
                        <w:right w:val="none" w:sz="0" w:space="0" w:color="auto"/>
                      </w:divBdr>
                    </w:div>
                    <w:div w:id="1923828824">
                      <w:marLeft w:val="0"/>
                      <w:marRight w:val="0"/>
                      <w:marTop w:val="0"/>
                      <w:marBottom w:val="0"/>
                      <w:divBdr>
                        <w:top w:val="none" w:sz="0" w:space="0" w:color="auto"/>
                        <w:left w:val="none" w:sz="0" w:space="0" w:color="auto"/>
                        <w:bottom w:val="none" w:sz="0" w:space="0" w:color="auto"/>
                        <w:right w:val="none" w:sz="0" w:space="0" w:color="auto"/>
                      </w:divBdr>
                    </w:div>
                  </w:divsChild>
                </w:div>
                <w:div w:id="1543588579">
                  <w:marLeft w:val="0"/>
                  <w:marRight w:val="0"/>
                  <w:marTop w:val="0"/>
                  <w:marBottom w:val="0"/>
                  <w:divBdr>
                    <w:top w:val="none" w:sz="0" w:space="0" w:color="auto"/>
                    <w:left w:val="none" w:sz="0" w:space="0" w:color="auto"/>
                    <w:bottom w:val="none" w:sz="0" w:space="0" w:color="auto"/>
                    <w:right w:val="none" w:sz="0" w:space="0" w:color="auto"/>
                  </w:divBdr>
                  <w:divsChild>
                    <w:div w:id="913048605">
                      <w:marLeft w:val="0"/>
                      <w:marRight w:val="0"/>
                      <w:marTop w:val="0"/>
                      <w:marBottom w:val="0"/>
                      <w:divBdr>
                        <w:top w:val="none" w:sz="0" w:space="0" w:color="auto"/>
                        <w:left w:val="none" w:sz="0" w:space="0" w:color="auto"/>
                        <w:bottom w:val="none" w:sz="0" w:space="0" w:color="auto"/>
                        <w:right w:val="none" w:sz="0" w:space="0" w:color="auto"/>
                      </w:divBdr>
                    </w:div>
                    <w:div w:id="1343818366">
                      <w:marLeft w:val="0"/>
                      <w:marRight w:val="0"/>
                      <w:marTop w:val="0"/>
                      <w:marBottom w:val="0"/>
                      <w:divBdr>
                        <w:top w:val="none" w:sz="0" w:space="0" w:color="auto"/>
                        <w:left w:val="none" w:sz="0" w:space="0" w:color="auto"/>
                        <w:bottom w:val="none" w:sz="0" w:space="0" w:color="auto"/>
                        <w:right w:val="none" w:sz="0" w:space="0" w:color="auto"/>
                      </w:divBdr>
                    </w:div>
                    <w:div w:id="1532567085">
                      <w:marLeft w:val="0"/>
                      <w:marRight w:val="0"/>
                      <w:marTop w:val="0"/>
                      <w:marBottom w:val="0"/>
                      <w:divBdr>
                        <w:top w:val="none" w:sz="0" w:space="0" w:color="auto"/>
                        <w:left w:val="none" w:sz="0" w:space="0" w:color="auto"/>
                        <w:bottom w:val="none" w:sz="0" w:space="0" w:color="auto"/>
                        <w:right w:val="none" w:sz="0" w:space="0" w:color="auto"/>
                      </w:divBdr>
                    </w:div>
                  </w:divsChild>
                </w:div>
                <w:div w:id="1646618413">
                  <w:marLeft w:val="0"/>
                  <w:marRight w:val="0"/>
                  <w:marTop w:val="0"/>
                  <w:marBottom w:val="0"/>
                  <w:divBdr>
                    <w:top w:val="none" w:sz="0" w:space="0" w:color="auto"/>
                    <w:left w:val="none" w:sz="0" w:space="0" w:color="auto"/>
                    <w:bottom w:val="none" w:sz="0" w:space="0" w:color="auto"/>
                    <w:right w:val="none" w:sz="0" w:space="0" w:color="auto"/>
                  </w:divBdr>
                  <w:divsChild>
                    <w:div w:id="843474220">
                      <w:marLeft w:val="0"/>
                      <w:marRight w:val="0"/>
                      <w:marTop w:val="0"/>
                      <w:marBottom w:val="0"/>
                      <w:divBdr>
                        <w:top w:val="none" w:sz="0" w:space="0" w:color="auto"/>
                        <w:left w:val="none" w:sz="0" w:space="0" w:color="auto"/>
                        <w:bottom w:val="none" w:sz="0" w:space="0" w:color="auto"/>
                        <w:right w:val="none" w:sz="0" w:space="0" w:color="auto"/>
                      </w:divBdr>
                    </w:div>
                  </w:divsChild>
                </w:div>
                <w:div w:id="1660693459">
                  <w:marLeft w:val="0"/>
                  <w:marRight w:val="0"/>
                  <w:marTop w:val="0"/>
                  <w:marBottom w:val="0"/>
                  <w:divBdr>
                    <w:top w:val="none" w:sz="0" w:space="0" w:color="auto"/>
                    <w:left w:val="none" w:sz="0" w:space="0" w:color="auto"/>
                    <w:bottom w:val="none" w:sz="0" w:space="0" w:color="auto"/>
                    <w:right w:val="none" w:sz="0" w:space="0" w:color="auto"/>
                  </w:divBdr>
                  <w:divsChild>
                    <w:div w:id="67507271">
                      <w:marLeft w:val="0"/>
                      <w:marRight w:val="0"/>
                      <w:marTop w:val="0"/>
                      <w:marBottom w:val="0"/>
                      <w:divBdr>
                        <w:top w:val="none" w:sz="0" w:space="0" w:color="auto"/>
                        <w:left w:val="none" w:sz="0" w:space="0" w:color="auto"/>
                        <w:bottom w:val="none" w:sz="0" w:space="0" w:color="auto"/>
                        <w:right w:val="none" w:sz="0" w:space="0" w:color="auto"/>
                      </w:divBdr>
                    </w:div>
                    <w:div w:id="118764484">
                      <w:marLeft w:val="0"/>
                      <w:marRight w:val="0"/>
                      <w:marTop w:val="0"/>
                      <w:marBottom w:val="0"/>
                      <w:divBdr>
                        <w:top w:val="none" w:sz="0" w:space="0" w:color="auto"/>
                        <w:left w:val="none" w:sz="0" w:space="0" w:color="auto"/>
                        <w:bottom w:val="none" w:sz="0" w:space="0" w:color="auto"/>
                        <w:right w:val="none" w:sz="0" w:space="0" w:color="auto"/>
                      </w:divBdr>
                    </w:div>
                    <w:div w:id="233442279">
                      <w:marLeft w:val="0"/>
                      <w:marRight w:val="0"/>
                      <w:marTop w:val="0"/>
                      <w:marBottom w:val="0"/>
                      <w:divBdr>
                        <w:top w:val="none" w:sz="0" w:space="0" w:color="auto"/>
                        <w:left w:val="none" w:sz="0" w:space="0" w:color="auto"/>
                        <w:bottom w:val="none" w:sz="0" w:space="0" w:color="auto"/>
                        <w:right w:val="none" w:sz="0" w:space="0" w:color="auto"/>
                      </w:divBdr>
                    </w:div>
                    <w:div w:id="234707852">
                      <w:marLeft w:val="0"/>
                      <w:marRight w:val="0"/>
                      <w:marTop w:val="0"/>
                      <w:marBottom w:val="0"/>
                      <w:divBdr>
                        <w:top w:val="none" w:sz="0" w:space="0" w:color="auto"/>
                        <w:left w:val="none" w:sz="0" w:space="0" w:color="auto"/>
                        <w:bottom w:val="none" w:sz="0" w:space="0" w:color="auto"/>
                        <w:right w:val="none" w:sz="0" w:space="0" w:color="auto"/>
                      </w:divBdr>
                    </w:div>
                    <w:div w:id="272129451">
                      <w:marLeft w:val="0"/>
                      <w:marRight w:val="0"/>
                      <w:marTop w:val="0"/>
                      <w:marBottom w:val="0"/>
                      <w:divBdr>
                        <w:top w:val="none" w:sz="0" w:space="0" w:color="auto"/>
                        <w:left w:val="none" w:sz="0" w:space="0" w:color="auto"/>
                        <w:bottom w:val="none" w:sz="0" w:space="0" w:color="auto"/>
                        <w:right w:val="none" w:sz="0" w:space="0" w:color="auto"/>
                      </w:divBdr>
                    </w:div>
                    <w:div w:id="398405799">
                      <w:marLeft w:val="0"/>
                      <w:marRight w:val="0"/>
                      <w:marTop w:val="0"/>
                      <w:marBottom w:val="0"/>
                      <w:divBdr>
                        <w:top w:val="none" w:sz="0" w:space="0" w:color="auto"/>
                        <w:left w:val="none" w:sz="0" w:space="0" w:color="auto"/>
                        <w:bottom w:val="none" w:sz="0" w:space="0" w:color="auto"/>
                        <w:right w:val="none" w:sz="0" w:space="0" w:color="auto"/>
                      </w:divBdr>
                    </w:div>
                    <w:div w:id="502084441">
                      <w:marLeft w:val="0"/>
                      <w:marRight w:val="0"/>
                      <w:marTop w:val="0"/>
                      <w:marBottom w:val="0"/>
                      <w:divBdr>
                        <w:top w:val="none" w:sz="0" w:space="0" w:color="auto"/>
                        <w:left w:val="none" w:sz="0" w:space="0" w:color="auto"/>
                        <w:bottom w:val="none" w:sz="0" w:space="0" w:color="auto"/>
                        <w:right w:val="none" w:sz="0" w:space="0" w:color="auto"/>
                      </w:divBdr>
                    </w:div>
                    <w:div w:id="615216686">
                      <w:marLeft w:val="0"/>
                      <w:marRight w:val="0"/>
                      <w:marTop w:val="0"/>
                      <w:marBottom w:val="0"/>
                      <w:divBdr>
                        <w:top w:val="none" w:sz="0" w:space="0" w:color="auto"/>
                        <w:left w:val="none" w:sz="0" w:space="0" w:color="auto"/>
                        <w:bottom w:val="none" w:sz="0" w:space="0" w:color="auto"/>
                        <w:right w:val="none" w:sz="0" w:space="0" w:color="auto"/>
                      </w:divBdr>
                    </w:div>
                    <w:div w:id="768702164">
                      <w:marLeft w:val="0"/>
                      <w:marRight w:val="0"/>
                      <w:marTop w:val="0"/>
                      <w:marBottom w:val="0"/>
                      <w:divBdr>
                        <w:top w:val="none" w:sz="0" w:space="0" w:color="auto"/>
                        <w:left w:val="none" w:sz="0" w:space="0" w:color="auto"/>
                        <w:bottom w:val="none" w:sz="0" w:space="0" w:color="auto"/>
                        <w:right w:val="none" w:sz="0" w:space="0" w:color="auto"/>
                      </w:divBdr>
                    </w:div>
                    <w:div w:id="928001723">
                      <w:marLeft w:val="0"/>
                      <w:marRight w:val="0"/>
                      <w:marTop w:val="0"/>
                      <w:marBottom w:val="0"/>
                      <w:divBdr>
                        <w:top w:val="none" w:sz="0" w:space="0" w:color="auto"/>
                        <w:left w:val="none" w:sz="0" w:space="0" w:color="auto"/>
                        <w:bottom w:val="none" w:sz="0" w:space="0" w:color="auto"/>
                        <w:right w:val="none" w:sz="0" w:space="0" w:color="auto"/>
                      </w:divBdr>
                    </w:div>
                    <w:div w:id="1354768394">
                      <w:marLeft w:val="0"/>
                      <w:marRight w:val="0"/>
                      <w:marTop w:val="0"/>
                      <w:marBottom w:val="0"/>
                      <w:divBdr>
                        <w:top w:val="none" w:sz="0" w:space="0" w:color="auto"/>
                        <w:left w:val="none" w:sz="0" w:space="0" w:color="auto"/>
                        <w:bottom w:val="none" w:sz="0" w:space="0" w:color="auto"/>
                        <w:right w:val="none" w:sz="0" w:space="0" w:color="auto"/>
                      </w:divBdr>
                    </w:div>
                    <w:div w:id="1376346495">
                      <w:marLeft w:val="0"/>
                      <w:marRight w:val="0"/>
                      <w:marTop w:val="0"/>
                      <w:marBottom w:val="0"/>
                      <w:divBdr>
                        <w:top w:val="none" w:sz="0" w:space="0" w:color="auto"/>
                        <w:left w:val="none" w:sz="0" w:space="0" w:color="auto"/>
                        <w:bottom w:val="none" w:sz="0" w:space="0" w:color="auto"/>
                        <w:right w:val="none" w:sz="0" w:space="0" w:color="auto"/>
                      </w:divBdr>
                    </w:div>
                    <w:div w:id="1441026113">
                      <w:marLeft w:val="0"/>
                      <w:marRight w:val="0"/>
                      <w:marTop w:val="0"/>
                      <w:marBottom w:val="0"/>
                      <w:divBdr>
                        <w:top w:val="none" w:sz="0" w:space="0" w:color="auto"/>
                        <w:left w:val="none" w:sz="0" w:space="0" w:color="auto"/>
                        <w:bottom w:val="none" w:sz="0" w:space="0" w:color="auto"/>
                        <w:right w:val="none" w:sz="0" w:space="0" w:color="auto"/>
                      </w:divBdr>
                    </w:div>
                    <w:div w:id="1528640169">
                      <w:marLeft w:val="0"/>
                      <w:marRight w:val="0"/>
                      <w:marTop w:val="0"/>
                      <w:marBottom w:val="0"/>
                      <w:divBdr>
                        <w:top w:val="none" w:sz="0" w:space="0" w:color="auto"/>
                        <w:left w:val="none" w:sz="0" w:space="0" w:color="auto"/>
                        <w:bottom w:val="none" w:sz="0" w:space="0" w:color="auto"/>
                        <w:right w:val="none" w:sz="0" w:space="0" w:color="auto"/>
                      </w:divBdr>
                    </w:div>
                    <w:div w:id="1759666730">
                      <w:marLeft w:val="0"/>
                      <w:marRight w:val="0"/>
                      <w:marTop w:val="0"/>
                      <w:marBottom w:val="0"/>
                      <w:divBdr>
                        <w:top w:val="none" w:sz="0" w:space="0" w:color="auto"/>
                        <w:left w:val="none" w:sz="0" w:space="0" w:color="auto"/>
                        <w:bottom w:val="none" w:sz="0" w:space="0" w:color="auto"/>
                        <w:right w:val="none" w:sz="0" w:space="0" w:color="auto"/>
                      </w:divBdr>
                    </w:div>
                    <w:div w:id="1915816761">
                      <w:marLeft w:val="0"/>
                      <w:marRight w:val="0"/>
                      <w:marTop w:val="0"/>
                      <w:marBottom w:val="0"/>
                      <w:divBdr>
                        <w:top w:val="none" w:sz="0" w:space="0" w:color="auto"/>
                        <w:left w:val="none" w:sz="0" w:space="0" w:color="auto"/>
                        <w:bottom w:val="none" w:sz="0" w:space="0" w:color="auto"/>
                        <w:right w:val="none" w:sz="0" w:space="0" w:color="auto"/>
                      </w:divBdr>
                    </w:div>
                    <w:div w:id="1938173721">
                      <w:marLeft w:val="0"/>
                      <w:marRight w:val="0"/>
                      <w:marTop w:val="0"/>
                      <w:marBottom w:val="0"/>
                      <w:divBdr>
                        <w:top w:val="none" w:sz="0" w:space="0" w:color="auto"/>
                        <w:left w:val="none" w:sz="0" w:space="0" w:color="auto"/>
                        <w:bottom w:val="none" w:sz="0" w:space="0" w:color="auto"/>
                        <w:right w:val="none" w:sz="0" w:space="0" w:color="auto"/>
                      </w:divBdr>
                    </w:div>
                    <w:div w:id="1963346082">
                      <w:marLeft w:val="0"/>
                      <w:marRight w:val="0"/>
                      <w:marTop w:val="0"/>
                      <w:marBottom w:val="0"/>
                      <w:divBdr>
                        <w:top w:val="none" w:sz="0" w:space="0" w:color="auto"/>
                        <w:left w:val="none" w:sz="0" w:space="0" w:color="auto"/>
                        <w:bottom w:val="none" w:sz="0" w:space="0" w:color="auto"/>
                        <w:right w:val="none" w:sz="0" w:space="0" w:color="auto"/>
                      </w:divBdr>
                    </w:div>
                    <w:div w:id="2028630753">
                      <w:marLeft w:val="0"/>
                      <w:marRight w:val="0"/>
                      <w:marTop w:val="0"/>
                      <w:marBottom w:val="0"/>
                      <w:divBdr>
                        <w:top w:val="none" w:sz="0" w:space="0" w:color="auto"/>
                        <w:left w:val="none" w:sz="0" w:space="0" w:color="auto"/>
                        <w:bottom w:val="none" w:sz="0" w:space="0" w:color="auto"/>
                        <w:right w:val="none" w:sz="0" w:space="0" w:color="auto"/>
                      </w:divBdr>
                    </w:div>
                  </w:divsChild>
                </w:div>
                <w:div w:id="1763336180">
                  <w:marLeft w:val="0"/>
                  <w:marRight w:val="0"/>
                  <w:marTop w:val="0"/>
                  <w:marBottom w:val="0"/>
                  <w:divBdr>
                    <w:top w:val="none" w:sz="0" w:space="0" w:color="auto"/>
                    <w:left w:val="none" w:sz="0" w:space="0" w:color="auto"/>
                    <w:bottom w:val="none" w:sz="0" w:space="0" w:color="auto"/>
                    <w:right w:val="none" w:sz="0" w:space="0" w:color="auto"/>
                  </w:divBdr>
                  <w:divsChild>
                    <w:div w:id="706681257">
                      <w:marLeft w:val="0"/>
                      <w:marRight w:val="0"/>
                      <w:marTop w:val="0"/>
                      <w:marBottom w:val="0"/>
                      <w:divBdr>
                        <w:top w:val="none" w:sz="0" w:space="0" w:color="auto"/>
                        <w:left w:val="none" w:sz="0" w:space="0" w:color="auto"/>
                        <w:bottom w:val="none" w:sz="0" w:space="0" w:color="auto"/>
                        <w:right w:val="none" w:sz="0" w:space="0" w:color="auto"/>
                      </w:divBdr>
                    </w:div>
                  </w:divsChild>
                </w:div>
                <w:div w:id="1781490767">
                  <w:marLeft w:val="0"/>
                  <w:marRight w:val="0"/>
                  <w:marTop w:val="0"/>
                  <w:marBottom w:val="0"/>
                  <w:divBdr>
                    <w:top w:val="none" w:sz="0" w:space="0" w:color="auto"/>
                    <w:left w:val="none" w:sz="0" w:space="0" w:color="auto"/>
                    <w:bottom w:val="none" w:sz="0" w:space="0" w:color="auto"/>
                    <w:right w:val="none" w:sz="0" w:space="0" w:color="auto"/>
                  </w:divBdr>
                  <w:divsChild>
                    <w:div w:id="207571525">
                      <w:marLeft w:val="0"/>
                      <w:marRight w:val="0"/>
                      <w:marTop w:val="0"/>
                      <w:marBottom w:val="0"/>
                      <w:divBdr>
                        <w:top w:val="none" w:sz="0" w:space="0" w:color="auto"/>
                        <w:left w:val="none" w:sz="0" w:space="0" w:color="auto"/>
                        <w:bottom w:val="none" w:sz="0" w:space="0" w:color="auto"/>
                        <w:right w:val="none" w:sz="0" w:space="0" w:color="auto"/>
                      </w:divBdr>
                    </w:div>
                    <w:div w:id="268438639">
                      <w:marLeft w:val="0"/>
                      <w:marRight w:val="0"/>
                      <w:marTop w:val="0"/>
                      <w:marBottom w:val="0"/>
                      <w:divBdr>
                        <w:top w:val="none" w:sz="0" w:space="0" w:color="auto"/>
                        <w:left w:val="none" w:sz="0" w:space="0" w:color="auto"/>
                        <w:bottom w:val="none" w:sz="0" w:space="0" w:color="auto"/>
                        <w:right w:val="none" w:sz="0" w:space="0" w:color="auto"/>
                      </w:divBdr>
                    </w:div>
                    <w:div w:id="441845796">
                      <w:marLeft w:val="0"/>
                      <w:marRight w:val="0"/>
                      <w:marTop w:val="0"/>
                      <w:marBottom w:val="0"/>
                      <w:divBdr>
                        <w:top w:val="none" w:sz="0" w:space="0" w:color="auto"/>
                        <w:left w:val="none" w:sz="0" w:space="0" w:color="auto"/>
                        <w:bottom w:val="none" w:sz="0" w:space="0" w:color="auto"/>
                        <w:right w:val="none" w:sz="0" w:space="0" w:color="auto"/>
                      </w:divBdr>
                    </w:div>
                    <w:div w:id="561408100">
                      <w:marLeft w:val="0"/>
                      <w:marRight w:val="0"/>
                      <w:marTop w:val="0"/>
                      <w:marBottom w:val="0"/>
                      <w:divBdr>
                        <w:top w:val="none" w:sz="0" w:space="0" w:color="auto"/>
                        <w:left w:val="none" w:sz="0" w:space="0" w:color="auto"/>
                        <w:bottom w:val="none" w:sz="0" w:space="0" w:color="auto"/>
                        <w:right w:val="none" w:sz="0" w:space="0" w:color="auto"/>
                      </w:divBdr>
                    </w:div>
                    <w:div w:id="742684454">
                      <w:marLeft w:val="0"/>
                      <w:marRight w:val="0"/>
                      <w:marTop w:val="0"/>
                      <w:marBottom w:val="0"/>
                      <w:divBdr>
                        <w:top w:val="none" w:sz="0" w:space="0" w:color="auto"/>
                        <w:left w:val="none" w:sz="0" w:space="0" w:color="auto"/>
                        <w:bottom w:val="none" w:sz="0" w:space="0" w:color="auto"/>
                        <w:right w:val="none" w:sz="0" w:space="0" w:color="auto"/>
                      </w:divBdr>
                    </w:div>
                    <w:div w:id="1285503578">
                      <w:marLeft w:val="0"/>
                      <w:marRight w:val="0"/>
                      <w:marTop w:val="0"/>
                      <w:marBottom w:val="0"/>
                      <w:divBdr>
                        <w:top w:val="none" w:sz="0" w:space="0" w:color="auto"/>
                        <w:left w:val="none" w:sz="0" w:space="0" w:color="auto"/>
                        <w:bottom w:val="none" w:sz="0" w:space="0" w:color="auto"/>
                        <w:right w:val="none" w:sz="0" w:space="0" w:color="auto"/>
                      </w:divBdr>
                    </w:div>
                    <w:div w:id="1391463769">
                      <w:marLeft w:val="0"/>
                      <w:marRight w:val="0"/>
                      <w:marTop w:val="0"/>
                      <w:marBottom w:val="0"/>
                      <w:divBdr>
                        <w:top w:val="none" w:sz="0" w:space="0" w:color="auto"/>
                        <w:left w:val="none" w:sz="0" w:space="0" w:color="auto"/>
                        <w:bottom w:val="none" w:sz="0" w:space="0" w:color="auto"/>
                        <w:right w:val="none" w:sz="0" w:space="0" w:color="auto"/>
                      </w:divBdr>
                    </w:div>
                    <w:div w:id="1483036477">
                      <w:marLeft w:val="0"/>
                      <w:marRight w:val="0"/>
                      <w:marTop w:val="0"/>
                      <w:marBottom w:val="0"/>
                      <w:divBdr>
                        <w:top w:val="none" w:sz="0" w:space="0" w:color="auto"/>
                        <w:left w:val="none" w:sz="0" w:space="0" w:color="auto"/>
                        <w:bottom w:val="none" w:sz="0" w:space="0" w:color="auto"/>
                        <w:right w:val="none" w:sz="0" w:space="0" w:color="auto"/>
                      </w:divBdr>
                    </w:div>
                    <w:div w:id="1558198395">
                      <w:marLeft w:val="0"/>
                      <w:marRight w:val="0"/>
                      <w:marTop w:val="0"/>
                      <w:marBottom w:val="0"/>
                      <w:divBdr>
                        <w:top w:val="none" w:sz="0" w:space="0" w:color="auto"/>
                        <w:left w:val="none" w:sz="0" w:space="0" w:color="auto"/>
                        <w:bottom w:val="none" w:sz="0" w:space="0" w:color="auto"/>
                        <w:right w:val="none" w:sz="0" w:space="0" w:color="auto"/>
                      </w:divBdr>
                    </w:div>
                    <w:div w:id="1723869218">
                      <w:marLeft w:val="0"/>
                      <w:marRight w:val="0"/>
                      <w:marTop w:val="0"/>
                      <w:marBottom w:val="0"/>
                      <w:divBdr>
                        <w:top w:val="none" w:sz="0" w:space="0" w:color="auto"/>
                        <w:left w:val="none" w:sz="0" w:space="0" w:color="auto"/>
                        <w:bottom w:val="none" w:sz="0" w:space="0" w:color="auto"/>
                        <w:right w:val="none" w:sz="0" w:space="0" w:color="auto"/>
                      </w:divBdr>
                    </w:div>
                    <w:div w:id="2067796859">
                      <w:marLeft w:val="0"/>
                      <w:marRight w:val="0"/>
                      <w:marTop w:val="0"/>
                      <w:marBottom w:val="0"/>
                      <w:divBdr>
                        <w:top w:val="none" w:sz="0" w:space="0" w:color="auto"/>
                        <w:left w:val="none" w:sz="0" w:space="0" w:color="auto"/>
                        <w:bottom w:val="none" w:sz="0" w:space="0" w:color="auto"/>
                        <w:right w:val="none" w:sz="0" w:space="0" w:color="auto"/>
                      </w:divBdr>
                    </w:div>
                  </w:divsChild>
                </w:div>
                <w:div w:id="1800880360">
                  <w:marLeft w:val="0"/>
                  <w:marRight w:val="0"/>
                  <w:marTop w:val="0"/>
                  <w:marBottom w:val="0"/>
                  <w:divBdr>
                    <w:top w:val="none" w:sz="0" w:space="0" w:color="auto"/>
                    <w:left w:val="none" w:sz="0" w:space="0" w:color="auto"/>
                    <w:bottom w:val="none" w:sz="0" w:space="0" w:color="auto"/>
                    <w:right w:val="none" w:sz="0" w:space="0" w:color="auto"/>
                  </w:divBdr>
                  <w:divsChild>
                    <w:div w:id="23412454">
                      <w:marLeft w:val="0"/>
                      <w:marRight w:val="0"/>
                      <w:marTop w:val="0"/>
                      <w:marBottom w:val="0"/>
                      <w:divBdr>
                        <w:top w:val="none" w:sz="0" w:space="0" w:color="auto"/>
                        <w:left w:val="none" w:sz="0" w:space="0" w:color="auto"/>
                        <w:bottom w:val="none" w:sz="0" w:space="0" w:color="auto"/>
                        <w:right w:val="none" w:sz="0" w:space="0" w:color="auto"/>
                      </w:divBdr>
                    </w:div>
                    <w:div w:id="117575301">
                      <w:marLeft w:val="0"/>
                      <w:marRight w:val="0"/>
                      <w:marTop w:val="0"/>
                      <w:marBottom w:val="0"/>
                      <w:divBdr>
                        <w:top w:val="none" w:sz="0" w:space="0" w:color="auto"/>
                        <w:left w:val="none" w:sz="0" w:space="0" w:color="auto"/>
                        <w:bottom w:val="none" w:sz="0" w:space="0" w:color="auto"/>
                        <w:right w:val="none" w:sz="0" w:space="0" w:color="auto"/>
                      </w:divBdr>
                    </w:div>
                    <w:div w:id="170459785">
                      <w:marLeft w:val="0"/>
                      <w:marRight w:val="0"/>
                      <w:marTop w:val="0"/>
                      <w:marBottom w:val="0"/>
                      <w:divBdr>
                        <w:top w:val="none" w:sz="0" w:space="0" w:color="auto"/>
                        <w:left w:val="none" w:sz="0" w:space="0" w:color="auto"/>
                        <w:bottom w:val="none" w:sz="0" w:space="0" w:color="auto"/>
                        <w:right w:val="none" w:sz="0" w:space="0" w:color="auto"/>
                      </w:divBdr>
                    </w:div>
                    <w:div w:id="199825488">
                      <w:marLeft w:val="0"/>
                      <w:marRight w:val="0"/>
                      <w:marTop w:val="0"/>
                      <w:marBottom w:val="0"/>
                      <w:divBdr>
                        <w:top w:val="none" w:sz="0" w:space="0" w:color="auto"/>
                        <w:left w:val="none" w:sz="0" w:space="0" w:color="auto"/>
                        <w:bottom w:val="none" w:sz="0" w:space="0" w:color="auto"/>
                        <w:right w:val="none" w:sz="0" w:space="0" w:color="auto"/>
                      </w:divBdr>
                    </w:div>
                    <w:div w:id="524320496">
                      <w:marLeft w:val="0"/>
                      <w:marRight w:val="0"/>
                      <w:marTop w:val="0"/>
                      <w:marBottom w:val="0"/>
                      <w:divBdr>
                        <w:top w:val="none" w:sz="0" w:space="0" w:color="auto"/>
                        <w:left w:val="none" w:sz="0" w:space="0" w:color="auto"/>
                        <w:bottom w:val="none" w:sz="0" w:space="0" w:color="auto"/>
                        <w:right w:val="none" w:sz="0" w:space="0" w:color="auto"/>
                      </w:divBdr>
                    </w:div>
                    <w:div w:id="547231228">
                      <w:marLeft w:val="0"/>
                      <w:marRight w:val="0"/>
                      <w:marTop w:val="0"/>
                      <w:marBottom w:val="0"/>
                      <w:divBdr>
                        <w:top w:val="none" w:sz="0" w:space="0" w:color="auto"/>
                        <w:left w:val="none" w:sz="0" w:space="0" w:color="auto"/>
                        <w:bottom w:val="none" w:sz="0" w:space="0" w:color="auto"/>
                        <w:right w:val="none" w:sz="0" w:space="0" w:color="auto"/>
                      </w:divBdr>
                    </w:div>
                    <w:div w:id="557327254">
                      <w:marLeft w:val="0"/>
                      <w:marRight w:val="0"/>
                      <w:marTop w:val="0"/>
                      <w:marBottom w:val="0"/>
                      <w:divBdr>
                        <w:top w:val="none" w:sz="0" w:space="0" w:color="auto"/>
                        <w:left w:val="none" w:sz="0" w:space="0" w:color="auto"/>
                        <w:bottom w:val="none" w:sz="0" w:space="0" w:color="auto"/>
                        <w:right w:val="none" w:sz="0" w:space="0" w:color="auto"/>
                      </w:divBdr>
                    </w:div>
                    <w:div w:id="957371810">
                      <w:marLeft w:val="0"/>
                      <w:marRight w:val="0"/>
                      <w:marTop w:val="0"/>
                      <w:marBottom w:val="0"/>
                      <w:divBdr>
                        <w:top w:val="none" w:sz="0" w:space="0" w:color="auto"/>
                        <w:left w:val="none" w:sz="0" w:space="0" w:color="auto"/>
                        <w:bottom w:val="none" w:sz="0" w:space="0" w:color="auto"/>
                        <w:right w:val="none" w:sz="0" w:space="0" w:color="auto"/>
                      </w:divBdr>
                    </w:div>
                    <w:div w:id="1196305381">
                      <w:marLeft w:val="0"/>
                      <w:marRight w:val="0"/>
                      <w:marTop w:val="0"/>
                      <w:marBottom w:val="0"/>
                      <w:divBdr>
                        <w:top w:val="none" w:sz="0" w:space="0" w:color="auto"/>
                        <w:left w:val="none" w:sz="0" w:space="0" w:color="auto"/>
                        <w:bottom w:val="none" w:sz="0" w:space="0" w:color="auto"/>
                        <w:right w:val="none" w:sz="0" w:space="0" w:color="auto"/>
                      </w:divBdr>
                    </w:div>
                    <w:div w:id="1229419596">
                      <w:marLeft w:val="0"/>
                      <w:marRight w:val="0"/>
                      <w:marTop w:val="0"/>
                      <w:marBottom w:val="0"/>
                      <w:divBdr>
                        <w:top w:val="none" w:sz="0" w:space="0" w:color="auto"/>
                        <w:left w:val="none" w:sz="0" w:space="0" w:color="auto"/>
                        <w:bottom w:val="none" w:sz="0" w:space="0" w:color="auto"/>
                        <w:right w:val="none" w:sz="0" w:space="0" w:color="auto"/>
                      </w:divBdr>
                    </w:div>
                    <w:div w:id="1506703268">
                      <w:marLeft w:val="0"/>
                      <w:marRight w:val="0"/>
                      <w:marTop w:val="0"/>
                      <w:marBottom w:val="0"/>
                      <w:divBdr>
                        <w:top w:val="none" w:sz="0" w:space="0" w:color="auto"/>
                        <w:left w:val="none" w:sz="0" w:space="0" w:color="auto"/>
                        <w:bottom w:val="none" w:sz="0" w:space="0" w:color="auto"/>
                        <w:right w:val="none" w:sz="0" w:space="0" w:color="auto"/>
                      </w:divBdr>
                    </w:div>
                    <w:div w:id="1918594170">
                      <w:marLeft w:val="0"/>
                      <w:marRight w:val="0"/>
                      <w:marTop w:val="0"/>
                      <w:marBottom w:val="0"/>
                      <w:divBdr>
                        <w:top w:val="none" w:sz="0" w:space="0" w:color="auto"/>
                        <w:left w:val="none" w:sz="0" w:space="0" w:color="auto"/>
                        <w:bottom w:val="none" w:sz="0" w:space="0" w:color="auto"/>
                        <w:right w:val="none" w:sz="0" w:space="0" w:color="auto"/>
                      </w:divBdr>
                    </w:div>
                  </w:divsChild>
                </w:div>
                <w:div w:id="1824003963">
                  <w:marLeft w:val="0"/>
                  <w:marRight w:val="0"/>
                  <w:marTop w:val="0"/>
                  <w:marBottom w:val="0"/>
                  <w:divBdr>
                    <w:top w:val="none" w:sz="0" w:space="0" w:color="auto"/>
                    <w:left w:val="none" w:sz="0" w:space="0" w:color="auto"/>
                    <w:bottom w:val="none" w:sz="0" w:space="0" w:color="auto"/>
                    <w:right w:val="none" w:sz="0" w:space="0" w:color="auto"/>
                  </w:divBdr>
                  <w:divsChild>
                    <w:div w:id="1019043646">
                      <w:marLeft w:val="0"/>
                      <w:marRight w:val="0"/>
                      <w:marTop w:val="0"/>
                      <w:marBottom w:val="0"/>
                      <w:divBdr>
                        <w:top w:val="none" w:sz="0" w:space="0" w:color="auto"/>
                        <w:left w:val="none" w:sz="0" w:space="0" w:color="auto"/>
                        <w:bottom w:val="none" w:sz="0" w:space="0" w:color="auto"/>
                        <w:right w:val="none" w:sz="0" w:space="0" w:color="auto"/>
                      </w:divBdr>
                    </w:div>
                  </w:divsChild>
                </w:div>
                <w:div w:id="1870484607">
                  <w:marLeft w:val="0"/>
                  <w:marRight w:val="0"/>
                  <w:marTop w:val="0"/>
                  <w:marBottom w:val="0"/>
                  <w:divBdr>
                    <w:top w:val="none" w:sz="0" w:space="0" w:color="auto"/>
                    <w:left w:val="none" w:sz="0" w:space="0" w:color="auto"/>
                    <w:bottom w:val="none" w:sz="0" w:space="0" w:color="auto"/>
                    <w:right w:val="none" w:sz="0" w:space="0" w:color="auto"/>
                  </w:divBdr>
                  <w:divsChild>
                    <w:div w:id="348289877">
                      <w:marLeft w:val="0"/>
                      <w:marRight w:val="0"/>
                      <w:marTop w:val="0"/>
                      <w:marBottom w:val="0"/>
                      <w:divBdr>
                        <w:top w:val="none" w:sz="0" w:space="0" w:color="auto"/>
                        <w:left w:val="none" w:sz="0" w:space="0" w:color="auto"/>
                        <w:bottom w:val="none" w:sz="0" w:space="0" w:color="auto"/>
                        <w:right w:val="none" w:sz="0" w:space="0" w:color="auto"/>
                      </w:divBdr>
                    </w:div>
                    <w:div w:id="366565040">
                      <w:marLeft w:val="0"/>
                      <w:marRight w:val="0"/>
                      <w:marTop w:val="0"/>
                      <w:marBottom w:val="0"/>
                      <w:divBdr>
                        <w:top w:val="none" w:sz="0" w:space="0" w:color="auto"/>
                        <w:left w:val="none" w:sz="0" w:space="0" w:color="auto"/>
                        <w:bottom w:val="none" w:sz="0" w:space="0" w:color="auto"/>
                        <w:right w:val="none" w:sz="0" w:space="0" w:color="auto"/>
                      </w:divBdr>
                    </w:div>
                    <w:div w:id="367536971">
                      <w:marLeft w:val="0"/>
                      <w:marRight w:val="0"/>
                      <w:marTop w:val="0"/>
                      <w:marBottom w:val="0"/>
                      <w:divBdr>
                        <w:top w:val="none" w:sz="0" w:space="0" w:color="auto"/>
                        <w:left w:val="none" w:sz="0" w:space="0" w:color="auto"/>
                        <w:bottom w:val="none" w:sz="0" w:space="0" w:color="auto"/>
                        <w:right w:val="none" w:sz="0" w:space="0" w:color="auto"/>
                      </w:divBdr>
                    </w:div>
                    <w:div w:id="512644841">
                      <w:marLeft w:val="0"/>
                      <w:marRight w:val="0"/>
                      <w:marTop w:val="0"/>
                      <w:marBottom w:val="0"/>
                      <w:divBdr>
                        <w:top w:val="none" w:sz="0" w:space="0" w:color="auto"/>
                        <w:left w:val="none" w:sz="0" w:space="0" w:color="auto"/>
                        <w:bottom w:val="none" w:sz="0" w:space="0" w:color="auto"/>
                        <w:right w:val="none" w:sz="0" w:space="0" w:color="auto"/>
                      </w:divBdr>
                    </w:div>
                    <w:div w:id="548540597">
                      <w:marLeft w:val="0"/>
                      <w:marRight w:val="0"/>
                      <w:marTop w:val="0"/>
                      <w:marBottom w:val="0"/>
                      <w:divBdr>
                        <w:top w:val="none" w:sz="0" w:space="0" w:color="auto"/>
                        <w:left w:val="none" w:sz="0" w:space="0" w:color="auto"/>
                        <w:bottom w:val="none" w:sz="0" w:space="0" w:color="auto"/>
                        <w:right w:val="none" w:sz="0" w:space="0" w:color="auto"/>
                      </w:divBdr>
                    </w:div>
                    <w:div w:id="639654021">
                      <w:marLeft w:val="0"/>
                      <w:marRight w:val="0"/>
                      <w:marTop w:val="0"/>
                      <w:marBottom w:val="0"/>
                      <w:divBdr>
                        <w:top w:val="none" w:sz="0" w:space="0" w:color="auto"/>
                        <w:left w:val="none" w:sz="0" w:space="0" w:color="auto"/>
                        <w:bottom w:val="none" w:sz="0" w:space="0" w:color="auto"/>
                        <w:right w:val="none" w:sz="0" w:space="0" w:color="auto"/>
                      </w:divBdr>
                    </w:div>
                    <w:div w:id="992173143">
                      <w:marLeft w:val="0"/>
                      <w:marRight w:val="0"/>
                      <w:marTop w:val="0"/>
                      <w:marBottom w:val="0"/>
                      <w:divBdr>
                        <w:top w:val="none" w:sz="0" w:space="0" w:color="auto"/>
                        <w:left w:val="none" w:sz="0" w:space="0" w:color="auto"/>
                        <w:bottom w:val="none" w:sz="0" w:space="0" w:color="auto"/>
                        <w:right w:val="none" w:sz="0" w:space="0" w:color="auto"/>
                      </w:divBdr>
                    </w:div>
                    <w:div w:id="1364479706">
                      <w:marLeft w:val="0"/>
                      <w:marRight w:val="0"/>
                      <w:marTop w:val="0"/>
                      <w:marBottom w:val="0"/>
                      <w:divBdr>
                        <w:top w:val="none" w:sz="0" w:space="0" w:color="auto"/>
                        <w:left w:val="none" w:sz="0" w:space="0" w:color="auto"/>
                        <w:bottom w:val="none" w:sz="0" w:space="0" w:color="auto"/>
                        <w:right w:val="none" w:sz="0" w:space="0" w:color="auto"/>
                      </w:divBdr>
                    </w:div>
                    <w:div w:id="1457094163">
                      <w:marLeft w:val="0"/>
                      <w:marRight w:val="0"/>
                      <w:marTop w:val="0"/>
                      <w:marBottom w:val="0"/>
                      <w:divBdr>
                        <w:top w:val="none" w:sz="0" w:space="0" w:color="auto"/>
                        <w:left w:val="none" w:sz="0" w:space="0" w:color="auto"/>
                        <w:bottom w:val="none" w:sz="0" w:space="0" w:color="auto"/>
                        <w:right w:val="none" w:sz="0" w:space="0" w:color="auto"/>
                      </w:divBdr>
                    </w:div>
                    <w:div w:id="1901939942">
                      <w:marLeft w:val="0"/>
                      <w:marRight w:val="0"/>
                      <w:marTop w:val="0"/>
                      <w:marBottom w:val="0"/>
                      <w:divBdr>
                        <w:top w:val="none" w:sz="0" w:space="0" w:color="auto"/>
                        <w:left w:val="none" w:sz="0" w:space="0" w:color="auto"/>
                        <w:bottom w:val="none" w:sz="0" w:space="0" w:color="auto"/>
                        <w:right w:val="none" w:sz="0" w:space="0" w:color="auto"/>
                      </w:divBdr>
                    </w:div>
                    <w:div w:id="2044861649">
                      <w:marLeft w:val="0"/>
                      <w:marRight w:val="0"/>
                      <w:marTop w:val="0"/>
                      <w:marBottom w:val="0"/>
                      <w:divBdr>
                        <w:top w:val="none" w:sz="0" w:space="0" w:color="auto"/>
                        <w:left w:val="none" w:sz="0" w:space="0" w:color="auto"/>
                        <w:bottom w:val="none" w:sz="0" w:space="0" w:color="auto"/>
                        <w:right w:val="none" w:sz="0" w:space="0" w:color="auto"/>
                      </w:divBdr>
                    </w:div>
                  </w:divsChild>
                </w:div>
                <w:div w:id="1933656915">
                  <w:marLeft w:val="0"/>
                  <w:marRight w:val="0"/>
                  <w:marTop w:val="0"/>
                  <w:marBottom w:val="0"/>
                  <w:divBdr>
                    <w:top w:val="none" w:sz="0" w:space="0" w:color="auto"/>
                    <w:left w:val="none" w:sz="0" w:space="0" w:color="auto"/>
                    <w:bottom w:val="none" w:sz="0" w:space="0" w:color="auto"/>
                    <w:right w:val="none" w:sz="0" w:space="0" w:color="auto"/>
                  </w:divBdr>
                  <w:divsChild>
                    <w:div w:id="138423696">
                      <w:marLeft w:val="0"/>
                      <w:marRight w:val="0"/>
                      <w:marTop w:val="0"/>
                      <w:marBottom w:val="0"/>
                      <w:divBdr>
                        <w:top w:val="none" w:sz="0" w:space="0" w:color="auto"/>
                        <w:left w:val="none" w:sz="0" w:space="0" w:color="auto"/>
                        <w:bottom w:val="none" w:sz="0" w:space="0" w:color="auto"/>
                        <w:right w:val="none" w:sz="0" w:space="0" w:color="auto"/>
                      </w:divBdr>
                    </w:div>
                  </w:divsChild>
                </w:div>
                <w:div w:id="1949963716">
                  <w:marLeft w:val="0"/>
                  <w:marRight w:val="0"/>
                  <w:marTop w:val="0"/>
                  <w:marBottom w:val="0"/>
                  <w:divBdr>
                    <w:top w:val="none" w:sz="0" w:space="0" w:color="auto"/>
                    <w:left w:val="none" w:sz="0" w:space="0" w:color="auto"/>
                    <w:bottom w:val="none" w:sz="0" w:space="0" w:color="auto"/>
                    <w:right w:val="none" w:sz="0" w:space="0" w:color="auto"/>
                  </w:divBdr>
                  <w:divsChild>
                    <w:div w:id="1516000408">
                      <w:marLeft w:val="0"/>
                      <w:marRight w:val="0"/>
                      <w:marTop w:val="0"/>
                      <w:marBottom w:val="0"/>
                      <w:divBdr>
                        <w:top w:val="none" w:sz="0" w:space="0" w:color="auto"/>
                        <w:left w:val="none" w:sz="0" w:space="0" w:color="auto"/>
                        <w:bottom w:val="none" w:sz="0" w:space="0" w:color="auto"/>
                        <w:right w:val="none" w:sz="0" w:space="0" w:color="auto"/>
                      </w:divBdr>
                    </w:div>
                  </w:divsChild>
                </w:div>
                <w:div w:id="2027559658">
                  <w:marLeft w:val="0"/>
                  <w:marRight w:val="0"/>
                  <w:marTop w:val="0"/>
                  <w:marBottom w:val="0"/>
                  <w:divBdr>
                    <w:top w:val="none" w:sz="0" w:space="0" w:color="auto"/>
                    <w:left w:val="none" w:sz="0" w:space="0" w:color="auto"/>
                    <w:bottom w:val="none" w:sz="0" w:space="0" w:color="auto"/>
                    <w:right w:val="none" w:sz="0" w:space="0" w:color="auto"/>
                  </w:divBdr>
                  <w:divsChild>
                    <w:div w:id="1542014841">
                      <w:marLeft w:val="0"/>
                      <w:marRight w:val="0"/>
                      <w:marTop w:val="0"/>
                      <w:marBottom w:val="0"/>
                      <w:divBdr>
                        <w:top w:val="none" w:sz="0" w:space="0" w:color="auto"/>
                        <w:left w:val="none" w:sz="0" w:space="0" w:color="auto"/>
                        <w:bottom w:val="none" w:sz="0" w:space="0" w:color="auto"/>
                        <w:right w:val="none" w:sz="0" w:space="0" w:color="auto"/>
                      </w:divBdr>
                    </w:div>
                  </w:divsChild>
                </w:div>
                <w:div w:id="2042198646">
                  <w:marLeft w:val="0"/>
                  <w:marRight w:val="0"/>
                  <w:marTop w:val="0"/>
                  <w:marBottom w:val="0"/>
                  <w:divBdr>
                    <w:top w:val="none" w:sz="0" w:space="0" w:color="auto"/>
                    <w:left w:val="none" w:sz="0" w:space="0" w:color="auto"/>
                    <w:bottom w:val="none" w:sz="0" w:space="0" w:color="auto"/>
                    <w:right w:val="none" w:sz="0" w:space="0" w:color="auto"/>
                  </w:divBdr>
                  <w:divsChild>
                    <w:div w:id="354890278">
                      <w:marLeft w:val="0"/>
                      <w:marRight w:val="0"/>
                      <w:marTop w:val="0"/>
                      <w:marBottom w:val="0"/>
                      <w:divBdr>
                        <w:top w:val="none" w:sz="0" w:space="0" w:color="auto"/>
                        <w:left w:val="none" w:sz="0" w:space="0" w:color="auto"/>
                        <w:bottom w:val="none" w:sz="0" w:space="0" w:color="auto"/>
                        <w:right w:val="none" w:sz="0" w:space="0" w:color="auto"/>
                      </w:divBdr>
                    </w:div>
                    <w:div w:id="564023495">
                      <w:marLeft w:val="0"/>
                      <w:marRight w:val="0"/>
                      <w:marTop w:val="0"/>
                      <w:marBottom w:val="0"/>
                      <w:divBdr>
                        <w:top w:val="none" w:sz="0" w:space="0" w:color="auto"/>
                        <w:left w:val="none" w:sz="0" w:space="0" w:color="auto"/>
                        <w:bottom w:val="none" w:sz="0" w:space="0" w:color="auto"/>
                        <w:right w:val="none" w:sz="0" w:space="0" w:color="auto"/>
                      </w:divBdr>
                    </w:div>
                    <w:div w:id="1373968344">
                      <w:marLeft w:val="0"/>
                      <w:marRight w:val="0"/>
                      <w:marTop w:val="0"/>
                      <w:marBottom w:val="0"/>
                      <w:divBdr>
                        <w:top w:val="none" w:sz="0" w:space="0" w:color="auto"/>
                        <w:left w:val="none" w:sz="0" w:space="0" w:color="auto"/>
                        <w:bottom w:val="none" w:sz="0" w:space="0" w:color="auto"/>
                        <w:right w:val="none" w:sz="0" w:space="0" w:color="auto"/>
                      </w:divBdr>
                    </w:div>
                    <w:div w:id="2087729450">
                      <w:marLeft w:val="0"/>
                      <w:marRight w:val="0"/>
                      <w:marTop w:val="0"/>
                      <w:marBottom w:val="0"/>
                      <w:divBdr>
                        <w:top w:val="none" w:sz="0" w:space="0" w:color="auto"/>
                        <w:left w:val="none" w:sz="0" w:space="0" w:color="auto"/>
                        <w:bottom w:val="none" w:sz="0" w:space="0" w:color="auto"/>
                        <w:right w:val="none" w:sz="0" w:space="0" w:color="auto"/>
                      </w:divBdr>
                    </w:div>
                  </w:divsChild>
                </w:div>
                <w:div w:id="2059621984">
                  <w:marLeft w:val="0"/>
                  <w:marRight w:val="0"/>
                  <w:marTop w:val="0"/>
                  <w:marBottom w:val="0"/>
                  <w:divBdr>
                    <w:top w:val="none" w:sz="0" w:space="0" w:color="auto"/>
                    <w:left w:val="none" w:sz="0" w:space="0" w:color="auto"/>
                    <w:bottom w:val="none" w:sz="0" w:space="0" w:color="auto"/>
                    <w:right w:val="none" w:sz="0" w:space="0" w:color="auto"/>
                  </w:divBdr>
                  <w:divsChild>
                    <w:div w:id="20398077">
                      <w:marLeft w:val="0"/>
                      <w:marRight w:val="0"/>
                      <w:marTop w:val="0"/>
                      <w:marBottom w:val="0"/>
                      <w:divBdr>
                        <w:top w:val="none" w:sz="0" w:space="0" w:color="auto"/>
                        <w:left w:val="none" w:sz="0" w:space="0" w:color="auto"/>
                        <w:bottom w:val="none" w:sz="0" w:space="0" w:color="auto"/>
                        <w:right w:val="none" w:sz="0" w:space="0" w:color="auto"/>
                      </w:divBdr>
                    </w:div>
                    <w:div w:id="455102937">
                      <w:marLeft w:val="0"/>
                      <w:marRight w:val="0"/>
                      <w:marTop w:val="0"/>
                      <w:marBottom w:val="0"/>
                      <w:divBdr>
                        <w:top w:val="none" w:sz="0" w:space="0" w:color="auto"/>
                        <w:left w:val="none" w:sz="0" w:space="0" w:color="auto"/>
                        <w:bottom w:val="none" w:sz="0" w:space="0" w:color="auto"/>
                        <w:right w:val="none" w:sz="0" w:space="0" w:color="auto"/>
                      </w:divBdr>
                    </w:div>
                    <w:div w:id="483816539">
                      <w:marLeft w:val="0"/>
                      <w:marRight w:val="0"/>
                      <w:marTop w:val="0"/>
                      <w:marBottom w:val="0"/>
                      <w:divBdr>
                        <w:top w:val="none" w:sz="0" w:space="0" w:color="auto"/>
                        <w:left w:val="none" w:sz="0" w:space="0" w:color="auto"/>
                        <w:bottom w:val="none" w:sz="0" w:space="0" w:color="auto"/>
                        <w:right w:val="none" w:sz="0" w:space="0" w:color="auto"/>
                      </w:divBdr>
                    </w:div>
                    <w:div w:id="805197343">
                      <w:marLeft w:val="0"/>
                      <w:marRight w:val="0"/>
                      <w:marTop w:val="0"/>
                      <w:marBottom w:val="0"/>
                      <w:divBdr>
                        <w:top w:val="none" w:sz="0" w:space="0" w:color="auto"/>
                        <w:left w:val="none" w:sz="0" w:space="0" w:color="auto"/>
                        <w:bottom w:val="none" w:sz="0" w:space="0" w:color="auto"/>
                        <w:right w:val="none" w:sz="0" w:space="0" w:color="auto"/>
                      </w:divBdr>
                    </w:div>
                    <w:div w:id="1128474728">
                      <w:marLeft w:val="0"/>
                      <w:marRight w:val="0"/>
                      <w:marTop w:val="0"/>
                      <w:marBottom w:val="0"/>
                      <w:divBdr>
                        <w:top w:val="none" w:sz="0" w:space="0" w:color="auto"/>
                        <w:left w:val="none" w:sz="0" w:space="0" w:color="auto"/>
                        <w:bottom w:val="none" w:sz="0" w:space="0" w:color="auto"/>
                        <w:right w:val="none" w:sz="0" w:space="0" w:color="auto"/>
                      </w:divBdr>
                    </w:div>
                    <w:div w:id="1181507035">
                      <w:marLeft w:val="0"/>
                      <w:marRight w:val="0"/>
                      <w:marTop w:val="0"/>
                      <w:marBottom w:val="0"/>
                      <w:divBdr>
                        <w:top w:val="none" w:sz="0" w:space="0" w:color="auto"/>
                        <w:left w:val="none" w:sz="0" w:space="0" w:color="auto"/>
                        <w:bottom w:val="none" w:sz="0" w:space="0" w:color="auto"/>
                        <w:right w:val="none" w:sz="0" w:space="0" w:color="auto"/>
                      </w:divBdr>
                    </w:div>
                    <w:div w:id="1292131755">
                      <w:marLeft w:val="0"/>
                      <w:marRight w:val="0"/>
                      <w:marTop w:val="0"/>
                      <w:marBottom w:val="0"/>
                      <w:divBdr>
                        <w:top w:val="none" w:sz="0" w:space="0" w:color="auto"/>
                        <w:left w:val="none" w:sz="0" w:space="0" w:color="auto"/>
                        <w:bottom w:val="none" w:sz="0" w:space="0" w:color="auto"/>
                        <w:right w:val="none" w:sz="0" w:space="0" w:color="auto"/>
                      </w:divBdr>
                    </w:div>
                    <w:div w:id="1368142388">
                      <w:marLeft w:val="0"/>
                      <w:marRight w:val="0"/>
                      <w:marTop w:val="0"/>
                      <w:marBottom w:val="0"/>
                      <w:divBdr>
                        <w:top w:val="none" w:sz="0" w:space="0" w:color="auto"/>
                        <w:left w:val="none" w:sz="0" w:space="0" w:color="auto"/>
                        <w:bottom w:val="none" w:sz="0" w:space="0" w:color="auto"/>
                        <w:right w:val="none" w:sz="0" w:space="0" w:color="auto"/>
                      </w:divBdr>
                    </w:div>
                    <w:div w:id="1938708477">
                      <w:marLeft w:val="0"/>
                      <w:marRight w:val="0"/>
                      <w:marTop w:val="0"/>
                      <w:marBottom w:val="0"/>
                      <w:divBdr>
                        <w:top w:val="none" w:sz="0" w:space="0" w:color="auto"/>
                        <w:left w:val="none" w:sz="0" w:space="0" w:color="auto"/>
                        <w:bottom w:val="none" w:sz="0" w:space="0" w:color="auto"/>
                        <w:right w:val="none" w:sz="0" w:space="0" w:color="auto"/>
                      </w:divBdr>
                    </w:div>
                    <w:div w:id="1961567523">
                      <w:marLeft w:val="0"/>
                      <w:marRight w:val="0"/>
                      <w:marTop w:val="0"/>
                      <w:marBottom w:val="0"/>
                      <w:divBdr>
                        <w:top w:val="none" w:sz="0" w:space="0" w:color="auto"/>
                        <w:left w:val="none" w:sz="0" w:space="0" w:color="auto"/>
                        <w:bottom w:val="none" w:sz="0" w:space="0" w:color="auto"/>
                        <w:right w:val="none" w:sz="0" w:space="0" w:color="auto"/>
                      </w:divBdr>
                    </w:div>
                    <w:div w:id="2076472437">
                      <w:marLeft w:val="0"/>
                      <w:marRight w:val="0"/>
                      <w:marTop w:val="0"/>
                      <w:marBottom w:val="0"/>
                      <w:divBdr>
                        <w:top w:val="none" w:sz="0" w:space="0" w:color="auto"/>
                        <w:left w:val="none" w:sz="0" w:space="0" w:color="auto"/>
                        <w:bottom w:val="none" w:sz="0" w:space="0" w:color="auto"/>
                        <w:right w:val="none" w:sz="0" w:space="0" w:color="auto"/>
                      </w:divBdr>
                    </w:div>
                  </w:divsChild>
                </w:div>
                <w:div w:id="2071539493">
                  <w:marLeft w:val="0"/>
                  <w:marRight w:val="0"/>
                  <w:marTop w:val="0"/>
                  <w:marBottom w:val="0"/>
                  <w:divBdr>
                    <w:top w:val="none" w:sz="0" w:space="0" w:color="auto"/>
                    <w:left w:val="none" w:sz="0" w:space="0" w:color="auto"/>
                    <w:bottom w:val="none" w:sz="0" w:space="0" w:color="auto"/>
                    <w:right w:val="none" w:sz="0" w:space="0" w:color="auto"/>
                  </w:divBdr>
                  <w:divsChild>
                    <w:div w:id="497766688">
                      <w:marLeft w:val="0"/>
                      <w:marRight w:val="0"/>
                      <w:marTop w:val="0"/>
                      <w:marBottom w:val="0"/>
                      <w:divBdr>
                        <w:top w:val="none" w:sz="0" w:space="0" w:color="auto"/>
                        <w:left w:val="none" w:sz="0" w:space="0" w:color="auto"/>
                        <w:bottom w:val="none" w:sz="0" w:space="0" w:color="auto"/>
                        <w:right w:val="none" w:sz="0" w:space="0" w:color="auto"/>
                      </w:divBdr>
                    </w:div>
                    <w:div w:id="510338591">
                      <w:marLeft w:val="0"/>
                      <w:marRight w:val="0"/>
                      <w:marTop w:val="0"/>
                      <w:marBottom w:val="0"/>
                      <w:divBdr>
                        <w:top w:val="none" w:sz="0" w:space="0" w:color="auto"/>
                        <w:left w:val="none" w:sz="0" w:space="0" w:color="auto"/>
                        <w:bottom w:val="none" w:sz="0" w:space="0" w:color="auto"/>
                        <w:right w:val="none" w:sz="0" w:space="0" w:color="auto"/>
                      </w:divBdr>
                    </w:div>
                    <w:div w:id="810026926">
                      <w:marLeft w:val="0"/>
                      <w:marRight w:val="0"/>
                      <w:marTop w:val="0"/>
                      <w:marBottom w:val="0"/>
                      <w:divBdr>
                        <w:top w:val="none" w:sz="0" w:space="0" w:color="auto"/>
                        <w:left w:val="none" w:sz="0" w:space="0" w:color="auto"/>
                        <w:bottom w:val="none" w:sz="0" w:space="0" w:color="auto"/>
                        <w:right w:val="none" w:sz="0" w:space="0" w:color="auto"/>
                      </w:divBdr>
                    </w:div>
                  </w:divsChild>
                </w:div>
                <w:div w:id="2096896344">
                  <w:marLeft w:val="0"/>
                  <w:marRight w:val="0"/>
                  <w:marTop w:val="0"/>
                  <w:marBottom w:val="0"/>
                  <w:divBdr>
                    <w:top w:val="none" w:sz="0" w:space="0" w:color="auto"/>
                    <w:left w:val="none" w:sz="0" w:space="0" w:color="auto"/>
                    <w:bottom w:val="none" w:sz="0" w:space="0" w:color="auto"/>
                    <w:right w:val="none" w:sz="0" w:space="0" w:color="auto"/>
                  </w:divBdr>
                  <w:divsChild>
                    <w:div w:id="440734077">
                      <w:marLeft w:val="0"/>
                      <w:marRight w:val="0"/>
                      <w:marTop w:val="0"/>
                      <w:marBottom w:val="0"/>
                      <w:divBdr>
                        <w:top w:val="none" w:sz="0" w:space="0" w:color="auto"/>
                        <w:left w:val="none" w:sz="0" w:space="0" w:color="auto"/>
                        <w:bottom w:val="none" w:sz="0" w:space="0" w:color="auto"/>
                        <w:right w:val="none" w:sz="0" w:space="0" w:color="auto"/>
                      </w:divBdr>
                    </w:div>
                  </w:divsChild>
                </w:div>
                <w:div w:id="2114785071">
                  <w:marLeft w:val="0"/>
                  <w:marRight w:val="0"/>
                  <w:marTop w:val="0"/>
                  <w:marBottom w:val="0"/>
                  <w:divBdr>
                    <w:top w:val="none" w:sz="0" w:space="0" w:color="auto"/>
                    <w:left w:val="none" w:sz="0" w:space="0" w:color="auto"/>
                    <w:bottom w:val="none" w:sz="0" w:space="0" w:color="auto"/>
                    <w:right w:val="none" w:sz="0" w:space="0" w:color="auto"/>
                  </w:divBdr>
                  <w:divsChild>
                    <w:div w:id="110904870">
                      <w:marLeft w:val="0"/>
                      <w:marRight w:val="0"/>
                      <w:marTop w:val="0"/>
                      <w:marBottom w:val="0"/>
                      <w:divBdr>
                        <w:top w:val="none" w:sz="0" w:space="0" w:color="auto"/>
                        <w:left w:val="none" w:sz="0" w:space="0" w:color="auto"/>
                        <w:bottom w:val="none" w:sz="0" w:space="0" w:color="auto"/>
                        <w:right w:val="none" w:sz="0" w:space="0" w:color="auto"/>
                      </w:divBdr>
                    </w:div>
                    <w:div w:id="191044042">
                      <w:marLeft w:val="0"/>
                      <w:marRight w:val="0"/>
                      <w:marTop w:val="0"/>
                      <w:marBottom w:val="0"/>
                      <w:divBdr>
                        <w:top w:val="none" w:sz="0" w:space="0" w:color="auto"/>
                        <w:left w:val="none" w:sz="0" w:space="0" w:color="auto"/>
                        <w:bottom w:val="none" w:sz="0" w:space="0" w:color="auto"/>
                        <w:right w:val="none" w:sz="0" w:space="0" w:color="auto"/>
                      </w:divBdr>
                    </w:div>
                    <w:div w:id="439877950">
                      <w:marLeft w:val="0"/>
                      <w:marRight w:val="0"/>
                      <w:marTop w:val="0"/>
                      <w:marBottom w:val="0"/>
                      <w:divBdr>
                        <w:top w:val="none" w:sz="0" w:space="0" w:color="auto"/>
                        <w:left w:val="none" w:sz="0" w:space="0" w:color="auto"/>
                        <w:bottom w:val="none" w:sz="0" w:space="0" w:color="auto"/>
                        <w:right w:val="none" w:sz="0" w:space="0" w:color="auto"/>
                      </w:divBdr>
                    </w:div>
                    <w:div w:id="652564090">
                      <w:marLeft w:val="0"/>
                      <w:marRight w:val="0"/>
                      <w:marTop w:val="0"/>
                      <w:marBottom w:val="0"/>
                      <w:divBdr>
                        <w:top w:val="none" w:sz="0" w:space="0" w:color="auto"/>
                        <w:left w:val="none" w:sz="0" w:space="0" w:color="auto"/>
                        <w:bottom w:val="none" w:sz="0" w:space="0" w:color="auto"/>
                        <w:right w:val="none" w:sz="0" w:space="0" w:color="auto"/>
                      </w:divBdr>
                    </w:div>
                    <w:div w:id="686247257">
                      <w:marLeft w:val="0"/>
                      <w:marRight w:val="0"/>
                      <w:marTop w:val="0"/>
                      <w:marBottom w:val="0"/>
                      <w:divBdr>
                        <w:top w:val="none" w:sz="0" w:space="0" w:color="auto"/>
                        <w:left w:val="none" w:sz="0" w:space="0" w:color="auto"/>
                        <w:bottom w:val="none" w:sz="0" w:space="0" w:color="auto"/>
                        <w:right w:val="none" w:sz="0" w:space="0" w:color="auto"/>
                      </w:divBdr>
                    </w:div>
                    <w:div w:id="887645313">
                      <w:marLeft w:val="0"/>
                      <w:marRight w:val="0"/>
                      <w:marTop w:val="0"/>
                      <w:marBottom w:val="0"/>
                      <w:divBdr>
                        <w:top w:val="none" w:sz="0" w:space="0" w:color="auto"/>
                        <w:left w:val="none" w:sz="0" w:space="0" w:color="auto"/>
                        <w:bottom w:val="none" w:sz="0" w:space="0" w:color="auto"/>
                        <w:right w:val="none" w:sz="0" w:space="0" w:color="auto"/>
                      </w:divBdr>
                    </w:div>
                    <w:div w:id="949120752">
                      <w:marLeft w:val="0"/>
                      <w:marRight w:val="0"/>
                      <w:marTop w:val="0"/>
                      <w:marBottom w:val="0"/>
                      <w:divBdr>
                        <w:top w:val="none" w:sz="0" w:space="0" w:color="auto"/>
                        <w:left w:val="none" w:sz="0" w:space="0" w:color="auto"/>
                        <w:bottom w:val="none" w:sz="0" w:space="0" w:color="auto"/>
                        <w:right w:val="none" w:sz="0" w:space="0" w:color="auto"/>
                      </w:divBdr>
                    </w:div>
                    <w:div w:id="961156740">
                      <w:marLeft w:val="0"/>
                      <w:marRight w:val="0"/>
                      <w:marTop w:val="0"/>
                      <w:marBottom w:val="0"/>
                      <w:divBdr>
                        <w:top w:val="none" w:sz="0" w:space="0" w:color="auto"/>
                        <w:left w:val="none" w:sz="0" w:space="0" w:color="auto"/>
                        <w:bottom w:val="none" w:sz="0" w:space="0" w:color="auto"/>
                        <w:right w:val="none" w:sz="0" w:space="0" w:color="auto"/>
                      </w:divBdr>
                    </w:div>
                    <w:div w:id="1030767245">
                      <w:marLeft w:val="0"/>
                      <w:marRight w:val="0"/>
                      <w:marTop w:val="0"/>
                      <w:marBottom w:val="0"/>
                      <w:divBdr>
                        <w:top w:val="none" w:sz="0" w:space="0" w:color="auto"/>
                        <w:left w:val="none" w:sz="0" w:space="0" w:color="auto"/>
                        <w:bottom w:val="none" w:sz="0" w:space="0" w:color="auto"/>
                        <w:right w:val="none" w:sz="0" w:space="0" w:color="auto"/>
                      </w:divBdr>
                    </w:div>
                    <w:div w:id="1141312399">
                      <w:marLeft w:val="0"/>
                      <w:marRight w:val="0"/>
                      <w:marTop w:val="0"/>
                      <w:marBottom w:val="0"/>
                      <w:divBdr>
                        <w:top w:val="none" w:sz="0" w:space="0" w:color="auto"/>
                        <w:left w:val="none" w:sz="0" w:space="0" w:color="auto"/>
                        <w:bottom w:val="none" w:sz="0" w:space="0" w:color="auto"/>
                        <w:right w:val="none" w:sz="0" w:space="0" w:color="auto"/>
                      </w:divBdr>
                    </w:div>
                    <w:div w:id="1199464579">
                      <w:marLeft w:val="0"/>
                      <w:marRight w:val="0"/>
                      <w:marTop w:val="0"/>
                      <w:marBottom w:val="0"/>
                      <w:divBdr>
                        <w:top w:val="none" w:sz="0" w:space="0" w:color="auto"/>
                        <w:left w:val="none" w:sz="0" w:space="0" w:color="auto"/>
                        <w:bottom w:val="none" w:sz="0" w:space="0" w:color="auto"/>
                        <w:right w:val="none" w:sz="0" w:space="0" w:color="auto"/>
                      </w:divBdr>
                    </w:div>
                    <w:div w:id="1206716308">
                      <w:marLeft w:val="0"/>
                      <w:marRight w:val="0"/>
                      <w:marTop w:val="0"/>
                      <w:marBottom w:val="0"/>
                      <w:divBdr>
                        <w:top w:val="none" w:sz="0" w:space="0" w:color="auto"/>
                        <w:left w:val="none" w:sz="0" w:space="0" w:color="auto"/>
                        <w:bottom w:val="none" w:sz="0" w:space="0" w:color="auto"/>
                        <w:right w:val="none" w:sz="0" w:space="0" w:color="auto"/>
                      </w:divBdr>
                    </w:div>
                    <w:div w:id="1677656422">
                      <w:marLeft w:val="0"/>
                      <w:marRight w:val="0"/>
                      <w:marTop w:val="0"/>
                      <w:marBottom w:val="0"/>
                      <w:divBdr>
                        <w:top w:val="none" w:sz="0" w:space="0" w:color="auto"/>
                        <w:left w:val="none" w:sz="0" w:space="0" w:color="auto"/>
                        <w:bottom w:val="none" w:sz="0" w:space="0" w:color="auto"/>
                        <w:right w:val="none" w:sz="0" w:space="0" w:color="auto"/>
                      </w:divBdr>
                    </w:div>
                    <w:div w:id="1753353173">
                      <w:marLeft w:val="0"/>
                      <w:marRight w:val="0"/>
                      <w:marTop w:val="0"/>
                      <w:marBottom w:val="0"/>
                      <w:divBdr>
                        <w:top w:val="none" w:sz="0" w:space="0" w:color="auto"/>
                        <w:left w:val="none" w:sz="0" w:space="0" w:color="auto"/>
                        <w:bottom w:val="none" w:sz="0" w:space="0" w:color="auto"/>
                        <w:right w:val="none" w:sz="0" w:space="0" w:color="auto"/>
                      </w:divBdr>
                    </w:div>
                    <w:div w:id="1855993883">
                      <w:marLeft w:val="0"/>
                      <w:marRight w:val="0"/>
                      <w:marTop w:val="0"/>
                      <w:marBottom w:val="0"/>
                      <w:divBdr>
                        <w:top w:val="none" w:sz="0" w:space="0" w:color="auto"/>
                        <w:left w:val="none" w:sz="0" w:space="0" w:color="auto"/>
                        <w:bottom w:val="none" w:sz="0" w:space="0" w:color="auto"/>
                        <w:right w:val="none" w:sz="0" w:space="0" w:color="auto"/>
                      </w:divBdr>
                    </w:div>
                  </w:divsChild>
                </w:div>
                <w:div w:id="2127653017">
                  <w:marLeft w:val="0"/>
                  <w:marRight w:val="0"/>
                  <w:marTop w:val="0"/>
                  <w:marBottom w:val="0"/>
                  <w:divBdr>
                    <w:top w:val="none" w:sz="0" w:space="0" w:color="auto"/>
                    <w:left w:val="none" w:sz="0" w:space="0" w:color="auto"/>
                    <w:bottom w:val="none" w:sz="0" w:space="0" w:color="auto"/>
                    <w:right w:val="none" w:sz="0" w:space="0" w:color="auto"/>
                  </w:divBdr>
                  <w:divsChild>
                    <w:div w:id="6431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81225">
          <w:marLeft w:val="0"/>
          <w:marRight w:val="0"/>
          <w:marTop w:val="0"/>
          <w:marBottom w:val="0"/>
          <w:divBdr>
            <w:top w:val="none" w:sz="0" w:space="0" w:color="auto"/>
            <w:left w:val="none" w:sz="0" w:space="0" w:color="auto"/>
            <w:bottom w:val="none" w:sz="0" w:space="0" w:color="auto"/>
            <w:right w:val="none" w:sz="0" w:space="0" w:color="auto"/>
          </w:divBdr>
        </w:div>
        <w:div w:id="1406563020">
          <w:marLeft w:val="0"/>
          <w:marRight w:val="0"/>
          <w:marTop w:val="0"/>
          <w:marBottom w:val="0"/>
          <w:divBdr>
            <w:top w:val="none" w:sz="0" w:space="0" w:color="auto"/>
            <w:left w:val="none" w:sz="0" w:space="0" w:color="auto"/>
            <w:bottom w:val="none" w:sz="0" w:space="0" w:color="auto"/>
            <w:right w:val="none" w:sz="0" w:space="0" w:color="auto"/>
          </w:divBdr>
        </w:div>
        <w:div w:id="1451971951">
          <w:marLeft w:val="0"/>
          <w:marRight w:val="0"/>
          <w:marTop w:val="0"/>
          <w:marBottom w:val="0"/>
          <w:divBdr>
            <w:top w:val="none" w:sz="0" w:space="0" w:color="auto"/>
            <w:left w:val="none" w:sz="0" w:space="0" w:color="auto"/>
            <w:bottom w:val="none" w:sz="0" w:space="0" w:color="auto"/>
            <w:right w:val="none" w:sz="0" w:space="0" w:color="auto"/>
          </w:divBdr>
        </w:div>
        <w:div w:id="1507210967">
          <w:marLeft w:val="0"/>
          <w:marRight w:val="0"/>
          <w:marTop w:val="0"/>
          <w:marBottom w:val="0"/>
          <w:divBdr>
            <w:top w:val="none" w:sz="0" w:space="0" w:color="auto"/>
            <w:left w:val="none" w:sz="0" w:space="0" w:color="auto"/>
            <w:bottom w:val="none" w:sz="0" w:space="0" w:color="auto"/>
            <w:right w:val="none" w:sz="0" w:space="0" w:color="auto"/>
          </w:divBdr>
        </w:div>
        <w:div w:id="1628123681">
          <w:marLeft w:val="0"/>
          <w:marRight w:val="0"/>
          <w:marTop w:val="0"/>
          <w:marBottom w:val="0"/>
          <w:divBdr>
            <w:top w:val="none" w:sz="0" w:space="0" w:color="auto"/>
            <w:left w:val="none" w:sz="0" w:space="0" w:color="auto"/>
            <w:bottom w:val="none" w:sz="0" w:space="0" w:color="auto"/>
            <w:right w:val="none" w:sz="0" w:space="0" w:color="auto"/>
          </w:divBdr>
          <w:divsChild>
            <w:div w:id="104007076">
              <w:marLeft w:val="0"/>
              <w:marRight w:val="0"/>
              <w:marTop w:val="0"/>
              <w:marBottom w:val="0"/>
              <w:divBdr>
                <w:top w:val="none" w:sz="0" w:space="0" w:color="auto"/>
                <w:left w:val="none" w:sz="0" w:space="0" w:color="auto"/>
                <w:bottom w:val="none" w:sz="0" w:space="0" w:color="auto"/>
                <w:right w:val="none" w:sz="0" w:space="0" w:color="auto"/>
              </w:divBdr>
            </w:div>
            <w:div w:id="433595626">
              <w:marLeft w:val="0"/>
              <w:marRight w:val="0"/>
              <w:marTop w:val="0"/>
              <w:marBottom w:val="0"/>
              <w:divBdr>
                <w:top w:val="none" w:sz="0" w:space="0" w:color="auto"/>
                <w:left w:val="none" w:sz="0" w:space="0" w:color="auto"/>
                <w:bottom w:val="none" w:sz="0" w:space="0" w:color="auto"/>
                <w:right w:val="none" w:sz="0" w:space="0" w:color="auto"/>
              </w:divBdr>
            </w:div>
            <w:div w:id="2016566549">
              <w:marLeft w:val="0"/>
              <w:marRight w:val="0"/>
              <w:marTop w:val="0"/>
              <w:marBottom w:val="0"/>
              <w:divBdr>
                <w:top w:val="none" w:sz="0" w:space="0" w:color="auto"/>
                <w:left w:val="none" w:sz="0" w:space="0" w:color="auto"/>
                <w:bottom w:val="none" w:sz="0" w:space="0" w:color="auto"/>
                <w:right w:val="none" w:sz="0" w:space="0" w:color="auto"/>
              </w:divBdr>
            </w:div>
          </w:divsChild>
        </w:div>
        <w:div w:id="1652440739">
          <w:marLeft w:val="0"/>
          <w:marRight w:val="0"/>
          <w:marTop w:val="0"/>
          <w:marBottom w:val="0"/>
          <w:divBdr>
            <w:top w:val="none" w:sz="0" w:space="0" w:color="auto"/>
            <w:left w:val="none" w:sz="0" w:space="0" w:color="auto"/>
            <w:bottom w:val="none" w:sz="0" w:space="0" w:color="auto"/>
            <w:right w:val="none" w:sz="0" w:space="0" w:color="auto"/>
          </w:divBdr>
        </w:div>
        <w:div w:id="1944068657">
          <w:marLeft w:val="0"/>
          <w:marRight w:val="0"/>
          <w:marTop w:val="0"/>
          <w:marBottom w:val="0"/>
          <w:divBdr>
            <w:top w:val="none" w:sz="0" w:space="0" w:color="auto"/>
            <w:left w:val="none" w:sz="0" w:space="0" w:color="auto"/>
            <w:bottom w:val="none" w:sz="0" w:space="0" w:color="auto"/>
            <w:right w:val="none" w:sz="0" w:space="0" w:color="auto"/>
          </w:divBdr>
        </w:div>
        <w:div w:id="2083290190">
          <w:marLeft w:val="0"/>
          <w:marRight w:val="0"/>
          <w:marTop w:val="0"/>
          <w:marBottom w:val="0"/>
          <w:divBdr>
            <w:top w:val="none" w:sz="0" w:space="0" w:color="auto"/>
            <w:left w:val="none" w:sz="0" w:space="0" w:color="auto"/>
            <w:bottom w:val="none" w:sz="0" w:space="0" w:color="auto"/>
            <w:right w:val="none" w:sz="0" w:space="0" w:color="auto"/>
          </w:divBdr>
        </w:div>
        <w:div w:id="2097700787">
          <w:marLeft w:val="0"/>
          <w:marRight w:val="0"/>
          <w:marTop w:val="0"/>
          <w:marBottom w:val="0"/>
          <w:divBdr>
            <w:top w:val="none" w:sz="0" w:space="0" w:color="auto"/>
            <w:left w:val="none" w:sz="0" w:space="0" w:color="auto"/>
            <w:bottom w:val="none" w:sz="0" w:space="0" w:color="auto"/>
            <w:right w:val="none" w:sz="0" w:space="0" w:color="auto"/>
          </w:divBdr>
        </w:div>
        <w:div w:id="2140995998">
          <w:marLeft w:val="0"/>
          <w:marRight w:val="0"/>
          <w:marTop w:val="0"/>
          <w:marBottom w:val="0"/>
          <w:divBdr>
            <w:top w:val="none" w:sz="0" w:space="0" w:color="auto"/>
            <w:left w:val="none" w:sz="0" w:space="0" w:color="auto"/>
            <w:bottom w:val="none" w:sz="0" w:space="0" w:color="auto"/>
            <w:right w:val="none" w:sz="0" w:space="0" w:color="auto"/>
          </w:divBdr>
        </w:div>
      </w:divsChild>
    </w:div>
    <w:div w:id="343821198">
      <w:bodyDiv w:val="1"/>
      <w:marLeft w:val="0"/>
      <w:marRight w:val="0"/>
      <w:marTop w:val="0"/>
      <w:marBottom w:val="0"/>
      <w:divBdr>
        <w:top w:val="none" w:sz="0" w:space="0" w:color="auto"/>
        <w:left w:val="none" w:sz="0" w:space="0" w:color="auto"/>
        <w:bottom w:val="none" w:sz="0" w:space="0" w:color="auto"/>
        <w:right w:val="none" w:sz="0" w:space="0" w:color="auto"/>
      </w:divBdr>
    </w:div>
    <w:div w:id="348265497">
      <w:bodyDiv w:val="1"/>
      <w:marLeft w:val="0"/>
      <w:marRight w:val="0"/>
      <w:marTop w:val="0"/>
      <w:marBottom w:val="0"/>
      <w:divBdr>
        <w:top w:val="none" w:sz="0" w:space="0" w:color="auto"/>
        <w:left w:val="none" w:sz="0" w:space="0" w:color="auto"/>
        <w:bottom w:val="none" w:sz="0" w:space="0" w:color="auto"/>
        <w:right w:val="none" w:sz="0" w:space="0" w:color="auto"/>
      </w:divBdr>
    </w:div>
    <w:div w:id="352074953">
      <w:bodyDiv w:val="1"/>
      <w:marLeft w:val="0"/>
      <w:marRight w:val="0"/>
      <w:marTop w:val="0"/>
      <w:marBottom w:val="0"/>
      <w:divBdr>
        <w:top w:val="none" w:sz="0" w:space="0" w:color="auto"/>
        <w:left w:val="none" w:sz="0" w:space="0" w:color="auto"/>
        <w:bottom w:val="none" w:sz="0" w:space="0" w:color="auto"/>
        <w:right w:val="none" w:sz="0" w:space="0" w:color="auto"/>
      </w:divBdr>
    </w:div>
    <w:div w:id="355885772">
      <w:bodyDiv w:val="1"/>
      <w:marLeft w:val="0"/>
      <w:marRight w:val="0"/>
      <w:marTop w:val="0"/>
      <w:marBottom w:val="0"/>
      <w:divBdr>
        <w:top w:val="none" w:sz="0" w:space="0" w:color="auto"/>
        <w:left w:val="none" w:sz="0" w:space="0" w:color="auto"/>
        <w:bottom w:val="none" w:sz="0" w:space="0" w:color="auto"/>
        <w:right w:val="none" w:sz="0" w:space="0" w:color="auto"/>
      </w:divBdr>
    </w:div>
    <w:div w:id="358236095">
      <w:bodyDiv w:val="1"/>
      <w:marLeft w:val="0"/>
      <w:marRight w:val="0"/>
      <w:marTop w:val="0"/>
      <w:marBottom w:val="0"/>
      <w:divBdr>
        <w:top w:val="none" w:sz="0" w:space="0" w:color="auto"/>
        <w:left w:val="none" w:sz="0" w:space="0" w:color="auto"/>
        <w:bottom w:val="none" w:sz="0" w:space="0" w:color="auto"/>
        <w:right w:val="none" w:sz="0" w:space="0" w:color="auto"/>
      </w:divBdr>
    </w:div>
    <w:div w:id="364019666">
      <w:bodyDiv w:val="1"/>
      <w:marLeft w:val="0"/>
      <w:marRight w:val="0"/>
      <w:marTop w:val="0"/>
      <w:marBottom w:val="0"/>
      <w:divBdr>
        <w:top w:val="none" w:sz="0" w:space="0" w:color="auto"/>
        <w:left w:val="none" w:sz="0" w:space="0" w:color="auto"/>
        <w:bottom w:val="none" w:sz="0" w:space="0" w:color="auto"/>
        <w:right w:val="none" w:sz="0" w:space="0" w:color="auto"/>
      </w:divBdr>
    </w:div>
    <w:div w:id="365759152">
      <w:bodyDiv w:val="1"/>
      <w:marLeft w:val="0"/>
      <w:marRight w:val="0"/>
      <w:marTop w:val="0"/>
      <w:marBottom w:val="0"/>
      <w:divBdr>
        <w:top w:val="none" w:sz="0" w:space="0" w:color="auto"/>
        <w:left w:val="none" w:sz="0" w:space="0" w:color="auto"/>
        <w:bottom w:val="none" w:sz="0" w:space="0" w:color="auto"/>
        <w:right w:val="none" w:sz="0" w:space="0" w:color="auto"/>
      </w:divBdr>
    </w:div>
    <w:div w:id="387533238">
      <w:bodyDiv w:val="1"/>
      <w:marLeft w:val="0"/>
      <w:marRight w:val="0"/>
      <w:marTop w:val="0"/>
      <w:marBottom w:val="0"/>
      <w:divBdr>
        <w:top w:val="none" w:sz="0" w:space="0" w:color="auto"/>
        <w:left w:val="none" w:sz="0" w:space="0" w:color="auto"/>
        <w:bottom w:val="none" w:sz="0" w:space="0" w:color="auto"/>
        <w:right w:val="none" w:sz="0" w:space="0" w:color="auto"/>
      </w:divBdr>
    </w:div>
    <w:div w:id="395932289">
      <w:bodyDiv w:val="1"/>
      <w:marLeft w:val="0"/>
      <w:marRight w:val="0"/>
      <w:marTop w:val="0"/>
      <w:marBottom w:val="0"/>
      <w:divBdr>
        <w:top w:val="none" w:sz="0" w:space="0" w:color="auto"/>
        <w:left w:val="none" w:sz="0" w:space="0" w:color="auto"/>
        <w:bottom w:val="none" w:sz="0" w:space="0" w:color="auto"/>
        <w:right w:val="none" w:sz="0" w:space="0" w:color="auto"/>
      </w:divBdr>
    </w:div>
    <w:div w:id="396755628">
      <w:bodyDiv w:val="1"/>
      <w:marLeft w:val="0"/>
      <w:marRight w:val="0"/>
      <w:marTop w:val="0"/>
      <w:marBottom w:val="0"/>
      <w:divBdr>
        <w:top w:val="none" w:sz="0" w:space="0" w:color="auto"/>
        <w:left w:val="none" w:sz="0" w:space="0" w:color="auto"/>
        <w:bottom w:val="none" w:sz="0" w:space="0" w:color="auto"/>
        <w:right w:val="none" w:sz="0" w:space="0" w:color="auto"/>
      </w:divBdr>
    </w:div>
    <w:div w:id="399058690">
      <w:bodyDiv w:val="1"/>
      <w:marLeft w:val="0"/>
      <w:marRight w:val="0"/>
      <w:marTop w:val="0"/>
      <w:marBottom w:val="0"/>
      <w:divBdr>
        <w:top w:val="none" w:sz="0" w:space="0" w:color="auto"/>
        <w:left w:val="none" w:sz="0" w:space="0" w:color="auto"/>
        <w:bottom w:val="none" w:sz="0" w:space="0" w:color="auto"/>
        <w:right w:val="none" w:sz="0" w:space="0" w:color="auto"/>
      </w:divBdr>
    </w:div>
    <w:div w:id="414135284">
      <w:bodyDiv w:val="1"/>
      <w:marLeft w:val="0"/>
      <w:marRight w:val="0"/>
      <w:marTop w:val="0"/>
      <w:marBottom w:val="0"/>
      <w:divBdr>
        <w:top w:val="none" w:sz="0" w:space="0" w:color="auto"/>
        <w:left w:val="none" w:sz="0" w:space="0" w:color="auto"/>
        <w:bottom w:val="none" w:sz="0" w:space="0" w:color="auto"/>
        <w:right w:val="none" w:sz="0" w:space="0" w:color="auto"/>
      </w:divBdr>
    </w:div>
    <w:div w:id="416251172">
      <w:bodyDiv w:val="1"/>
      <w:marLeft w:val="0"/>
      <w:marRight w:val="0"/>
      <w:marTop w:val="0"/>
      <w:marBottom w:val="0"/>
      <w:divBdr>
        <w:top w:val="none" w:sz="0" w:space="0" w:color="auto"/>
        <w:left w:val="none" w:sz="0" w:space="0" w:color="auto"/>
        <w:bottom w:val="none" w:sz="0" w:space="0" w:color="auto"/>
        <w:right w:val="none" w:sz="0" w:space="0" w:color="auto"/>
      </w:divBdr>
    </w:div>
    <w:div w:id="419521830">
      <w:bodyDiv w:val="1"/>
      <w:marLeft w:val="0"/>
      <w:marRight w:val="0"/>
      <w:marTop w:val="0"/>
      <w:marBottom w:val="0"/>
      <w:divBdr>
        <w:top w:val="none" w:sz="0" w:space="0" w:color="auto"/>
        <w:left w:val="none" w:sz="0" w:space="0" w:color="auto"/>
        <w:bottom w:val="none" w:sz="0" w:space="0" w:color="auto"/>
        <w:right w:val="none" w:sz="0" w:space="0" w:color="auto"/>
      </w:divBdr>
    </w:div>
    <w:div w:id="422722888">
      <w:bodyDiv w:val="1"/>
      <w:marLeft w:val="0"/>
      <w:marRight w:val="0"/>
      <w:marTop w:val="0"/>
      <w:marBottom w:val="0"/>
      <w:divBdr>
        <w:top w:val="none" w:sz="0" w:space="0" w:color="auto"/>
        <w:left w:val="none" w:sz="0" w:space="0" w:color="auto"/>
        <w:bottom w:val="none" w:sz="0" w:space="0" w:color="auto"/>
        <w:right w:val="none" w:sz="0" w:space="0" w:color="auto"/>
      </w:divBdr>
    </w:div>
    <w:div w:id="431123842">
      <w:bodyDiv w:val="1"/>
      <w:marLeft w:val="0"/>
      <w:marRight w:val="0"/>
      <w:marTop w:val="0"/>
      <w:marBottom w:val="0"/>
      <w:divBdr>
        <w:top w:val="none" w:sz="0" w:space="0" w:color="auto"/>
        <w:left w:val="none" w:sz="0" w:space="0" w:color="auto"/>
        <w:bottom w:val="none" w:sz="0" w:space="0" w:color="auto"/>
        <w:right w:val="none" w:sz="0" w:space="0" w:color="auto"/>
      </w:divBdr>
    </w:div>
    <w:div w:id="434717455">
      <w:bodyDiv w:val="1"/>
      <w:marLeft w:val="0"/>
      <w:marRight w:val="0"/>
      <w:marTop w:val="0"/>
      <w:marBottom w:val="0"/>
      <w:divBdr>
        <w:top w:val="none" w:sz="0" w:space="0" w:color="auto"/>
        <w:left w:val="none" w:sz="0" w:space="0" w:color="auto"/>
        <w:bottom w:val="none" w:sz="0" w:space="0" w:color="auto"/>
        <w:right w:val="none" w:sz="0" w:space="0" w:color="auto"/>
      </w:divBdr>
    </w:div>
    <w:div w:id="439296302">
      <w:bodyDiv w:val="1"/>
      <w:marLeft w:val="0"/>
      <w:marRight w:val="0"/>
      <w:marTop w:val="0"/>
      <w:marBottom w:val="0"/>
      <w:divBdr>
        <w:top w:val="none" w:sz="0" w:space="0" w:color="auto"/>
        <w:left w:val="none" w:sz="0" w:space="0" w:color="auto"/>
        <w:bottom w:val="none" w:sz="0" w:space="0" w:color="auto"/>
        <w:right w:val="none" w:sz="0" w:space="0" w:color="auto"/>
      </w:divBdr>
    </w:div>
    <w:div w:id="454374459">
      <w:bodyDiv w:val="1"/>
      <w:marLeft w:val="0"/>
      <w:marRight w:val="0"/>
      <w:marTop w:val="0"/>
      <w:marBottom w:val="0"/>
      <w:divBdr>
        <w:top w:val="none" w:sz="0" w:space="0" w:color="auto"/>
        <w:left w:val="none" w:sz="0" w:space="0" w:color="auto"/>
        <w:bottom w:val="none" w:sz="0" w:space="0" w:color="auto"/>
        <w:right w:val="none" w:sz="0" w:space="0" w:color="auto"/>
      </w:divBdr>
    </w:div>
    <w:div w:id="463037970">
      <w:bodyDiv w:val="1"/>
      <w:marLeft w:val="0"/>
      <w:marRight w:val="0"/>
      <w:marTop w:val="0"/>
      <w:marBottom w:val="0"/>
      <w:divBdr>
        <w:top w:val="none" w:sz="0" w:space="0" w:color="auto"/>
        <w:left w:val="none" w:sz="0" w:space="0" w:color="auto"/>
        <w:bottom w:val="none" w:sz="0" w:space="0" w:color="auto"/>
        <w:right w:val="none" w:sz="0" w:space="0" w:color="auto"/>
      </w:divBdr>
    </w:div>
    <w:div w:id="463934180">
      <w:bodyDiv w:val="1"/>
      <w:marLeft w:val="0"/>
      <w:marRight w:val="0"/>
      <w:marTop w:val="0"/>
      <w:marBottom w:val="0"/>
      <w:divBdr>
        <w:top w:val="none" w:sz="0" w:space="0" w:color="auto"/>
        <w:left w:val="none" w:sz="0" w:space="0" w:color="auto"/>
        <w:bottom w:val="none" w:sz="0" w:space="0" w:color="auto"/>
        <w:right w:val="none" w:sz="0" w:space="0" w:color="auto"/>
      </w:divBdr>
    </w:div>
    <w:div w:id="466749899">
      <w:bodyDiv w:val="1"/>
      <w:marLeft w:val="0"/>
      <w:marRight w:val="0"/>
      <w:marTop w:val="0"/>
      <w:marBottom w:val="0"/>
      <w:divBdr>
        <w:top w:val="none" w:sz="0" w:space="0" w:color="auto"/>
        <w:left w:val="none" w:sz="0" w:space="0" w:color="auto"/>
        <w:bottom w:val="none" w:sz="0" w:space="0" w:color="auto"/>
        <w:right w:val="none" w:sz="0" w:space="0" w:color="auto"/>
      </w:divBdr>
    </w:div>
    <w:div w:id="469906195">
      <w:bodyDiv w:val="1"/>
      <w:marLeft w:val="0"/>
      <w:marRight w:val="0"/>
      <w:marTop w:val="0"/>
      <w:marBottom w:val="0"/>
      <w:divBdr>
        <w:top w:val="none" w:sz="0" w:space="0" w:color="auto"/>
        <w:left w:val="none" w:sz="0" w:space="0" w:color="auto"/>
        <w:bottom w:val="none" w:sz="0" w:space="0" w:color="auto"/>
        <w:right w:val="none" w:sz="0" w:space="0" w:color="auto"/>
      </w:divBdr>
    </w:div>
    <w:div w:id="477771669">
      <w:bodyDiv w:val="1"/>
      <w:marLeft w:val="0"/>
      <w:marRight w:val="0"/>
      <w:marTop w:val="0"/>
      <w:marBottom w:val="0"/>
      <w:divBdr>
        <w:top w:val="none" w:sz="0" w:space="0" w:color="auto"/>
        <w:left w:val="none" w:sz="0" w:space="0" w:color="auto"/>
        <w:bottom w:val="none" w:sz="0" w:space="0" w:color="auto"/>
        <w:right w:val="none" w:sz="0" w:space="0" w:color="auto"/>
      </w:divBdr>
    </w:div>
    <w:div w:id="488907804">
      <w:bodyDiv w:val="1"/>
      <w:marLeft w:val="0"/>
      <w:marRight w:val="0"/>
      <w:marTop w:val="0"/>
      <w:marBottom w:val="0"/>
      <w:divBdr>
        <w:top w:val="none" w:sz="0" w:space="0" w:color="auto"/>
        <w:left w:val="none" w:sz="0" w:space="0" w:color="auto"/>
        <w:bottom w:val="none" w:sz="0" w:space="0" w:color="auto"/>
        <w:right w:val="none" w:sz="0" w:space="0" w:color="auto"/>
      </w:divBdr>
      <w:divsChild>
        <w:div w:id="1844858639">
          <w:marLeft w:val="0"/>
          <w:marRight w:val="0"/>
          <w:marTop w:val="0"/>
          <w:marBottom w:val="0"/>
          <w:divBdr>
            <w:top w:val="none" w:sz="0" w:space="0" w:color="auto"/>
            <w:left w:val="none" w:sz="0" w:space="0" w:color="auto"/>
            <w:bottom w:val="none" w:sz="0" w:space="0" w:color="auto"/>
            <w:right w:val="none" w:sz="0" w:space="0" w:color="auto"/>
          </w:divBdr>
          <w:divsChild>
            <w:div w:id="255947783">
              <w:marLeft w:val="0"/>
              <w:marRight w:val="0"/>
              <w:marTop w:val="0"/>
              <w:marBottom w:val="0"/>
              <w:divBdr>
                <w:top w:val="none" w:sz="0" w:space="0" w:color="auto"/>
                <w:left w:val="none" w:sz="0" w:space="0" w:color="auto"/>
                <w:bottom w:val="none" w:sz="0" w:space="0" w:color="auto"/>
                <w:right w:val="none" w:sz="0" w:space="0" w:color="auto"/>
              </w:divBdr>
              <w:divsChild>
                <w:div w:id="5992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9030">
      <w:bodyDiv w:val="1"/>
      <w:marLeft w:val="0"/>
      <w:marRight w:val="0"/>
      <w:marTop w:val="0"/>
      <w:marBottom w:val="0"/>
      <w:divBdr>
        <w:top w:val="none" w:sz="0" w:space="0" w:color="auto"/>
        <w:left w:val="none" w:sz="0" w:space="0" w:color="auto"/>
        <w:bottom w:val="none" w:sz="0" w:space="0" w:color="auto"/>
        <w:right w:val="none" w:sz="0" w:space="0" w:color="auto"/>
      </w:divBdr>
    </w:div>
    <w:div w:id="497578429">
      <w:bodyDiv w:val="1"/>
      <w:marLeft w:val="0"/>
      <w:marRight w:val="0"/>
      <w:marTop w:val="0"/>
      <w:marBottom w:val="0"/>
      <w:divBdr>
        <w:top w:val="none" w:sz="0" w:space="0" w:color="auto"/>
        <w:left w:val="none" w:sz="0" w:space="0" w:color="auto"/>
        <w:bottom w:val="none" w:sz="0" w:space="0" w:color="auto"/>
        <w:right w:val="none" w:sz="0" w:space="0" w:color="auto"/>
      </w:divBdr>
    </w:div>
    <w:div w:id="500201305">
      <w:bodyDiv w:val="1"/>
      <w:marLeft w:val="0"/>
      <w:marRight w:val="0"/>
      <w:marTop w:val="0"/>
      <w:marBottom w:val="0"/>
      <w:divBdr>
        <w:top w:val="none" w:sz="0" w:space="0" w:color="auto"/>
        <w:left w:val="none" w:sz="0" w:space="0" w:color="auto"/>
        <w:bottom w:val="none" w:sz="0" w:space="0" w:color="auto"/>
        <w:right w:val="none" w:sz="0" w:space="0" w:color="auto"/>
      </w:divBdr>
    </w:div>
    <w:div w:id="501897828">
      <w:bodyDiv w:val="1"/>
      <w:marLeft w:val="0"/>
      <w:marRight w:val="0"/>
      <w:marTop w:val="0"/>
      <w:marBottom w:val="0"/>
      <w:divBdr>
        <w:top w:val="none" w:sz="0" w:space="0" w:color="auto"/>
        <w:left w:val="none" w:sz="0" w:space="0" w:color="auto"/>
        <w:bottom w:val="none" w:sz="0" w:space="0" w:color="auto"/>
        <w:right w:val="none" w:sz="0" w:space="0" w:color="auto"/>
      </w:divBdr>
    </w:div>
    <w:div w:id="502663969">
      <w:bodyDiv w:val="1"/>
      <w:marLeft w:val="0"/>
      <w:marRight w:val="0"/>
      <w:marTop w:val="0"/>
      <w:marBottom w:val="0"/>
      <w:divBdr>
        <w:top w:val="none" w:sz="0" w:space="0" w:color="auto"/>
        <w:left w:val="none" w:sz="0" w:space="0" w:color="auto"/>
        <w:bottom w:val="none" w:sz="0" w:space="0" w:color="auto"/>
        <w:right w:val="none" w:sz="0" w:space="0" w:color="auto"/>
      </w:divBdr>
    </w:div>
    <w:div w:id="503856394">
      <w:bodyDiv w:val="1"/>
      <w:marLeft w:val="0"/>
      <w:marRight w:val="0"/>
      <w:marTop w:val="0"/>
      <w:marBottom w:val="0"/>
      <w:divBdr>
        <w:top w:val="none" w:sz="0" w:space="0" w:color="auto"/>
        <w:left w:val="none" w:sz="0" w:space="0" w:color="auto"/>
        <w:bottom w:val="none" w:sz="0" w:space="0" w:color="auto"/>
        <w:right w:val="none" w:sz="0" w:space="0" w:color="auto"/>
      </w:divBdr>
    </w:div>
    <w:div w:id="506288486">
      <w:bodyDiv w:val="1"/>
      <w:marLeft w:val="0"/>
      <w:marRight w:val="0"/>
      <w:marTop w:val="0"/>
      <w:marBottom w:val="0"/>
      <w:divBdr>
        <w:top w:val="none" w:sz="0" w:space="0" w:color="auto"/>
        <w:left w:val="none" w:sz="0" w:space="0" w:color="auto"/>
        <w:bottom w:val="none" w:sz="0" w:space="0" w:color="auto"/>
        <w:right w:val="none" w:sz="0" w:space="0" w:color="auto"/>
      </w:divBdr>
    </w:div>
    <w:div w:id="506483086">
      <w:bodyDiv w:val="1"/>
      <w:marLeft w:val="0"/>
      <w:marRight w:val="0"/>
      <w:marTop w:val="0"/>
      <w:marBottom w:val="0"/>
      <w:divBdr>
        <w:top w:val="none" w:sz="0" w:space="0" w:color="auto"/>
        <w:left w:val="none" w:sz="0" w:space="0" w:color="auto"/>
        <w:bottom w:val="none" w:sz="0" w:space="0" w:color="auto"/>
        <w:right w:val="none" w:sz="0" w:space="0" w:color="auto"/>
      </w:divBdr>
    </w:div>
    <w:div w:id="517161575">
      <w:bodyDiv w:val="1"/>
      <w:marLeft w:val="0"/>
      <w:marRight w:val="0"/>
      <w:marTop w:val="0"/>
      <w:marBottom w:val="0"/>
      <w:divBdr>
        <w:top w:val="none" w:sz="0" w:space="0" w:color="auto"/>
        <w:left w:val="none" w:sz="0" w:space="0" w:color="auto"/>
        <w:bottom w:val="none" w:sz="0" w:space="0" w:color="auto"/>
        <w:right w:val="none" w:sz="0" w:space="0" w:color="auto"/>
      </w:divBdr>
    </w:div>
    <w:div w:id="520238419">
      <w:bodyDiv w:val="1"/>
      <w:marLeft w:val="0"/>
      <w:marRight w:val="0"/>
      <w:marTop w:val="0"/>
      <w:marBottom w:val="0"/>
      <w:divBdr>
        <w:top w:val="none" w:sz="0" w:space="0" w:color="auto"/>
        <w:left w:val="none" w:sz="0" w:space="0" w:color="auto"/>
        <w:bottom w:val="none" w:sz="0" w:space="0" w:color="auto"/>
        <w:right w:val="none" w:sz="0" w:space="0" w:color="auto"/>
      </w:divBdr>
    </w:div>
    <w:div w:id="523397909">
      <w:bodyDiv w:val="1"/>
      <w:marLeft w:val="0"/>
      <w:marRight w:val="0"/>
      <w:marTop w:val="0"/>
      <w:marBottom w:val="0"/>
      <w:divBdr>
        <w:top w:val="none" w:sz="0" w:space="0" w:color="auto"/>
        <w:left w:val="none" w:sz="0" w:space="0" w:color="auto"/>
        <w:bottom w:val="none" w:sz="0" w:space="0" w:color="auto"/>
        <w:right w:val="none" w:sz="0" w:space="0" w:color="auto"/>
      </w:divBdr>
    </w:div>
    <w:div w:id="523982540">
      <w:bodyDiv w:val="1"/>
      <w:marLeft w:val="0"/>
      <w:marRight w:val="0"/>
      <w:marTop w:val="0"/>
      <w:marBottom w:val="0"/>
      <w:divBdr>
        <w:top w:val="none" w:sz="0" w:space="0" w:color="auto"/>
        <w:left w:val="none" w:sz="0" w:space="0" w:color="auto"/>
        <w:bottom w:val="none" w:sz="0" w:space="0" w:color="auto"/>
        <w:right w:val="none" w:sz="0" w:space="0" w:color="auto"/>
      </w:divBdr>
    </w:div>
    <w:div w:id="529075637">
      <w:bodyDiv w:val="1"/>
      <w:marLeft w:val="0"/>
      <w:marRight w:val="0"/>
      <w:marTop w:val="0"/>
      <w:marBottom w:val="0"/>
      <w:divBdr>
        <w:top w:val="none" w:sz="0" w:space="0" w:color="auto"/>
        <w:left w:val="none" w:sz="0" w:space="0" w:color="auto"/>
        <w:bottom w:val="none" w:sz="0" w:space="0" w:color="auto"/>
        <w:right w:val="none" w:sz="0" w:space="0" w:color="auto"/>
      </w:divBdr>
    </w:div>
    <w:div w:id="534268641">
      <w:bodyDiv w:val="1"/>
      <w:marLeft w:val="0"/>
      <w:marRight w:val="0"/>
      <w:marTop w:val="0"/>
      <w:marBottom w:val="0"/>
      <w:divBdr>
        <w:top w:val="none" w:sz="0" w:space="0" w:color="auto"/>
        <w:left w:val="none" w:sz="0" w:space="0" w:color="auto"/>
        <w:bottom w:val="none" w:sz="0" w:space="0" w:color="auto"/>
        <w:right w:val="none" w:sz="0" w:space="0" w:color="auto"/>
      </w:divBdr>
    </w:div>
    <w:div w:id="539974655">
      <w:bodyDiv w:val="1"/>
      <w:marLeft w:val="0"/>
      <w:marRight w:val="0"/>
      <w:marTop w:val="0"/>
      <w:marBottom w:val="0"/>
      <w:divBdr>
        <w:top w:val="none" w:sz="0" w:space="0" w:color="auto"/>
        <w:left w:val="none" w:sz="0" w:space="0" w:color="auto"/>
        <w:bottom w:val="none" w:sz="0" w:space="0" w:color="auto"/>
        <w:right w:val="none" w:sz="0" w:space="0" w:color="auto"/>
      </w:divBdr>
    </w:div>
    <w:div w:id="541598539">
      <w:bodyDiv w:val="1"/>
      <w:marLeft w:val="0"/>
      <w:marRight w:val="0"/>
      <w:marTop w:val="0"/>
      <w:marBottom w:val="0"/>
      <w:divBdr>
        <w:top w:val="none" w:sz="0" w:space="0" w:color="auto"/>
        <w:left w:val="none" w:sz="0" w:space="0" w:color="auto"/>
        <w:bottom w:val="none" w:sz="0" w:space="0" w:color="auto"/>
        <w:right w:val="none" w:sz="0" w:space="0" w:color="auto"/>
      </w:divBdr>
    </w:div>
    <w:div w:id="545678990">
      <w:bodyDiv w:val="1"/>
      <w:marLeft w:val="0"/>
      <w:marRight w:val="0"/>
      <w:marTop w:val="0"/>
      <w:marBottom w:val="0"/>
      <w:divBdr>
        <w:top w:val="none" w:sz="0" w:space="0" w:color="auto"/>
        <w:left w:val="none" w:sz="0" w:space="0" w:color="auto"/>
        <w:bottom w:val="none" w:sz="0" w:space="0" w:color="auto"/>
        <w:right w:val="none" w:sz="0" w:space="0" w:color="auto"/>
      </w:divBdr>
    </w:div>
    <w:div w:id="559562533">
      <w:bodyDiv w:val="1"/>
      <w:marLeft w:val="0"/>
      <w:marRight w:val="0"/>
      <w:marTop w:val="0"/>
      <w:marBottom w:val="0"/>
      <w:divBdr>
        <w:top w:val="none" w:sz="0" w:space="0" w:color="auto"/>
        <w:left w:val="none" w:sz="0" w:space="0" w:color="auto"/>
        <w:bottom w:val="none" w:sz="0" w:space="0" w:color="auto"/>
        <w:right w:val="none" w:sz="0" w:space="0" w:color="auto"/>
      </w:divBdr>
    </w:div>
    <w:div w:id="567032676">
      <w:bodyDiv w:val="1"/>
      <w:marLeft w:val="0"/>
      <w:marRight w:val="0"/>
      <w:marTop w:val="0"/>
      <w:marBottom w:val="0"/>
      <w:divBdr>
        <w:top w:val="none" w:sz="0" w:space="0" w:color="auto"/>
        <w:left w:val="none" w:sz="0" w:space="0" w:color="auto"/>
        <w:bottom w:val="none" w:sz="0" w:space="0" w:color="auto"/>
        <w:right w:val="none" w:sz="0" w:space="0" w:color="auto"/>
      </w:divBdr>
    </w:div>
    <w:div w:id="585919070">
      <w:bodyDiv w:val="1"/>
      <w:marLeft w:val="0"/>
      <w:marRight w:val="0"/>
      <w:marTop w:val="0"/>
      <w:marBottom w:val="0"/>
      <w:divBdr>
        <w:top w:val="none" w:sz="0" w:space="0" w:color="auto"/>
        <w:left w:val="none" w:sz="0" w:space="0" w:color="auto"/>
        <w:bottom w:val="none" w:sz="0" w:space="0" w:color="auto"/>
        <w:right w:val="none" w:sz="0" w:space="0" w:color="auto"/>
      </w:divBdr>
    </w:div>
    <w:div w:id="594752831">
      <w:bodyDiv w:val="1"/>
      <w:marLeft w:val="0"/>
      <w:marRight w:val="0"/>
      <w:marTop w:val="0"/>
      <w:marBottom w:val="0"/>
      <w:divBdr>
        <w:top w:val="none" w:sz="0" w:space="0" w:color="auto"/>
        <w:left w:val="none" w:sz="0" w:space="0" w:color="auto"/>
        <w:bottom w:val="none" w:sz="0" w:space="0" w:color="auto"/>
        <w:right w:val="none" w:sz="0" w:space="0" w:color="auto"/>
      </w:divBdr>
    </w:div>
    <w:div w:id="595019573">
      <w:bodyDiv w:val="1"/>
      <w:marLeft w:val="0"/>
      <w:marRight w:val="0"/>
      <w:marTop w:val="0"/>
      <w:marBottom w:val="0"/>
      <w:divBdr>
        <w:top w:val="none" w:sz="0" w:space="0" w:color="auto"/>
        <w:left w:val="none" w:sz="0" w:space="0" w:color="auto"/>
        <w:bottom w:val="none" w:sz="0" w:space="0" w:color="auto"/>
        <w:right w:val="none" w:sz="0" w:space="0" w:color="auto"/>
      </w:divBdr>
    </w:div>
    <w:div w:id="596794532">
      <w:bodyDiv w:val="1"/>
      <w:marLeft w:val="0"/>
      <w:marRight w:val="0"/>
      <w:marTop w:val="0"/>
      <w:marBottom w:val="0"/>
      <w:divBdr>
        <w:top w:val="none" w:sz="0" w:space="0" w:color="auto"/>
        <w:left w:val="none" w:sz="0" w:space="0" w:color="auto"/>
        <w:bottom w:val="none" w:sz="0" w:space="0" w:color="auto"/>
        <w:right w:val="none" w:sz="0" w:space="0" w:color="auto"/>
      </w:divBdr>
    </w:div>
    <w:div w:id="598561276">
      <w:bodyDiv w:val="1"/>
      <w:marLeft w:val="0"/>
      <w:marRight w:val="0"/>
      <w:marTop w:val="0"/>
      <w:marBottom w:val="0"/>
      <w:divBdr>
        <w:top w:val="none" w:sz="0" w:space="0" w:color="auto"/>
        <w:left w:val="none" w:sz="0" w:space="0" w:color="auto"/>
        <w:bottom w:val="none" w:sz="0" w:space="0" w:color="auto"/>
        <w:right w:val="none" w:sz="0" w:space="0" w:color="auto"/>
      </w:divBdr>
    </w:div>
    <w:div w:id="606230765">
      <w:bodyDiv w:val="1"/>
      <w:marLeft w:val="0"/>
      <w:marRight w:val="0"/>
      <w:marTop w:val="0"/>
      <w:marBottom w:val="0"/>
      <w:divBdr>
        <w:top w:val="none" w:sz="0" w:space="0" w:color="auto"/>
        <w:left w:val="none" w:sz="0" w:space="0" w:color="auto"/>
        <w:bottom w:val="none" w:sz="0" w:space="0" w:color="auto"/>
        <w:right w:val="none" w:sz="0" w:space="0" w:color="auto"/>
      </w:divBdr>
    </w:div>
    <w:div w:id="611087191">
      <w:bodyDiv w:val="1"/>
      <w:marLeft w:val="0"/>
      <w:marRight w:val="0"/>
      <w:marTop w:val="0"/>
      <w:marBottom w:val="0"/>
      <w:divBdr>
        <w:top w:val="none" w:sz="0" w:space="0" w:color="auto"/>
        <w:left w:val="none" w:sz="0" w:space="0" w:color="auto"/>
        <w:bottom w:val="none" w:sz="0" w:space="0" w:color="auto"/>
        <w:right w:val="none" w:sz="0" w:space="0" w:color="auto"/>
      </w:divBdr>
    </w:div>
    <w:div w:id="612903729">
      <w:bodyDiv w:val="1"/>
      <w:marLeft w:val="0"/>
      <w:marRight w:val="0"/>
      <w:marTop w:val="0"/>
      <w:marBottom w:val="0"/>
      <w:divBdr>
        <w:top w:val="none" w:sz="0" w:space="0" w:color="auto"/>
        <w:left w:val="none" w:sz="0" w:space="0" w:color="auto"/>
        <w:bottom w:val="none" w:sz="0" w:space="0" w:color="auto"/>
        <w:right w:val="none" w:sz="0" w:space="0" w:color="auto"/>
      </w:divBdr>
    </w:div>
    <w:div w:id="614673462">
      <w:bodyDiv w:val="1"/>
      <w:marLeft w:val="0"/>
      <w:marRight w:val="0"/>
      <w:marTop w:val="0"/>
      <w:marBottom w:val="0"/>
      <w:divBdr>
        <w:top w:val="none" w:sz="0" w:space="0" w:color="auto"/>
        <w:left w:val="none" w:sz="0" w:space="0" w:color="auto"/>
        <w:bottom w:val="none" w:sz="0" w:space="0" w:color="auto"/>
        <w:right w:val="none" w:sz="0" w:space="0" w:color="auto"/>
      </w:divBdr>
    </w:div>
    <w:div w:id="617879272">
      <w:bodyDiv w:val="1"/>
      <w:marLeft w:val="0"/>
      <w:marRight w:val="0"/>
      <w:marTop w:val="0"/>
      <w:marBottom w:val="0"/>
      <w:divBdr>
        <w:top w:val="none" w:sz="0" w:space="0" w:color="auto"/>
        <w:left w:val="none" w:sz="0" w:space="0" w:color="auto"/>
        <w:bottom w:val="none" w:sz="0" w:space="0" w:color="auto"/>
        <w:right w:val="none" w:sz="0" w:space="0" w:color="auto"/>
      </w:divBdr>
    </w:div>
    <w:div w:id="619997263">
      <w:bodyDiv w:val="1"/>
      <w:marLeft w:val="0"/>
      <w:marRight w:val="0"/>
      <w:marTop w:val="0"/>
      <w:marBottom w:val="0"/>
      <w:divBdr>
        <w:top w:val="none" w:sz="0" w:space="0" w:color="auto"/>
        <w:left w:val="none" w:sz="0" w:space="0" w:color="auto"/>
        <w:bottom w:val="none" w:sz="0" w:space="0" w:color="auto"/>
        <w:right w:val="none" w:sz="0" w:space="0" w:color="auto"/>
      </w:divBdr>
    </w:div>
    <w:div w:id="620695931">
      <w:bodyDiv w:val="1"/>
      <w:marLeft w:val="0"/>
      <w:marRight w:val="0"/>
      <w:marTop w:val="0"/>
      <w:marBottom w:val="0"/>
      <w:divBdr>
        <w:top w:val="none" w:sz="0" w:space="0" w:color="auto"/>
        <w:left w:val="none" w:sz="0" w:space="0" w:color="auto"/>
        <w:bottom w:val="none" w:sz="0" w:space="0" w:color="auto"/>
        <w:right w:val="none" w:sz="0" w:space="0" w:color="auto"/>
      </w:divBdr>
    </w:div>
    <w:div w:id="621496324">
      <w:bodyDiv w:val="1"/>
      <w:marLeft w:val="0"/>
      <w:marRight w:val="0"/>
      <w:marTop w:val="0"/>
      <w:marBottom w:val="0"/>
      <w:divBdr>
        <w:top w:val="none" w:sz="0" w:space="0" w:color="auto"/>
        <w:left w:val="none" w:sz="0" w:space="0" w:color="auto"/>
        <w:bottom w:val="none" w:sz="0" w:space="0" w:color="auto"/>
        <w:right w:val="none" w:sz="0" w:space="0" w:color="auto"/>
      </w:divBdr>
    </w:div>
    <w:div w:id="629559892">
      <w:bodyDiv w:val="1"/>
      <w:marLeft w:val="0"/>
      <w:marRight w:val="0"/>
      <w:marTop w:val="0"/>
      <w:marBottom w:val="0"/>
      <w:divBdr>
        <w:top w:val="none" w:sz="0" w:space="0" w:color="auto"/>
        <w:left w:val="none" w:sz="0" w:space="0" w:color="auto"/>
        <w:bottom w:val="none" w:sz="0" w:space="0" w:color="auto"/>
        <w:right w:val="none" w:sz="0" w:space="0" w:color="auto"/>
      </w:divBdr>
    </w:div>
    <w:div w:id="630669540">
      <w:bodyDiv w:val="1"/>
      <w:marLeft w:val="0"/>
      <w:marRight w:val="0"/>
      <w:marTop w:val="0"/>
      <w:marBottom w:val="0"/>
      <w:divBdr>
        <w:top w:val="none" w:sz="0" w:space="0" w:color="auto"/>
        <w:left w:val="none" w:sz="0" w:space="0" w:color="auto"/>
        <w:bottom w:val="none" w:sz="0" w:space="0" w:color="auto"/>
        <w:right w:val="none" w:sz="0" w:space="0" w:color="auto"/>
      </w:divBdr>
    </w:div>
    <w:div w:id="635910272">
      <w:bodyDiv w:val="1"/>
      <w:marLeft w:val="0"/>
      <w:marRight w:val="0"/>
      <w:marTop w:val="0"/>
      <w:marBottom w:val="0"/>
      <w:divBdr>
        <w:top w:val="none" w:sz="0" w:space="0" w:color="auto"/>
        <w:left w:val="none" w:sz="0" w:space="0" w:color="auto"/>
        <w:bottom w:val="none" w:sz="0" w:space="0" w:color="auto"/>
        <w:right w:val="none" w:sz="0" w:space="0" w:color="auto"/>
      </w:divBdr>
    </w:div>
    <w:div w:id="637683333">
      <w:bodyDiv w:val="1"/>
      <w:marLeft w:val="0"/>
      <w:marRight w:val="0"/>
      <w:marTop w:val="0"/>
      <w:marBottom w:val="0"/>
      <w:divBdr>
        <w:top w:val="none" w:sz="0" w:space="0" w:color="auto"/>
        <w:left w:val="none" w:sz="0" w:space="0" w:color="auto"/>
        <w:bottom w:val="none" w:sz="0" w:space="0" w:color="auto"/>
        <w:right w:val="none" w:sz="0" w:space="0" w:color="auto"/>
      </w:divBdr>
    </w:div>
    <w:div w:id="644820020">
      <w:bodyDiv w:val="1"/>
      <w:marLeft w:val="0"/>
      <w:marRight w:val="0"/>
      <w:marTop w:val="0"/>
      <w:marBottom w:val="0"/>
      <w:divBdr>
        <w:top w:val="none" w:sz="0" w:space="0" w:color="auto"/>
        <w:left w:val="none" w:sz="0" w:space="0" w:color="auto"/>
        <w:bottom w:val="none" w:sz="0" w:space="0" w:color="auto"/>
        <w:right w:val="none" w:sz="0" w:space="0" w:color="auto"/>
      </w:divBdr>
    </w:div>
    <w:div w:id="646784505">
      <w:bodyDiv w:val="1"/>
      <w:marLeft w:val="0"/>
      <w:marRight w:val="0"/>
      <w:marTop w:val="0"/>
      <w:marBottom w:val="0"/>
      <w:divBdr>
        <w:top w:val="none" w:sz="0" w:space="0" w:color="auto"/>
        <w:left w:val="none" w:sz="0" w:space="0" w:color="auto"/>
        <w:bottom w:val="none" w:sz="0" w:space="0" w:color="auto"/>
        <w:right w:val="none" w:sz="0" w:space="0" w:color="auto"/>
      </w:divBdr>
    </w:div>
    <w:div w:id="646974377">
      <w:bodyDiv w:val="1"/>
      <w:marLeft w:val="0"/>
      <w:marRight w:val="0"/>
      <w:marTop w:val="0"/>
      <w:marBottom w:val="0"/>
      <w:divBdr>
        <w:top w:val="none" w:sz="0" w:space="0" w:color="auto"/>
        <w:left w:val="none" w:sz="0" w:space="0" w:color="auto"/>
        <w:bottom w:val="none" w:sz="0" w:space="0" w:color="auto"/>
        <w:right w:val="none" w:sz="0" w:space="0" w:color="auto"/>
      </w:divBdr>
    </w:div>
    <w:div w:id="647440283">
      <w:bodyDiv w:val="1"/>
      <w:marLeft w:val="0"/>
      <w:marRight w:val="0"/>
      <w:marTop w:val="0"/>
      <w:marBottom w:val="0"/>
      <w:divBdr>
        <w:top w:val="none" w:sz="0" w:space="0" w:color="auto"/>
        <w:left w:val="none" w:sz="0" w:space="0" w:color="auto"/>
        <w:bottom w:val="none" w:sz="0" w:space="0" w:color="auto"/>
        <w:right w:val="none" w:sz="0" w:space="0" w:color="auto"/>
      </w:divBdr>
    </w:div>
    <w:div w:id="650251293">
      <w:bodyDiv w:val="1"/>
      <w:marLeft w:val="0"/>
      <w:marRight w:val="0"/>
      <w:marTop w:val="0"/>
      <w:marBottom w:val="0"/>
      <w:divBdr>
        <w:top w:val="none" w:sz="0" w:space="0" w:color="auto"/>
        <w:left w:val="none" w:sz="0" w:space="0" w:color="auto"/>
        <w:bottom w:val="none" w:sz="0" w:space="0" w:color="auto"/>
        <w:right w:val="none" w:sz="0" w:space="0" w:color="auto"/>
      </w:divBdr>
    </w:div>
    <w:div w:id="656303389">
      <w:bodyDiv w:val="1"/>
      <w:marLeft w:val="0"/>
      <w:marRight w:val="0"/>
      <w:marTop w:val="0"/>
      <w:marBottom w:val="0"/>
      <w:divBdr>
        <w:top w:val="none" w:sz="0" w:space="0" w:color="auto"/>
        <w:left w:val="none" w:sz="0" w:space="0" w:color="auto"/>
        <w:bottom w:val="none" w:sz="0" w:space="0" w:color="auto"/>
        <w:right w:val="none" w:sz="0" w:space="0" w:color="auto"/>
      </w:divBdr>
    </w:div>
    <w:div w:id="673070147">
      <w:bodyDiv w:val="1"/>
      <w:marLeft w:val="0"/>
      <w:marRight w:val="0"/>
      <w:marTop w:val="0"/>
      <w:marBottom w:val="0"/>
      <w:divBdr>
        <w:top w:val="none" w:sz="0" w:space="0" w:color="auto"/>
        <w:left w:val="none" w:sz="0" w:space="0" w:color="auto"/>
        <w:bottom w:val="none" w:sz="0" w:space="0" w:color="auto"/>
        <w:right w:val="none" w:sz="0" w:space="0" w:color="auto"/>
      </w:divBdr>
    </w:div>
    <w:div w:id="686176872">
      <w:bodyDiv w:val="1"/>
      <w:marLeft w:val="0"/>
      <w:marRight w:val="0"/>
      <w:marTop w:val="0"/>
      <w:marBottom w:val="0"/>
      <w:divBdr>
        <w:top w:val="none" w:sz="0" w:space="0" w:color="auto"/>
        <w:left w:val="none" w:sz="0" w:space="0" w:color="auto"/>
        <w:bottom w:val="none" w:sz="0" w:space="0" w:color="auto"/>
        <w:right w:val="none" w:sz="0" w:space="0" w:color="auto"/>
      </w:divBdr>
    </w:div>
    <w:div w:id="688146261">
      <w:bodyDiv w:val="1"/>
      <w:marLeft w:val="0"/>
      <w:marRight w:val="0"/>
      <w:marTop w:val="0"/>
      <w:marBottom w:val="0"/>
      <w:divBdr>
        <w:top w:val="none" w:sz="0" w:space="0" w:color="auto"/>
        <w:left w:val="none" w:sz="0" w:space="0" w:color="auto"/>
        <w:bottom w:val="none" w:sz="0" w:space="0" w:color="auto"/>
        <w:right w:val="none" w:sz="0" w:space="0" w:color="auto"/>
      </w:divBdr>
    </w:div>
    <w:div w:id="689719289">
      <w:bodyDiv w:val="1"/>
      <w:marLeft w:val="0"/>
      <w:marRight w:val="0"/>
      <w:marTop w:val="0"/>
      <w:marBottom w:val="0"/>
      <w:divBdr>
        <w:top w:val="none" w:sz="0" w:space="0" w:color="auto"/>
        <w:left w:val="none" w:sz="0" w:space="0" w:color="auto"/>
        <w:bottom w:val="none" w:sz="0" w:space="0" w:color="auto"/>
        <w:right w:val="none" w:sz="0" w:space="0" w:color="auto"/>
      </w:divBdr>
    </w:div>
    <w:div w:id="690910408">
      <w:bodyDiv w:val="1"/>
      <w:marLeft w:val="0"/>
      <w:marRight w:val="0"/>
      <w:marTop w:val="0"/>
      <w:marBottom w:val="0"/>
      <w:divBdr>
        <w:top w:val="none" w:sz="0" w:space="0" w:color="auto"/>
        <w:left w:val="none" w:sz="0" w:space="0" w:color="auto"/>
        <w:bottom w:val="none" w:sz="0" w:space="0" w:color="auto"/>
        <w:right w:val="none" w:sz="0" w:space="0" w:color="auto"/>
      </w:divBdr>
    </w:div>
    <w:div w:id="708148476">
      <w:bodyDiv w:val="1"/>
      <w:marLeft w:val="0"/>
      <w:marRight w:val="0"/>
      <w:marTop w:val="0"/>
      <w:marBottom w:val="0"/>
      <w:divBdr>
        <w:top w:val="none" w:sz="0" w:space="0" w:color="auto"/>
        <w:left w:val="none" w:sz="0" w:space="0" w:color="auto"/>
        <w:bottom w:val="none" w:sz="0" w:space="0" w:color="auto"/>
        <w:right w:val="none" w:sz="0" w:space="0" w:color="auto"/>
      </w:divBdr>
    </w:div>
    <w:div w:id="712777959">
      <w:bodyDiv w:val="1"/>
      <w:marLeft w:val="0"/>
      <w:marRight w:val="0"/>
      <w:marTop w:val="0"/>
      <w:marBottom w:val="0"/>
      <w:divBdr>
        <w:top w:val="none" w:sz="0" w:space="0" w:color="auto"/>
        <w:left w:val="none" w:sz="0" w:space="0" w:color="auto"/>
        <w:bottom w:val="none" w:sz="0" w:space="0" w:color="auto"/>
        <w:right w:val="none" w:sz="0" w:space="0" w:color="auto"/>
      </w:divBdr>
    </w:div>
    <w:div w:id="713311744">
      <w:bodyDiv w:val="1"/>
      <w:marLeft w:val="0"/>
      <w:marRight w:val="0"/>
      <w:marTop w:val="0"/>
      <w:marBottom w:val="0"/>
      <w:divBdr>
        <w:top w:val="none" w:sz="0" w:space="0" w:color="auto"/>
        <w:left w:val="none" w:sz="0" w:space="0" w:color="auto"/>
        <w:bottom w:val="none" w:sz="0" w:space="0" w:color="auto"/>
        <w:right w:val="none" w:sz="0" w:space="0" w:color="auto"/>
      </w:divBdr>
      <w:divsChild>
        <w:div w:id="1796176235">
          <w:marLeft w:val="0"/>
          <w:marRight w:val="0"/>
          <w:marTop w:val="0"/>
          <w:marBottom w:val="0"/>
          <w:divBdr>
            <w:top w:val="none" w:sz="0" w:space="0" w:color="auto"/>
            <w:left w:val="none" w:sz="0" w:space="0" w:color="auto"/>
            <w:bottom w:val="none" w:sz="0" w:space="0" w:color="auto"/>
            <w:right w:val="none" w:sz="0" w:space="0" w:color="auto"/>
          </w:divBdr>
          <w:divsChild>
            <w:div w:id="601454853">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727799209">
      <w:bodyDiv w:val="1"/>
      <w:marLeft w:val="0"/>
      <w:marRight w:val="0"/>
      <w:marTop w:val="0"/>
      <w:marBottom w:val="0"/>
      <w:divBdr>
        <w:top w:val="none" w:sz="0" w:space="0" w:color="auto"/>
        <w:left w:val="none" w:sz="0" w:space="0" w:color="auto"/>
        <w:bottom w:val="none" w:sz="0" w:space="0" w:color="auto"/>
        <w:right w:val="none" w:sz="0" w:space="0" w:color="auto"/>
      </w:divBdr>
    </w:div>
    <w:div w:id="759373374">
      <w:bodyDiv w:val="1"/>
      <w:marLeft w:val="0"/>
      <w:marRight w:val="0"/>
      <w:marTop w:val="0"/>
      <w:marBottom w:val="0"/>
      <w:divBdr>
        <w:top w:val="none" w:sz="0" w:space="0" w:color="auto"/>
        <w:left w:val="none" w:sz="0" w:space="0" w:color="auto"/>
        <w:bottom w:val="none" w:sz="0" w:space="0" w:color="auto"/>
        <w:right w:val="none" w:sz="0" w:space="0" w:color="auto"/>
      </w:divBdr>
    </w:div>
    <w:div w:id="774133853">
      <w:bodyDiv w:val="1"/>
      <w:marLeft w:val="0"/>
      <w:marRight w:val="0"/>
      <w:marTop w:val="0"/>
      <w:marBottom w:val="0"/>
      <w:divBdr>
        <w:top w:val="none" w:sz="0" w:space="0" w:color="auto"/>
        <w:left w:val="none" w:sz="0" w:space="0" w:color="auto"/>
        <w:bottom w:val="none" w:sz="0" w:space="0" w:color="auto"/>
        <w:right w:val="none" w:sz="0" w:space="0" w:color="auto"/>
      </w:divBdr>
    </w:div>
    <w:div w:id="774206370">
      <w:bodyDiv w:val="1"/>
      <w:marLeft w:val="0"/>
      <w:marRight w:val="0"/>
      <w:marTop w:val="0"/>
      <w:marBottom w:val="0"/>
      <w:divBdr>
        <w:top w:val="none" w:sz="0" w:space="0" w:color="auto"/>
        <w:left w:val="none" w:sz="0" w:space="0" w:color="auto"/>
        <w:bottom w:val="none" w:sz="0" w:space="0" w:color="auto"/>
        <w:right w:val="none" w:sz="0" w:space="0" w:color="auto"/>
      </w:divBdr>
      <w:divsChild>
        <w:div w:id="199780417">
          <w:marLeft w:val="0"/>
          <w:marRight w:val="0"/>
          <w:marTop w:val="0"/>
          <w:marBottom w:val="0"/>
          <w:divBdr>
            <w:top w:val="none" w:sz="0" w:space="0" w:color="auto"/>
            <w:left w:val="none" w:sz="0" w:space="0" w:color="auto"/>
            <w:bottom w:val="none" w:sz="0" w:space="0" w:color="auto"/>
            <w:right w:val="none" w:sz="0" w:space="0" w:color="auto"/>
          </w:divBdr>
          <w:divsChild>
            <w:div w:id="1226180375">
              <w:marLeft w:val="0"/>
              <w:marRight w:val="0"/>
              <w:marTop w:val="0"/>
              <w:marBottom w:val="0"/>
              <w:divBdr>
                <w:top w:val="none" w:sz="0" w:space="0" w:color="auto"/>
                <w:left w:val="none" w:sz="0" w:space="0" w:color="auto"/>
                <w:bottom w:val="none" w:sz="0" w:space="0" w:color="auto"/>
                <w:right w:val="none" w:sz="0" w:space="0" w:color="auto"/>
              </w:divBdr>
              <w:divsChild>
                <w:div w:id="14459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70339">
      <w:bodyDiv w:val="1"/>
      <w:marLeft w:val="0"/>
      <w:marRight w:val="0"/>
      <w:marTop w:val="0"/>
      <w:marBottom w:val="0"/>
      <w:divBdr>
        <w:top w:val="none" w:sz="0" w:space="0" w:color="auto"/>
        <w:left w:val="none" w:sz="0" w:space="0" w:color="auto"/>
        <w:bottom w:val="none" w:sz="0" w:space="0" w:color="auto"/>
        <w:right w:val="none" w:sz="0" w:space="0" w:color="auto"/>
      </w:divBdr>
    </w:div>
    <w:div w:id="786119641">
      <w:bodyDiv w:val="1"/>
      <w:marLeft w:val="0"/>
      <w:marRight w:val="0"/>
      <w:marTop w:val="0"/>
      <w:marBottom w:val="0"/>
      <w:divBdr>
        <w:top w:val="none" w:sz="0" w:space="0" w:color="auto"/>
        <w:left w:val="none" w:sz="0" w:space="0" w:color="auto"/>
        <w:bottom w:val="none" w:sz="0" w:space="0" w:color="auto"/>
        <w:right w:val="none" w:sz="0" w:space="0" w:color="auto"/>
      </w:divBdr>
    </w:div>
    <w:div w:id="789394123">
      <w:bodyDiv w:val="1"/>
      <w:marLeft w:val="0"/>
      <w:marRight w:val="0"/>
      <w:marTop w:val="0"/>
      <w:marBottom w:val="0"/>
      <w:divBdr>
        <w:top w:val="none" w:sz="0" w:space="0" w:color="auto"/>
        <w:left w:val="none" w:sz="0" w:space="0" w:color="auto"/>
        <w:bottom w:val="none" w:sz="0" w:space="0" w:color="auto"/>
        <w:right w:val="none" w:sz="0" w:space="0" w:color="auto"/>
      </w:divBdr>
    </w:div>
    <w:div w:id="810052315">
      <w:bodyDiv w:val="1"/>
      <w:marLeft w:val="0"/>
      <w:marRight w:val="0"/>
      <w:marTop w:val="0"/>
      <w:marBottom w:val="0"/>
      <w:divBdr>
        <w:top w:val="none" w:sz="0" w:space="0" w:color="auto"/>
        <w:left w:val="none" w:sz="0" w:space="0" w:color="auto"/>
        <w:bottom w:val="none" w:sz="0" w:space="0" w:color="auto"/>
        <w:right w:val="none" w:sz="0" w:space="0" w:color="auto"/>
      </w:divBdr>
    </w:div>
    <w:div w:id="812523003">
      <w:bodyDiv w:val="1"/>
      <w:marLeft w:val="0"/>
      <w:marRight w:val="0"/>
      <w:marTop w:val="0"/>
      <w:marBottom w:val="0"/>
      <w:divBdr>
        <w:top w:val="none" w:sz="0" w:space="0" w:color="auto"/>
        <w:left w:val="none" w:sz="0" w:space="0" w:color="auto"/>
        <w:bottom w:val="none" w:sz="0" w:space="0" w:color="auto"/>
        <w:right w:val="none" w:sz="0" w:space="0" w:color="auto"/>
      </w:divBdr>
    </w:div>
    <w:div w:id="813064238">
      <w:bodyDiv w:val="1"/>
      <w:marLeft w:val="0"/>
      <w:marRight w:val="0"/>
      <w:marTop w:val="0"/>
      <w:marBottom w:val="0"/>
      <w:divBdr>
        <w:top w:val="none" w:sz="0" w:space="0" w:color="auto"/>
        <w:left w:val="none" w:sz="0" w:space="0" w:color="auto"/>
        <w:bottom w:val="none" w:sz="0" w:space="0" w:color="auto"/>
        <w:right w:val="none" w:sz="0" w:space="0" w:color="auto"/>
      </w:divBdr>
    </w:div>
    <w:div w:id="813910004">
      <w:bodyDiv w:val="1"/>
      <w:marLeft w:val="0"/>
      <w:marRight w:val="0"/>
      <w:marTop w:val="0"/>
      <w:marBottom w:val="0"/>
      <w:divBdr>
        <w:top w:val="none" w:sz="0" w:space="0" w:color="auto"/>
        <w:left w:val="none" w:sz="0" w:space="0" w:color="auto"/>
        <w:bottom w:val="none" w:sz="0" w:space="0" w:color="auto"/>
        <w:right w:val="none" w:sz="0" w:space="0" w:color="auto"/>
      </w:divBdr>
    </w:div>
    <w:div w:id="814375409">
      <w:bodyDiv w:val="1"/>
      <w:marLeft w:val="0"/>
      <w:marRight w:val="0"/>
      <w:marTop w:val="0"/>
      <w:marBottom w:val="0"/>
      <w:divBdr>
        <w:top w:val="none" w:sz="0" w:space="0" w:color="auto"/>
        <w:left w:val="none" w:sz="0" w:space="0" w:color="auto"/>
        <w:bottom w:val="none" w:sz="0" w:space="0" w:color="auto"/>
        <w:right w:val="none" w:sz="0" w:space="0" w:color="auto"/>
      </w:divBdr>
    </w:div>
    <w:div w:id="815217878">
      <w:bodyDiv w:val="1"/>
      <w:marLeft w:val="0"/>
      <w:marRight w:val="0"/>
      <w:marTop w:val="0"/>
      <w:marBottom w:val="0"/>
      <w:divBdr>
        <w:top w:val="none" w:sz="0" w:space="0" w:color="auto"/>
        <w:left w:val="none" w:sz="0" w:space="0" w:color="auto"/>
        <w:bottom w:val="none" w:sz="0" w:space="0" w:color="auto"/>
        <w:right w:val="none" w:sz="0" w:space="0" w:color="auto"/>
      </w:divBdr>
    </w:div>
    <w:div w:id="817310359">
      <w:bodyDiv w:val="1"/>
      <w:marLeft w:val="0"/>
      <w:marRight w:val="0"/>
      <w:marTop w:val="0"/>
      <w:marBottom w:val="0"/>
      <w:divBdr>
        <w:top w:val="none" w:sz="0" w:space="0" w:color="auto"/>
        <w:left w:val="none" w:sz="0" w:space="0" w:color="auto"/>
        <w:bottom w:val="none" w:sz="0" w:space="0" w:color="auto"/>
        <w:right w:val="none" w:sz="0" w:space="0" w:color="auto"/>
      </w:divBdr>
    </w:div>
    <w:div w:id="824318891">
      <w:bodyDiv w:val="1"/>
      <w:marLeft w:val="0"/>
      <w:marRight w:val="0"/>
      <w:marTop w:val="0"/>
      <w:marBottom w:val="0"/>
      <w:divBdr>
        <w:top w:val="none" w:sz="0" w:space="0" w:color="auto"/>
        <w:left w:val="none" w:sz="0" w:space="0" w:color="auto"/>
        <w:bottom w:val="none" w:sz="0" w:space="0" w:color="auto"/>
        <w:right w:val="none" w:sz="0" w:space="0" w:color="auto"/>
      </w:divBdr>
    </w:div>
    <w:div w:id="825321684">
      <w:bodyDiv w:val="1"/>
      <w:marLeft w:val="0"/>
      <w:marRight w:val="0"/>
      <w:marTop w:val="0"/>
      <w:marBottom w:val="0"/>
      <w:divBdr>
        <w:top w:val="none" w:sz="0" w:space="0" w:color="auto"/>
        <w:left w:val="none" w:sz="0" w:space="0" w:color="auto"/>
        <w:bottom w:val="none" w:sz="0" w:space="0" w:color="auto"/>
        <w:right w:val="none" w:sz="0" w:space="0" w:color="auto"/>
      </w:divBdr>
    </w:div>
    <w:div w:id="833181336">
      <w:bodyDiv w:val="1"/>
      <w:marLeft w:val="0"/>
      <w:marRight w:val="0"/>
      <w:marTop w:val="0"/>
      <w:marBottom w:val="0"/>
      <w:divBdr>
        <w:top w:val="none" w:sz="0" w:space="0" w:color="auto"/>
        <w:left w:val="none" w:sz="0" w:space="0" w:color="auto"/>
        <w:bottom w:val="none" w:sz="0" w:space="0" w:color="auto"/>
        <w:right w:val="none" w:sz="0" w:space="0" w:color="auto"/>
      </w:divBdr>
    </w:div>
    <w:div w:id="841430652">
      <w:bodyDiv w:val="1"/>
      <w:marLeft w:val="0"/>
      <w:marRight w:val="0"/>
      <w:marTop w:val="0"/>
      <w:marBottom w:val="0"/>
      <w:divBdr>
        <w:top w:val="none" w:sz="0" w:space="0" w:color="auto"/>
        <w:left w:val="none" w:sz="0" w:space="0" w:color="auto"/>
        <w:bottom w:val="none" w:sz="0" w:space="0" w:color="auto"/>
        <w:right w:val="none" w:sz="0" w:space="0" w:color="auto"/>
      </w:divBdr>
    </w:div>
    <w:div w:id="845554766">
      <w:bodyDiv w:val="1"/>
      <w:marLeft w:val="0"/>
      <w:marRight w:val="0"/>
      <w:marTop w:val="0"/>
      <w:marBottom w:val="0"/>
      <w:divBdr>
        <w:top w:val="none" w:sz="0" w:space="0" w:color="auto"/>
        <w:left w:val="none" w:sz="0" w:space="0" w:color="auto"/>
        <w:bottom w:val="none" w:sz="0" w:space="0" w:color="auto"/>
        <w:right w:val="none" w:sz="0" w:space="0" w:color="auto"/>
      </w:divBdr>
    </w:div>
    <w:div w:id="853231782">
      <w:bodyDiv w:val="1"/>
      <w:marLeft w:val="0"/>
      <w:marRight w:val="0"/>
      <w:marTop w:val="0"/>
      <w:marBottom w:val="0"/>
      <w:divBdr>
        <w:top w:val="none" w:sz="0" w:space="0" w:color="auto"/>
        <w:left w:val="none" w:sz="0" w:space="0" w:color="auto"/>
        <w:bottom w:val="none" w:sz="0" w:space="0" w:color="auto"/>
        <w:right w:val="none" w:sz="0" w:space="0" w:color="auto"/>
      </w:divBdr>
    </w:div>
    <w:div w:id="854810052">
      <w:bodyDiv w:val="1"/>
      <w:marLeft w:val="0"/>
      <w:marRight w:val="0"/>
      <w:marTop w:val="0"/>
      <w:marBottom w:val="0"/>
      <w:divBdr>
        <w:top w:val="none" w:sz="0" w:space="0" w:color="auto"/>
        <w:left w:val="none" w:sz="0" w:space="0" w:color="auto"/>
        <w:bottom w:val="none" w:sz="0" w:space="0" w:color="auto"/>
        <w:right w:val="none" w:sz="0" w:space="0" w:color="auto"/>
      </w:divBdr>
    </w:div>
    <w:div w:id="857080594">
      <w:bodyDiv w:val="1"/>
      <w:marLeft w:val="0"/>
      <w:marRight w:val="0"/>
      <w:marTop w:val="0"/>
      <w:marBottom w:val="0"/>
      <w:divBdr>
        <w:top w:val="none" w:sz="0" w:space="0" w:color="auto"/>
        <w:left w:val="none" w:sz="0" w:space="0" w:color="auto"/>
        <w:bottom w:val="none" w:sz="0" w:space="0" w:color="auto"/>
        <w:right w:val="none" w:sz="0" w:space="0" w:color="auto"/>
      </w:divBdr>
    </w:div>
    <w:div w:id="858542663">
      <w:bodyDiv w:val="1"/>
      <w:marLeft w:val="0"/>
      <w:marRight w:val="0"/>
      <w:marTop w:val="0"/>
      <w:marBottom w:val="0"/>
      <w:divBdr>
        <w:top w:val="none" w:sz="0" w:space="0" w:color="auto"/>
        <w:left w:val="none" w:sz="0" w:space="0" w:color="auto"/>
        <w:bottom w:val="none" w:sz="0" w:space="0" w:color="auto"/>
        <w:right w:val="none" w:sz="0" w:space="0" w:color="auto"/>
      </w:divBdr>
    </w:div>
    <w:div w:id="859927600">
      <w:bodyDiv w:val="1"/>
      <w:marLeft w:val="0"/>
      <w:marRight w:val="0"/>
      <w:marTop w:val="0"/>
      <w:marBottom w:val="0"/>
      <w:divBdr>
        <w:top w:val="none" w:sz="0" w:space="0" w:color="auto"/>
        <w:left w:val="none" w:sz="0" w:space="0" w:color="auto"/>
        <w:bottom w:val="none" w:sz="0" w:space="0" w:color="auto"/>
        <w:right w:val="none" w:sz="0" w:space="0" w:color="auto"/>
      </w:divBdr>
    </w:div>
    <w:div w:id="877814438">
      <w:bodyDiv w:val="1"/>
      <w:marLeft w:val="0"/>
      <w:marRight w:val="0"/>
      <w:marTop w:val="0"/>
      <w:marBottom w:val="0"/>
      <w:divBdr>
        <w:top w:val="none" w:sz="0" w:space="0" w:color="auto"/>
        <w:left w:val="none" w:sz="0" w:space="0" w:color="auto"/>
        <w:bottom w:val="none" w:sz="0" w:space="0" w:color="auto"/>
        <w:right w:val="none" w:sz="0" w:space="0" w:color="auto"/>
      </w:divBdr>
    </w:div>
    <w:div w:id="878588587">
      <w:bodyDiv w:val="1"/>
      <w:marLeft w:val="0"/>
      <w:marRight w:val="0"/>
      <w:marTop w:val="0"/>
      <w:marBottom w:val="0"/>
      <w:divBdr>
        <w:top w:val="none" w:sz="0" w:space="0" w:color="auto"/>
        <w:left w:val="none" w:sz="0" w:space="0" w:color="auto"/>
        <w:bottom w:val="none" w:sz="0" w:space="0" w:color="auto"/>
        <w:right w:val="none" w:sz="0" w:space="0" w:color="auto"/>
      </w:divBdr>
    </w:div>
    <w:div w:id="905649094">
      <w:bodyDiv w:val="1"/>
      <w:marLeft w:val="0"/>
      <w:marRight w:val="0"/>
      <w:marTop w:val="0"/>
      <w:marBottom w:val="0"/>
      <w:divBdr>
        <w:top w:val="none" w:sz="0" w:space="0" w:color="auto"/>
        <w:left w:val="none" w:sz="0" w:space="0" w:color="auto"/>
        <w:bottom w:val="none" w:sz="0" w:space="0" w:color="auto"/>
        <w:right w:val="none" w:sz="0" w:space="0" w:color="auto"/>
      </w:divBdr>
    </w:div>
    <w:div w:id="908423873">
      <w:bodyDiv w:val="1"/>
      <w:marLeft w:val="0"/>
      <w:marRight w:val="0"/>
      <w:marTop w:val="0"/>
      <w:marBottom w:val="0"/>
      <w:divBdr>
        <w:top w:val="none" w:sz="0" w:space="0" w:color="auto"/>
        <w:left w:val="none" w:sz="0" w:space="0" w:color="auto"/>
        <w:bottom w:val="none" w:sz="0" w:space="0" w:color="auto"/>
        <w:right w:val="none" w:sz="0" w:space="0" w:color="auto"/>
      </w:divBdr>
    </w:div>
    <w:div w:id="913204079">
      <w:bodyDiv w:val="1"/>
      <w:marLeft w:val="0"/>
      <w:marRight w:val="0"/>
      <w:marTop w:val="0"/>
      <w:marBottom w:val="0"/>
      <w:divBdr>
        <w:top w:val="none" w:sz="0" w:space="0" w:color="auto"/>
        <w:left w:val="none" w:sz="0" w:space="0" w:color="auto"/>
        <w:bottom w:val="none" w:sz="0" w:space="0" w:color="auto"/>
        <w:right w:val="none" w:sz="0" w:space="0" w:color="auto"/>
      </w:divBdr>
    </w:div>
    <w:div w:id="917862546">
      <w:bodyDiv w:val="1"/>
      <w:marLeft w:val="0"/>
      <w:marRight w:val="0"/>
      <w:marTop w:val="0"/>
      <w:marBottom w:val="0"/>
      <w:divBdr>
        <w:top w:val="none" w:sz="0" w:space="0" w:color="auto"/>
        <w:left w:val="none" w:sz="0" w:space="0" w:color="auto"/>
        <w:bottom w:val="none" w:sz="0" w:space="0" w:color="auto"/>
        <w:right w:val="none" w:sz="0" w:space="0" w:color="auto"/>
      </w:divBdr>
    </w:div>
    <w:div w:id="925841625">
      <w:bodyDiv w:val="1"/>
      <w:marLeft w:val="0"/>
      <w:marRight w:val="0"/>
      <w:marTop w:val="0"/>
      <w:marBottom w:val="0"/>
      <w:divBdr>
        <w:top w:val="none" w:sz="0" w:space="0" w:color="auto"/>
        <w:left w:val="none" w:sz="0" w:space="0" w:color="auto"/>
        <w:bottom w:val="none" w:sz="0" w:space="0" w:color="auto"/>
        <w:right w:val="none" w:sz="0" w:space="0" w:color="auto"/>
      </w:divBdr>
    </w:div>
    <w:div w:id="928582174">
      <w:bodyDiv w:val="1"/>
      <w:marLeft w:val="0"/>
      <w:marRight w:val="0"/>
      <w:marTop w:val="0"/>
      <w:marBottom w:val="0"/>
      <w:divBdr>
        <w:top w:val="none" w:sz="0" w:space="0" w:color="auto"/>
        <w:left w:val="none" w:sz="0" w:space="0" w:color="auto"/>
        <w:bottom w:val="none" w:sz="0" w:space="0" w:color="auto"/>
        <w:right w:val="none" w:sz="0" w:space="0" w:color="auto"/>
      </w:divBdr>
    </w:div>
    <w:div w:id="930353869">
      <w:bodyDiv w:val="1"/>
      <w:marLeft w:val="0"/>
      <w:marRight w:val="0"/>
      <w:marTop w:val="0"/>
      <w:marBottom w:val="0"/>
      <w:divBdr>
        <w:top w:val="none" w:sz="0" w:space="0" w:color="auto"/>
        <w:left w:val="none" w:sz="0" w:space="0" w:color="auto"/>
        <w:bottom w:val="none" w:sz="0" w:space="0" w:color="auto"/>
        <w:right w:val="none" w:sz="0" w:space="0" w:color="auto"/>
      </w:divBdr>
    </w:div>
    <w:div w:id="930898150">
      <w:bodyDiv w:val="1"/>
      <w:marLeft w:val="0"/>
      <w:marRight w:val="0"/>
      <w:marTop w:val="0"/>
      <w:marBottom w:val="0"/>
      <w:divBdr>
        <w:top w:val="none" w:sz="0" w:space="0" w:color="auto"/>
        <w:left w:val="none" w:sz="0" w:space="0" w:color="auto"/>
        <w:bottom w:val="none" w:sz="0" w:space="0" w:color="auto"/>
        <w:right w:val="none" w:sz="0" w:space="0" w:color="auto"/>
      </w:divBdr>
    </w:div>
    <w:div w:id="937521801">
      <w:bodyDiv w:val="1"/>
      <w:marLeft w:val="0"/>
      <w:marRight w:val="0"/>
      <w:marTop w:val="0"/>
      <w:marBottom w:val="0"/>
      <w:divBdr>
        <w:top w:val="none" w:sz="0" w:space="0" w:color="auto"/>
        <w:left w:val="none" w:sz="0" w:space="0" w:color="auto"/>
        <w:bottom w:val="none" w:sz="0" w:space="0" w:color="auto"/>
        <w:right w:val="none" w:sz="0" w:space="0" w:color="auto"/>
      </w:divBdr>
    </w:div>
    <w:div w:id="944920309">
      <w:bodyDiv w:val="1"/>
      <w:marLeft w:val="0"/>
      <w:marRight w:val="0"/>
      <w:marTop w:val="0"/>
      <w:marBottom w:val="0"/>
      <w:divBdr>
        <w:top w:val="none" w:sz="0" w:space="0" w:color="auto"/>
        <w:left w:val="none" w:sz="0" w:space="0" w:color="auto"/>
        <w:bottom w:val="none" w:sz="0" w:space="0" w:color="auto"/>
        <w:right w:val="none" w:sz="0" w:space="0" w:color="auto"/>
      </w:divBdr>
    </w:div>
    <w:div w:id="951089705">
      <w:bodyDiv w:val="1"/>
      <w:marLeft w:val="0"/>
      <w:marRight w:val="0"/>
      <w:marTop w:val="0"/>
      <w:marBottom w:val="0"/>
      <w:divBdr>
        <w:top w:val="none" w:sz="0" w:space="0" w:color="auto"/>
        <w:left w:val="none" w:sz="0" w:space="0" w:color="auto"/>
        <w:bottom w:val="none" w:sz="0" w:space="0" w:color="auto"/>
        <w:right w:val="none" w:sz="0" w:space="0" w:color="auto"/>
      </w:divBdr>
    </w:div>
    <w:div w:id="965622634">
      <w:bodyDiv w:val="1"/>
      <w:marLeft w:val="0"/>
      <w:marRight w:val="0"/>
      <w:marTop w:val="0"/>
      <w:marBottom w:val="0"/>
      <w:divBdr>
        <w:top w:val="none" w:sz="0" w:space="0" w:color="auto"/>
        <w:left w:val="none" w:sz="0" w:space="0" w:color="auto"/>
        <w:bottom w:val="none" w:sz="0" w:space="0" w:color="auto"/>
        <w:right w:val="none" w:sz="0" w:space="0" w:color="auto"/>
      </w:divBdr>
      <w:divsChild>
        <w:div w:id="1653488052">
          <w:marLeft w:val="0"/>
          <w:marRight w:val="0"/>
          <w:marTop w:val="0"/>
          <w:marBottom w:val="0"/>
          <w:divBdr>
            <w:top w:val="none" w:sz="0" w:space="0" w:color="auto"/>
            <w:left w:val="none" w:sz="0" w:space="0" w:color="auto"/>
            <w:bottom w:val="none" w:sz="0" w:space="0" w:color="auto"/>
            <w:right w:val="none" w:sz="0" w:space="0" w:color="auto"/>
          </w:divBdr>
          <w:divsChild>
            <w:div w:id="1499922988">
              <w:marLeft w:val="0"/>
              <w:marRight w:val="0"/>
              <w:marTop w:val="0"/>
              <w:marBottom w:val="0"/>
              <w:divBdr>
                <w:top w:val="none" w:sz="0" w:space="0" w:color="auto"/>
                <w:left w:val="none" w:sz="0" w:space="0" w:color="auto"/>
                <w:bottom w:val="none" w:sz="0" w:space="0" w:color="auto"/>
                <w:right w:val="none" w:sz="0" w:space="0" w:color="auto"/>
              </w:divBdr>
              <w:divsChild>
                <w:div w:id="4295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57602">
      <w:bodyDiv w:val="1"/>
      <w:marLeft w:val="0"/>
      <w:marRight w:val="0"/>
      <w:marTop w:val="0"/>
      <w:marBottom w:val="0"/>
      <w:divBdr>
        <w:top w:val="none" w:sz="0" w:space="0" w:color="auto"/>
        <w:left w:val="none" w:sz="0" w:space="0" w:color="auto"/>
        <w:bottom w:val="none" w:sz="0" w:space="0" w:color="auto"/>
        <w:right w:val="none" w:sz="0" w:space="0" w:color="auto"/>
      </w:divBdr>
    </w:div>
    <w:div w:id="972439749">
      <w:bodyDiv w:val="1"/>
      <w:marLeft w:val="0"/>
      <w:marRight w:val="0"/>
      <w:marTop w:val="0"/>
      <w:marBottom w:val="0"/>
      <w:divBdr>
        <w:top w:val="none" w:sz="0" w:space="0" w:color="auto"/>
        <w:left w:val="none" w:sz="0" w:space="0" w:color="auto"/>
        <w:bottom w:val="none" w:sz="0" w:space="0" w:color="auto"/>
        <w:right w:val="none" w:sz="0" w:space="0" w:color="auto"/>
      </w:divBdr>
    </w:div>
    <w:div w:id="989402707">
      <w:bodyDiv w:val="1"/>
      <w:marLeft w:val="0"/>
      <w:marRight w:val="0"/>
      <w:marTop w:val="0"/>
      <w:marBottom w:val="0"/>
      <w:divBdr>
        <w:top w:val="none" w:sz="0" w:space="0" w:color="auto"/>
        <w:left w:val="none" w:sz="0" w:space="0" w:color="auto"/>
        <w:bottom w:val="none" w:sz="0" w:space="0" w:color="auto"/>
        <w:right w:val="none" w:sz="0" w:space="0" w:color="auto"/>
      </w:divBdr>
    </w:div>
    <w:div w:id="997919468">
      <w:bodyDiv w:val="1"/>
      <w:marLeft w:val="0"/>
      <w:marRight w:val="0"/>
      <w:marTop w:val="0"/>
      <w:marBottom w:val="0"/>
      <w:divBdr>
        <w:top w:val="none" w:sz="0" w:space="0" w:color="auto"/>
        <w:left w:val="none" w:sz="0" w:space="0" w:color="auto"/>
        <w:bottom w:val="none" w:sz="0" w:space="0" w:color="auto"/>
        <w:right w:val="none" w:sz="0" w:space="0" w:color="auto"/>
      </w:divBdr>
    </w:div>
    <w:div w:id="997998810">
      <w:bodyDiv w:val="1"/>
      <w:marLeft w:val="0"/>
      <w:marRight w:val="0"/>
      <w:marTop w:val="0"/>
      <w:marBottom w:val="0"/>
      <w:divBdr>
        <w:top w:val="none" w:sz="0" w:space="0" w:color="auto"/>
        <w:left w:val="none" w:sz="0" w:space="0" w:color="auto"/>
        <w:bottom w:val="none" w:sz="0" w:space="0" w:color="auto"/>
        <w:right w:val="none" w:sz="0" w:space="0" w:color="auto"/>
      </w:divBdr>
    </w:div>
    <w:div w:id="998921308">
      <w:bodyDiv w:val="1"/>
      <w:marLeft w:val="0"/>
      <w:marRight w:val="0"/>
      <w:marTop w:val="0"/>
      <w:marBottom w:val="0"/>
      <w:divBdr>
        <w:top w:val="none" w:sz="0" w:space="0" w:color="auto"/>
        <w:left w:val="none" w:sz="0" w:space="0" w:color="auto"/>
        <w:bottom w:val="none" w:sz="0" w:space="0" w:color="auto"/>
        <w:right w:val="none" w:sz="0" w:space="0" w:color="auto"/>
      </w:divBdr>
    </w:div>
    <w:div w:id="1003313562">
      <w:bodyDiv w:val="1"/>
      <w:marLeft w:val="0"/>
      <w:marRight w:val="0"/>
      <w:marTop w:val="0"/>
      <w:marBottom w:val="0"/>
      <w:divBdr>
        <w:top w:val="none" w:sz="0" w:space="0" w:color="auto"/>
        <w:left w:val="none" w:sz="0" w:space="0" w:color="auto"/>
        <w:bottom w:val="none" w:sz="0" w:space="0" w:color="auto"/>
        <w:right w:val="none" w:sz="0" w:space="0" w:color="auto"/>
      </w:divBdr>
    </w:div>
    <w:div w:id="1011756819">
      <w:bodyDiv w:val="1"/>
      <w:marLeft w:val="0"/>
      <w:marRight w:val="0"/>
      <w:marTop w:val="0"/>
      <w:marBottom w:val="0"/>
      <w:divBdr>
        <w:top w:val="none" w:sz="0" w:space="0" w:color="auto"/>
        <w:left w:val="none" w:sz="0" w:space="0" w:color="auto"/>
        <w:bottom w:val="none" w:sz="0" w:space="0" w:color="auto"/>
        <w:right w:val="none" w:sz="0" w:space="0" w:color="auto"/>
      </w:divBdr>
    </w:div>
    <w:div w:id="1012101913">
      <w:bodyDiv w:val="1"/>
      <w:marLeft w:val="0"/>
      <w:marRight w:val="0"/>
      <w:marTop w:val="0"/>
      <w:marBottom w:val="0"/>
      <w:divBdr>
        <w:top w:val="none" w:sz="0" w:space="0" w:color="auto"/>
        <w:left w:val="none" w:sz="0" w:space="0" w:color="auto"/>
        <w:bottom w:val="none" w:sz="0" w:space="0" w:color="auto"/>
        <w:right w:val="none" w:sz="0" w:space="0" w:color="auto"/>
      </w:divBdr>
    </w:div>
    <w:div w:id="1013263698">
      <w:bodyDiv w:val="1"/>
      <w:marLeft w:val="0"/>
      <w:marRight w:val="0"/>
      <w:marTop w:val="0"/>
      <w:marBottom w:val="0"/>
      <w:divBdr>
        <w:top w:val="none" w:sz="0" w:space="0" w:color="auto"/>
        <w:left w:val="none" w:sz="0" w:space="0" w:color="auto"/>
        <w:bottom w:val="none" w:sz="0" w:space="0" w:color="auto"/>
        <w:right w:val="none" w:sz="0" w:space="0" w:color="auto"/>
      </w:divBdr>
    </w:div>
    <w:div w:id="1029187423">
      <w:bodyDiv w:val="1"/>
      <w:marLeft w:val="0"/>
      <w:marRight w:val="0"/>
      <w:marTop w:val="0"/>
      <w:marBottom w:val="0"/>
      <w:divBdr>
        <w:top w:val="none" w:sz="0" w:space="0" w:color="auto"/>
        <w:left w:val="none" w:sz="0" w:space="0" w:color="auto"/>
        <w:bottom w:val="none" w:sz="0" w:space="0" w:color="auto"/>
        <w:right w:val="none" w:sz="0" w:space="0" w:color="auto"/>
      </w:divBdr>
    </w:div>
    <w:div w:id="1036387183">
      <w:bodyDiv w:val="1"/>
      <w:marLeft w:val="0"/>
      <w:marRight w:val="0"/>
      <w:marTop w:val="0"/>
      <w:marBottom w:val="0"/>
      <w:divBdr>
        <w:top w:val="none" w:sz="0" w:space="0" w:color="auto"/>
        <w:left w:val="none" w:sz="0" w:space="0" w:color="auto"/>
        <w:bottom w:val="none" w:sz="0" w:space="0" w:color="auto"/>
        <w:right w:val="none" w:sz="0" w:space="0" w:color="auto"/>
      </w:divBdr>
    </w:div>
    <w:div w:id="1042048781">
      <w:bodyDiv w:val="1"/>
      <w:marLeft w:val="0"/>
      <w:marRight w:val="0"/>
      <w:marTop w:val="0"/>
      <w:marBottom w:val="0"/>
      <w:divBdr>
        <w:top w:val="none" w:sz="0" w:space="0" w:color="auto"/>
        <w:left w:val="none" w:sz="0" w:space="0" w:color="auto"/>
        <w:bottom w:val="none" w:sz="0" w:space="0" w:color="auto"/>
        <w:right w:val="none" w:sz="0" w:space="0" w:color="auto"/>
      </w:divBdr>
    </w:div>
    <w:div w:id="1053501816">
      <w:bodyDiv w:val="1"/>
      <w:marLeft w:val="0"/>
      <w:marRight w:val="0"/>
      <w:marTop w:val="0"/>
      <w:marBottom w:val="0"/>
      <w:divBdr>
        <w:top w:val="none" w:sz="0" w:space="0" w:color="auto"/>
        <w:left w:val="none" w:sz="0" w:space="0" w:color="auto"/>
        <w:bottom w:val="none" w:sz="0" w:space="0" w:color="auto"/>
        <w:right w:val="none" w:sz="0" w:space="0" w:color="auto"/>
      </w:divBdr>
    </w:div>
    <w:div w:id="1063137772">
      <w:bodyDiv w:val="1"/>
      <w:marLeft w:val="0"/>
      <w:marRight w:val="0"/>
      <w:marTop w:val="0"/>
      <w:marBottom w:val="0"/>
      <w:divBdr>
        <w:top w:val="none" w:sz="0" w:space="0" w:color="auto"/>
        <w:left w:val="none" w:sz="0" w:space="0" w:color="auto"/>
        <w:bottom w:val="none" w:sz="0" w:space="0" w:color="auto"/>
        <w:right w:val="none" w:sz="0" w:space="0" w:color="auto"/>
      </w:divBdr>
    </w:div>
    <w:div w:id="1063143536">
      <w:bodyDiv w:val="1"/>
      <w:marLeft w:val="0"/>
      <w:marRight w:val="0"/>
      <w:marTop w:val="0"/>
      <w:marBottom w:val="0"/>
      <w:divBdr>
        <w:top w:val="none" w:sz="0" w:space="0" w:color="auto"/>
        <w:left w:val="none" w:sz="0" w:space="0" w:color="auto"/>
        <w:bottom w:val="none" w:sz="0" w:space="0" w:color="auto"/>
        <w:right w:val="none" w:sz="0" w:space="0" w:color="auto"/>
      </w:divBdr>
    </w:div>
    <w:div w:id="1069353421">
      <w:bodyDiv w:val="1"/>
      <w:marLeft w:val="0"/>
      <w:marRight w:val="0"/>
      <w:marTop w:val="0"/>
      <w:marBottom w:val="0"/>
      <w:divBdr>
        <w:top w:val="none" w:sz="0" w:space="0" w:color="auto"/>
        <w:left w:val="none" w:sz="0" w:space="0" w:color="auto"/>
        <w:bottom w:val="none" w:sz="0" w:space="0" w:color="auto"/>
        <w:right w:val="none" w:sz="0" w:space="0" w:color="auto"/>
      </w:divBdr>
    </w:div>
    <w:div w:id="1069958275">
      <w:bodyDiv w:val="1"/>
      <w:marLeft w:val="0"/>
      <w:marRight w:val="0"/>
      <w:marTop w:val="0"/>
      <w:marBottom w:val="0"/>
      <w:divBdr>
        <w:top w:val="none" w:sz="0" w:space="0" w:color="auto"/>
        <w:left w:val="none" w:sz="0" w:space="0" w:color="auto"/>
        <w:bottom w:val="none" w:sz="0" w:space="0" w:color="auto"/>
        <w:right w:val="none" w:sz="0" w:space="0" w:color="auto"/>
      </w:divBdr>
    </w:div>
    <w:div w:id="1074208689">
      <w:bodyDiv w:val="1"/>
      <w:marLeft w:val="0"/>
      <w:marRight w:val="0"/>
      <w:marTop w:val="0"/>
      <w:marBottom w:val="0"/>
      <w:divBdr>
        <w:top w:val="none" w:sz="0" w:space="0" w:color="auto"/>
        <w:left w:val="none" w:sz="0" w:space="0" w:color="auto"/>
        <w:bottom w:val="none" w:sz="0" w:space="0" w:color="auto"/>
        <w:right w:val="none" w:sz="0" w:space="0" w:color="auto"/>
      </w:divBdr>
    </w:div>
    <w:div w:id="1082870708">
      <w:bodyDiv w:val="1"/>
      <w:marLeft w:val="0"/>
      <w:marRight w:val="0"/>
      <w:marTop w:val="0"/>
      <w:marBottom w:val="0"/>
      <w:divBdr>
        <w:top w:val="none" w:sz="0" w:space="0" w:color="auto"/>
        <w:left w:val="none" w:sz="0" w:space="0" w:color="auto"/>
        <w:bottom w:val="none" w:sz="0" w:space="0" w:color="auto"/>
        <w:right w:val="none" w:sz="0" w:space="0" w:color="auto"/>
      </w:divBdr>
    </w:div>
    <w:div w:id="1086805546">
      <w:bodyDiv w:val="1"/>
      <w:marLeft w:val="0"/>
      <w:marRight w:val="0"/>
      <w:marTop w:val="0"/>
      <w:marBottom w:val="0"/>
      <w:divBdr>
        <w:top w:val="none" w:sz="0" w:space="0" w:color="auto"/>
        <w:left w:val="none" w:sz="0" w:space="0" w:color="auto"/>
        <w:bottom w:val="none" w:sz="0" w:space="0" w:color="auto"/>
        <w:right w:val="none" w:sz="0" w:space="0" w:color="auto"/>
      </w:divBdr>
    </w:div>
    <w:div w:id="1087386639">
      <w:bodyDiv w:val="1"/>
      <w:marLeft w:val="0"/>
      <w:marRight w:val="0"/>
      <w:marTop w:val="0"/>
      <w:marBottom w:val="0"/>
      <w:divBdr>
        <w:top w:val="none" w:sz="0" w:space="0" w:color="auto"/>
        <w:left w:val="none" w:sz="0" w:space="0" w:color="auto"/>
        <w:bottom w:val="none" w:sz="0" w:space="0" w:color="auto"/>
        <w:right w:val="none" w:sz="0" w:space="0" w:color="auto"/>
      </w:divBdr>
    </w:div>
    <w:div w:id="1098210830">
      <w:bodyDiv w:val="1"/>
      <w:marLeft w:val="0"/>
      <w:marRight w:val="0"/>
      <w:marTop w:val="0"/>
      <w:marBottom w:val="0"/>
      <w:divBdr>
        <w:top w:val="none" w:sz="0" w:space="0" w:color="auto"/>
        <w:left w:val="none" w:sz="0" w:space="0" w:color="auto"/>
        <w:bottom w:val="none" w:sz="0" w:space="0" w:color="auto"/>
        <w:right w:val="none" w:sz="0" w:space="0" w:color="auto"/>
      </w:divBdr>
    </w:div>
    <w:div w:id="1103765975">
      <w:bodyDiv w:val="1"/>
      <w:marLeft w:val="0"/>
      <w:marRight w:val="0"/>
      <w:marTop w:val="0"/>
      <w:marBottom w:val="0"/>
      <w:divBdr>
        <w:top w:val="none" w:sz="0" w:space="0" w:color="auto"/>
        <w:left w:val="none" w:sz="0" w:space="0" w:color="auto"/>
        <w:bottom w:val="none" w:sz="0" w:space="0" w:color="auto"/>
        <w:right w:val="none" w:sz="0" w:space="0" w:color="auto"/>
      </w:divBdr>
    </w:div>
    <w:div w:id="1105465159">
      <w:bodyDiv w:val="1"/>
      <w:marLeft w:val="0"/>
      <w:marRight w:val="0"/>
      <w:marTop w:val="0"/>
      <w:marBottom w:val="0"/>
      <w:divBdr>
        <w:top w:val="none" w:sz="0" w:space="0" w:color="auto"/>
        <w:left w:val="none" w:sz="0" w:space="0" w:color="auto"/>
        <w:bottom w:val="none" w:sz="0" w:space="0" w:color="auto"/>
        <w:right w:val="none" w:sz="0" w:space="0" w:color="auto"/>
      </w:divBdr>
    </w:div>
    <w:div w:id="1106074558">
      <w:bodyDiv w:val="1"/>
      <w:marLeft w:val="0"/>
      <w:marRight w:val="0"/>
      <w:marTop w:val="0"/>
      <w:marBottom w:val="0"/>
      <w:divBdr>
        <w:top w:val="none" w:sz="0" w:space="0" w:color="auto"/>
        <w:left w:val="none" w:sz="0" w:space="0" w:color="auto"/>
        <w:bottom w:val="none" w:sz="0" w:space="0" w:color="auto"/>
        <w:right w:val="none" w:sz="0" w:space="0" w:color="auto"/>
      </w:divBdr>
    </w:div>
    <w:div w:id="1113093708">
      <w:bodyDiv w:val="1"/>
      <w:marLeft w:val="0"/>
      <w:marRight w:val="0"/>
      <w:marTop w:val="0"/>
      <w:marBottom w:val="0"/>
      <w:divBdr>
        <w:top w:val="none" w:sz="0" w:space="0" w:color="auto"/>
        <w:left w:val="none" w:sz="0" w:space="0" w:color="auto"/>
        <w:bottom w:val="none" w:sz="0" w:space="0" w:color="auto"/>
        <w:right w:val="none" w:sz="0" w:space="0" w:color="auto"/>
      </w:divBdr>
    </w:div>
    <w:div w:id="1113287881">
      <w:bodyDiv w:val="1"/>
      <w:marLeft w:val="0"/>
      <w:marRight w:val="0"/>
      <w:marTop w:val="0"/>
      <w:marBottom w:val="0"/>
      <w:divBdr>
        <w:top w:val="none" w:sz="0" w:space="0" w:color="auto"/>
        <w:left w:val="none" w:sz="0" w:space="0" w:color="auto"/>
        <w:bottom w:val="none" w:sz="0" w:space="0" w:color="auto"/>
        <w:right w:val="none" w:sz="0" w:space="0" w:color="auto"/>
      </w:divBdr>
    </w:div>
    <w:div w:id="1116483419">
      <w:bodyDiv w:val="1"/>
      <w:marLeft w:val="0"/>
      <w:marRight w:val="0"/>
      <w:marTop w:val="0"/>
      <w:marBottom w:val="0"/>
      <w:divBdr>
        <w:top w:val="none" w:sz="0" w:space="0" w:color="auto"/>
        <w:left w:val="none" w:sz="0" w:space="0" w:color="auto"/>
        <w:bottom w:val="none" w:sz="0" w:space="0" w:color="auto"/>
        <w:right w:val="none" w:sz="0" w:space="0" w:color="auto"/>
      </w:divBdr>
    </w:div>
    <w:div w:id="1121219418">
      <w:bodyDiv w:val="1"/>
      <w:marLeft w:val="0"/>
      <w:marRight w:val="0"/>
      <w:marTop w:val="0"/>
      <w:marBottom w:val="0"/>
      <w:divBdr>
        <w:top w:val="none" w:sz="0" w:space="0" w:color="auto"/>
        <w:left w:val="none" w:sz="0" w:space="0" w:color="auto"/>
        <w:bottom w:val="none" w:sz="0" w:space="0" w:color="auto"/>
        <w:right w:val="none" w:sz="0" w:space="0" w:color="auto"/>
      </w:divBdr>
    </w:div>
    <w:div w:id="1122191896">
      <w:bodyDiv w:val="1"/>
      <w:marLeft w:val="0"/>
      <w:marRight w:val="0"/>
      <w:marTop w:val="0"/>
      <w:marBottom w:val="0"/>
      <w:divBdr>
        <w:top w:val="none" w:sz="0" w:space="0" w:color="auto"/>
        <w:left w:val="none" w:sz="0" w:space="0" w:color="auto"/>
        <w:bottom w:val="none" w:sz="0" w:space="0" w:color="auto"/>
        <w:right w:val="none" w:sz="0" w:space="0" w:color="auto"/>
      </w:divBdr>
    </w:div>
    <w:div w:id="1122580197">
      <w:bodyDiv w:val="1"/>
      <w:marLeft w:val="0"/>
      <w:marRight w:val="0"/>
      <w:marTop w:val="0"/>
      <w:marBottom w:val="0"/>
      <w:divBdr>
        <w:top w:val="none" w:sz="0" w:space="0" w:color="auto"/>
        <w:left w:val="none" w:sz="0" w:space="0" w:color="auto"/>
        <w:bottom w:val="none" w:sz="0" w:space="0" w:color="auto"/>
        <w:right w:val="none" w:sz="0" w:space="0" w:color="auto"/>
      </w:divBdr>
    </w:div>
    <w:div w:id="1143893271">
      <w:bodyDiv w:val="1"/>
      <w:marLeft w:val="0"/>
      <w:marRight w:val="0"/>
      <w:marTop w:val="0"/>
      <w:marBottom w:val="0"/>
      <w:divBdr>
        <w:top w:val="none" w:sz="0" w:space="0" w:color="auto"/>
        <w:left w:val="none" w:sz="0" w:space="0" w:color="auto"/>
        <w:bottom w:val="none" w:sz="0" w:space="0" w:color="auto"/>
        <w:right w:val="none" w:sz="0" w:space="0" w:color="auto"/>
      </w:divBdr>
    </w:div>
    <w:div w:id="1156720987">
      <w:bodyDiv w:val="1"/>
      <w:marLeft w:val="0"/>
      <w:marRight w:val="0"/>
      <w:marTop w:val="0"/>
      <w:marBottom w:val="0"/>
      <w:divBdr>
        <w:top w:val="none" w:sz="0" w:space="0" w:color="auto"/>
        <w:left w:val="none" w:sz="0" w:space="0" w:color="auto"/>
        <w:bottom w:val="none" w:sz="0" w:space="0" w:color="auto"/>
        <w:right w:val="none" w:sz="0" w:space="0" w:color="auto"/>
      </w:divBdr>
    </w:div>
    <w:div w:id="1167592946">
      <w:bodyDiv w:val="1"/>
      <w:marLeft w:val="0"/>
      <w:marRight w:val="0"/>
      <w:marTop w:val="0"/>
      <w:marBottom w:val="0"/>
      <w:divBdr>
        <w:top w:val="none" w:sz="0" w:space="0" w:color="auto"/>
        <w:left w:val="none" w:sz="0" w:space="0" w:color="auto"/>
        <w:bottom w:val="none" w:sz="0" w:space="0" w:color="auto"/>
        <w:right w:val="none" w:sz="0" w:space="0" w:color="auto"/>
      </w:divBdr>
    </w:div>
    <w:div w:id="1175806988">
      <w:bodyDiv w:val="1"/>
      <w:marLeft w:val="0"/>
      <w:marRight w:val="0"/>
      <w:marTop w:val="0"/>
      <w:marBottom w:val="0"/>
      <w:divBdr>
        <w:top w:val="none" w:sz="0" w:space="0" w:color="auto"/>
        <w:left w:val="none" w:sz="0" w:space="0" w:color="auto"/>
        <w:bottom w:val="none" w:sz="0" w:space="0" w:color="auto"/>
        <w:right w:val="none" w:sz="0" w:space="0" w:color="auto"/>
      </w:divBdr>
    </w:div>
    <w:div w:id="1190686271">
      <w:bodyDiv w:val="1"/>
      <w:marLeft w:val="0"/>
      <w:marRight w:val="0"/>
      <w:marTop w:val="0"/>
      <w:marBottom w:val="0"/>
      <w:divBdr>
        <w:top w:val="none" w:sz="0" w:space="0" w:color="auto"/>
        <w:left w:val="none" w:sz="0" w:space="0" w:color="auto"/>
        <w:bottom w:val="none" w:sz="0" w:space="0" w:color="auto"/>
        <w:right w:val="none" w:sz="0" w:space="0" w:color="auto"/>
      </w:divBdr>
    </w:div>
    <w:div w:id="1191995000">
      <w:bodyDiv w:val="1"/>
      <w:marLeft w:val="0"/>
      <w:marRight w:val="0"/>
      <w:marTop w:val="0"/>
      <w:marBottom w:val="0"/>
      <w:divBdr>
        <w:top w:val="none" w:sz="0" w:space="0" w:color="auto"/>
        <w:left w:val="none" w:sz="0" w:space="0" w:color="auto"/>
        <w:bottom w:val="none" w:sz="0" w:space="0" w:color="auto"/>
        <w:right w:val="none" w:sz="0" w:space="0" w:color="auto"/>
      </w:divBdr>
    </w:div>
    <w:div w:id="1193492690">
      <w:bodyDiv w:val="1"/>
      <w:marLeft w:val="0"/>
      <w:marRight w:val="0"/>
      <w:marTop w:val="0"/>
      <w:marBottom w:val="0"/>
      <w:divBdr>
        <w:top w:val="none" w:sz="0" w:space="0" w:color="auto"/>
        <w:left w:val="none" w:sz="0" w:space="0" w:color="auto"/>
        <w:bottom w:val="none" w:sz="0" w:space="0" w:color="auto"/>
        <w:right w:val="none" w:sz="0" w:space="0" w:color="auto"/>
      </w:divBdr>
    </w:div>
    <w:div w:id="1193766817">
      <w:bodyDiv w:val="1"/>
      <w:marLeft w:val="0"/>
      <w:marRight w:val="0"/>
      <w:marTop w:val="0"/>
      <w:marBottom w:val="0"/>
      <w:divBdr>
        <w:top w:val="none" w:sz="0" w:space="0" w:color="auto"/>
        <w:left w:val="none" w:sz="0" w:space="0" w:color="auto"/>
        <w:bottom w:val="none" w:sz="0" w:space="0" w:color="auto"/>
        <w:right w:val="none" w:sz="0" w:space="0" w:color="auto"/>
      </w:divBdr>
    </w:div>
    <w:div w:id="1197036474">
      <w:bodyDiv w:val="1"/>
      <w:marLeft w:val="0"/>
      <w:marRight w:val="0"/>
      <w:marTop w:val="0"/>
      <w:marBottom w:val="0"/>
      <w:divBdr>
        <w:top w:val="none" w:sz="0" w:space="0" w:color="auto"/>
        <w:left w:val="none" w:sz="0" w:space="0" w:color="auto"/>
        <w:bottom w:val="none" w:sz="0" w:space="0" w:color="auto"/>
        <w:right w:val="none" w:sz="0" w:space="0" w:color="auto"/>
      </w:divBdr>
    </w:div>
    <w:div w:id="1197350632">
      <w:bodyDiv w:val="1"/>
      <w:marLeft w:val="0"/>
      <w:marRight w:val="0"/>
      <w:marTop w:val="0"/>
      <w:marBottom w:val="0"/>
      <w:divBdr>
        <w:top w:val="none" w:sz="0" w:space="0" w:color="auto"/>
        <w:left w:val="none" w:sz="0" w:space="0" w:color="auto"/>
        <w:bottom w:val="none" w:sz="0" w:space="0" w:color="auto"/>
        <w:right w:val="none" w:sz="0" w:space="0" w:color="auto"/>
      </w:divBdr>
    </w:div>
    <w:div w:id="1200433562">
      <w:bodyDiv w:val="1"/>
      <w:marLeft w:val="0"/>
      <w:marRight w:val="0"/>
      <w:marTop w:val="0"/>
      <w:marBottom w:val="0"/>
      <w:divBdr>
        <w:top w:val="none" w:sz="0" w:space="0" w:color="auto"/>
        <w:left w:val="none" w:sz="0" w:space="0" w:color="auto"/>
        <w:bottom w:val="none" w:sz="0" w:space="0" w:color="auto"/>
        <w:right w:val="none" w:sz="0" w:space="0" w:color="auto"/>
      </w:divBdr>
    </w:div>
    <w:div w:id="1203178399">
      <w:bodyDiv w:val="1"/>
      <w:marLeft w:val="0"/>
      <w:marRight w:val="0"/>
      <w:marTop w:val="0"/>
      <w:marBottom w:val="0"/>
      <w:divBdr>
        <w:top w:val="none" w:sz="0" w:space="0" w:color="auto"/>
        <w:left w:val="none" w:sz="0" w:space="0" w:color="auto"/>
        <w:bottom w:val="none" w:sz="0" w:space="0" w:color="auto"/>
        <w:right w:val="none" w:sz="0" w:space="0" w:color="auto"/>
      </w:divBdr>
    </w:div>
    <w:div w:id="1207714453">
      <w:bodyDiv w:val="1"/>
      <w:marLeft w:val="0"/>
      <w:marRight w:val="0"/>
      <w:marTop w:val="0"/>
      <w:marBottom w:val="0"/>
      <w:divBdr>
        <w:top w:val="none" w:sz="0" w:space="0" w:color="auto"/>
        <w:left w:val="none" w:sz="0" w:space="0" w:color="auto"/>
        <w:bottom w:val="none" w:sz="0" w:space="0" w:color="auto"/>
        <w:right w:val="none" w:sz="0" w:space="0" w:color="auto"/>
      </w:divBdr>
    </w:div>
    <w:div w:id="1217622146">
      <w:bodyDiv w:val="1"/>
      <w:marLeft w:val="0"/>
      <w:marRight w:val="0"/>
      <w:marTop w:val="0"/>
      <w:marBottom w:val="0"/>
      <w:divBdr>
        <w:top w:val="none" w:sz="0" w:space="0" w:color="auto"/>
        <w:left w:val="none" w:sz="0" w:space="0" w:color="auto"/>
        <w:bottom w:val="none" w:sz="0" w:space="0" w:color="auto"/>
        <w:right w:val="none" w:sz="0" w:space="0" w:color="auto"/>
      </w:divBdr>
    </w:div>
    <w:div w:id="1218130857">
      <w:bodyDiv w:val="1"/>
      <w:marLeft w:val="0"/>
      <w:marRight w:val="0"/>
      <w:marTop w:val="0"/>
      <w:marBottom w:val="0"/>
      <w:divBdr>
        <w:top w:val="none" w:sz="0" w:space="0" w:color="auto"/>
        <w:left w:val="none" w:sz="0" w:space="0" w:color="auto"/>
        <w:bottom w:val="none" w:sz="0" w:space="0" w:color="auto"/>
        <w:right w:val="none" w:sz="0" w:space="0" w:color="auto"/>
      </w:divBdr>
    </w:div>
    <w:div w:id="1219198601">
      <w:bodyDiv w:val="1"/>
      <w:marLeft w:val="0"/>
      <w:marRight w:val="0"/>
      <w:marTop w:val="0"/>
      <w:marBottom w:val="0"/>
      <w:divBdr>
        <w:top w:val="none" w:sz="0" w:space="0" w:color="auto"/>
        <w:left w:val="none" w:sz="0" w:space="0" w:color="auto"/>
        <w:bottom w:val="none" w:sz="0" w:space="0" w:color="auto"/>
        <w:right w:val="none" w:sz="0" w:space="0" w:color="auto"/>
      </w:divBdr>
    </w:div>
    <w:div w:id="1226179581">
      <w:bodyDiv w:val="1"/>
      <w:marLeft w:val="0"/>
      <w:marRight w:val="0"/>
      <w:marTop w:val="0"/>
      <w:marBottom w:val="0"/>
      <w:divBdr>
        <w:top w:val="none" w:sz="0" w:space="0" w:color="auto"/>
        <w:left w:val="none" w:sz="0" w:space="0" w:color="auto"/>
        <w:bottom w:val="none" w:sz="0" w:space="0" w:color="auto"/>
        <w:right w:val="none" w:sz="0" w:space="0" w:color="auto"/>
      </w:divBdr>
    </w:div>
    <w:div w:id="1227302210">
      <w:bodyDiv w:val="1"/>
      <w:marLeft w:val="0"/>
      <w:marRight w:val="0"/>
      <w:marTop w:val="0"/>
      <w:marBottom w:val="0"/>
      <w:divBdr>
        <w:top w:val="none" w:sz="0" w:space="0" w:color="auto"/>
        <w:left w:val="none" w:sz="0" w:space="0" w:color="auto"/>
        <w:bottom w:val="none" w:sz="0" w:space="0" w:color="auto"/>
        <w:right w:val="none" w:sz="0" w:space="0" w:color="auto"/>
      </w:divBdr>
    </w:div>
    <w:div w:id="1227765687">
      <w:bodyDiv w:val="1"/>
      <w:marLeft w:val="0"/>
      <w:marRight w:val="0"/>
      <w:marTop w:val="0"/>
      <w:marBottom w:val="0"/>
      <w:divBdr>
        <w:top w:val="none" w:sz="0" w:space="0" w:color="auto"/>
        <w:left w:val="none" w:sz="0" w:space="0" w:color="auto"/>
        <w:bottom w:val="none" w:sz="0" w:space="0" w:color="auto"/>
        <w:right w:val="none" w:sz="0" w:space="0" w:color="auto"/>
      </w:divBdr>
    </w:div>
    <w:div w:id="1235159626">
      <w:bodyDiv w:val="1"/>
      <w:marLeft w:val="0"/>
      <w:marRight w:val="0"/>
      <w:marTop w:val="0"/>
      <w:marBottom w:val="0"/>
      <w:divBdr>
        <w:top w:val="none" w:sz="0" w:space="0" w:color="auto"/>
        <w:left w:val="none" w:sz="0" w:space="0" w:color="auto"/>
        <w:bottom w:val="none" w:sz="0" w:space="0" w:color="auto"/>
        <w:right w:val="none" w:sz="0" w:space="0" w:color="auto"/>
      </w:divBdr>
    </w:div>
    <w:div w:id="1246183819">
      <w:bodyDiv w:val="1"/>
      <w:marLeft w:val="0"/>
      <w:marRight w:val="0"/>
      <w:marTop w:val="0"/>
      <w:marBottom w:val="0"/>
      <w:divBdr>
        <w:top w:val="none" w:sz="0" w:space="0" w:color="auto"/>
        <w:left w:val="none" w:sz="0" w:space="0" w:color="auto"/>
        <w:bottom w:val="none" w:sz="0" w:space="0" w:color="auto"/>
        <w:right w:val="none" w:sz="0" w:space="0" w:color="auto"/>
      </w:divBdr>
    </w:div>
    <w:div w:id="1248685730">
      <w:bodyDiv w:val="1"/>
      <w:marLeft w:val="0"/>
      <w:marRight w:val="0"/>
      <w:marTop w:val="0"/>
      <w:marBottom w:val="0"/>
      <w:divBdr>
        <w:top w:val="none" w:sz="0" w:space="0" w:color="auto"/>
        <w:left w:val="none" w:sz="0" w:space="0" w:color="auto"/>
        <w:bottom w:val="none" w:sz="0" w:space="0" w:color="auto"/>
        <w:right w:val="none" w:sz="0" w:space="0" w:color="auto"/>
      </w:divBdr>
    </w:div>
    <w:div w:id="1250381583">
      <w:bodyDiv w:val="1"/>
      <w:marLeft w:val="0"/>
      <w:marRight w:val="0"/>
      <w:marTop w:val="0"/>
      <w:marBottom w:val="0"/>
      <w:divBdr>
        <w:top w:val="none" w:sz="0" w:space="0" w:color="auto"/>
        <w:left w:val="none" w:sz="0" w:space="0" w:color="auto"/>
        <w:bottom w:val="none" w:sz="0" w:space="0" w:color="auto"/>
        <w:right w:val="none" w:sz="0" w:space="0" w:color="auto"/>
      </w:divBdr>
    </w:div>
    <w:div w:id="1263107822">
      <w:bodyDiv w:val="1"/>
      <w:marLeft w:val="0"/>
      <w:marRight w:val="0"/>
      <w:marTop w:val="0"/>
      <w:marBottom w:val="0"/>
      <w:divBdr>
        <w:top w:val="none" w:sz="0" w:space="0" w:color="auto"/>
        <w:left w:val="none" w:sz="0" w:space="0" w:color="auto"/>
        <w:bottom w:val="none" w:sz="0" w:space="0" w:color="auto"/>
        <w:right w:val="none" w:sz="0" w:space="0" w:color="auto"/>
      </w:divBdr>
      <w:divsChild>
        <w:div w:id="1047530972">
          <w:marLeft w:val="0"/>
          <w:marRight w:val="0"/>
          <w:marTop w:val="0"/>
          <w:marBottom w:val="0"/>
          <w:divBdr>
            <w:top w:val="none" w:sz="0" w:space="0" w:color="auto"/>
            <w:left w:val="none" w:sz="0" w:space="0" w:color="auto"/>
            <w:bottom w:val="none" w:sz="0" w:space="0" w:color="auto"/>
            <w:right w:val="none" w:sz="0" w:space="0" w:color="auto"/>
          </w:divBdr>
        </w:div>
        <w:div w:id="1996254203">
          <w:marLeft w:val="0"/>
          <w:marRight w:val="0"/>
          <w:marTop w:val="0"/>
          <w:marBottom w:val="0"/>
          <w:divBdr>
            <w:top w:val="none" w:sz="0" w:space="0" w:color="auto"/>
            <w:left w:val="none" w:sz="0" w:space="0" w:color="auto"/>
            <w:bottom w:val="none" w:sz="0" w:space="0" w:color="auto"/>
            <w:right w:val="none" w:sz="0" w:space="0" w:color="auto"/>
          </w:divBdr>
        </w:div>
      </w:divsChild>
    </w:div>
    <w:div w:id="1267883681">
      <w:bodyDiv w:val="1"/>
      <w:marLeft w:val="0"/>
      <w:marRight w:val="0"/>
      <w:marTop w:val="0"/>
      <w:marBottom w:val="0"/>
      <w:divBdr>
        <w:top w:val="none" w:sz="0" w:space="0" w:color="auto"/>
        <w:left w:val="none" w:sz="0" w:space="0" w:color="auto"/>
        <w:bottom w:val="none" w:sz="0" w:space="0" w:color="auto"/>
        <w:right w:val="none" w:sz="0" w:space="0" w:color="auto"/>
      </w:divBdr>
    </w:div>
    <w:div w:id="1268735316">
      <w:bodyDiv w:val="1"/>
      <w:marLeft w:val="0"/>
      <w:marRight w:val="0"/>
      <w:marTop w:val="0"/>
      <w:marBottom w:val="0"/>
      <w:divBdr>
        <w:top w:val="none" w:sz="0" w:space="0" w:color="auto"/>
        <w:left w:val="none" w:sz="0" w:space="0" w:color="auto"/>
        <w:bottom w:val="none" w:sz="0" w:space="0" w:color="auto"/>
        <w:right w:val="none" w:sz="0" w:space="0" w:color="auto"/>
      </w:divBdr>
    </w:div>
    <w:div w:id="1269659940">
      <w:bodyDiv w:val="1"/>
      <w:marLeft w:val="0"/>
      <w:marRight w:val="0"/>
      <w:marTop w:val="0"/>
      <w:marBottom w:val="0"/>
      <w:divBdr>
        <w:top w:val="none" w:sz="0" w:space="0" w:color="auto"/>
        <w:left w:val="none" w:sz="0" w:space="0" w:color="auto"/>
        <w:bottom w:val="none" w:sz="0" w:space="0" w:color="auto"/>
        <w:right w:val="none" w:sz="0" w:space="0" w:color="auto"/>
      </w:divBdr>
    </w:div>
    <w:div w:id="1272395019">
      <w:bodyDiv w:val="1"/>
      <w:marLeft w:val="0"/>
      <w:marRight w:val="0"/>
      <w:marTop w:val="0"/>
      <w:marBottom w:val="0"/>
      <w:divBdr>
        <w:top w:val="none" w:sz="0" w:space="0" w:color="auto"/>
        <w:left w:val="none" w:sz="0" w:space="0" w:color="auto"/>
        <w:bottom w:val="none" w:sz="0" w:space="0" w:color="auto"/>
        <w:right w:val="none" w:sz="0" w:space="0" w:color="auto"/>
      </w:divBdr>
    </w:div>
    <w:div w:id="1274441500">
      <w:bodyDiv w:val="1"/>
      <w:marLeft w:val="0"/>
      <w:marRight w:val="0"/>
      <w:marTop w:val="0"/>
      <w:marBottom w:val="0"/>
      <w:divBdr>
        <w:top w:val="none" w:sz="0" w:space="0" w:color="auto"/>
        <w:left w:val="none" w:sz="0" w:space="0" w:color="auto"/>
        <w:bottom w:val="none" w:sz="0" w:space="0" w:color="auto"/>
        <w:right w:val="none" w:sz="0" w:space="0" w:color="auto"/>
      </w:divBdr>
    </w:div>
    <w:div w:id="1274482342">
      <w:bodyDiv w:val="1"/>
      <w:marLeft w:val="0"/>
      <w:marRight w:val="0"/>
      <w:marTop w:val="0"/>
      <w:marBottom w:val="0"/>
      <w:divBdr>
        <w:top w:val="none" w:sz="0" w:space="0" w:color="auto"/>
        <w:left w:val="none" w:sz="0" w:space="0" w:color="auto"/>
        <w:bottom w:val="none" w:sz="0" w:space="0" w:color="auto"/>
        <w:right w:val="none" w:sz="0" w:space="0" w:color="auto"/>
      </w:divBdr>
    </w:div>
    <w:div w:id="1278220385">
      <w:bodyDiv w:val="1"/>
      <w:marLeft w:val="0"/>
      <w:marRight w:val="0"/>
      <w:marTop w:val="0"/>
      <w:marBottom w:val="0"/>
      <w:divBdr>
        <w:top w:val="none" w:sz="0" w:space="0" w:color="auto"/>
        <w:left w:val="none" w:sz="0" w:space="0" w:color="auto"/>
        <w:bottom w:val="none" w:sz="0" w:space="0" w:color="auto"/>
        <w:right w:val="none" w:sz="0" w:space="0" w:color="auto"/>
      </w:divBdr>
    </w:div>
    <w:div w:id="1279607484">
      <w:bodyDiv w:val="1"/>
      <w:marLeft w:val="0"/>
      <w:marRight w:val="0"/>
      <w:marTop w:val="0"/>
      <w:marBottom w:val="0"/>
      <w:divBdr>
        <w:top w:val="none" w:sz="0" w:space="0" w:color="auto"/>
        <w:left w:val="none" w:sz="0" w:space="0" w:color="auto"/>
        <w:bottom w:val="none" w:sz="0" w:space="0" w:color="auto"/>
        <w:right w:val="none" w:sz="0" w:space="0" w:color="auto"/>
      </w:divBdr>
    </w:div>
    <w:div w:id="1281692849">
      <w:bodyDiv w:val="1"/>
      <w:marLeft w:val="0"/>
      <w:marRight w:val="0"/>
      <w:marTop w:val="0"/>
      <w:marBottom w:val="0"/>
      <w:divBdr>
        <w:top w:val="none" w:sz="0" w:space="0" w:color="auto"/>
        <w:left w:val="none" w:sz="0" w:space="0" w:color="auto"/>
        <w:bottom w:val="none" w:sz="0" w:space="0" w:color="auto"/>
        <w:right w:val="none" w:sz="0" w:space="0" w:color="auto"/>
      </w:divBdr>
    </w:div>
    <w:div w:id="1285892205">
      <w:bodyDiv w:val="1"/>
      <w:marLeft w:val="0"/>
      <w:marRight w:val="0"/>
      <w:marTop w:val="0"/>
      <w:marBottom w:val="0"/>
      <w:divBdr>
        <w:top w:val="none" w:sz="0" w:space="0" w:color="auto"/>
        <w:left w:val="none" w:sz="0" w:space="0" w:color="auto"/>
        <w:bottom w:val="none" w:sz="0" w:space="0" w:color="auto"/>
        <w:right w:val="none" w:sz="0" w:space="0" w:color="auto"/>
      </w:divBdr>
    </w:div>
    <w:div w:id="1291328127">
      <w:bodyDiv w:val="1"/>
      <w:marLeft w:val="0"/>
      <w:marRight w:val="0"/>
      <w:marTop w:val="0"/>
      <w:marBottom w:val="0"/>
      <w:divBdr>
        <w:top w:val="none" w:sz="0" w:space="0" w:color="auto"/>
        <w:left w:val="none" w:sz="0" w:space="0" w:color="auto"/>
        <w:bottom w:val="none" w:sz="0" w:space="0" w:color="auto"/>
        <w:right w:val="none" w:sz="0" w:space="0" w:color="auto"/>
      </w:divBdr>
    </w:div>
    <w:div w:id="1294562441">
      <w:bodyDiv w:val="1"/>
      <w:marLeft w:val="0"/>
      <w:marRight w:val="0"/>
      <w:marTop w:val="0"/>
      <w:marBottom w:val="0"/>
      <w:divBdr>
        <w:top w:val="none" w:sz="0" w:space="0" w:color="auto"/>
        <w:left w:val="none" w:sz="0" w:space="0" w:color="auto"/>
        <w:bottom w:val="none" w:sz="0" w:space="0" w:color="auto"/>
        <w:right w:val="none" w:sz="0" w:space="0" w:color="auto"/>
      </w:divBdr>
    </w:div>
    <w:div w:id="1299258250">
      <w:bodyDiv w:val="1"/>
      <w:marLeft w:val="0"/>
      <w:marRight w:val="0"/>
      <w:marTop w:val="0"/>
      <w:marBottom w:val="0"/>
      <w:divBdr>
        <w:top w:val="none" w:sz="0" w:space="0" w:color="auto"/>
        <w:left w:val="none" w:sz="0" w:space="0" w:color="auto"/>
        <w:bottom w:val="none" w:sz="0" w:space="0" w:color="auto"/>
        <w:right w:val="none" w:sz="0" w:space="0" w:color="auto"/>
      </w:divBdr>
    </w:div>
    <w:div w:id="1299646797">
      <w:bodyDiv w:val="1"/>
      <w:marLeft w:val="0"/>
      <w:marRight w:val="0"/>
      <w:marTop w:val="0"/>
      <w:marBottom w:val="0"/>
      <w:divBdr>
        <w:top w:val="none" w:sz="0" w:space="0" w:color="auto"/>
        <w:left w:val="none" w:sz="0" w:space="0" w:color="auto"/>
        <w:bottom w:val="none" w:sz="0" w:space="0" w:color="auto"/>
        <w:right w:val="none" w:sz="0" w:space="0" w:color="auto"/>
      </w:divBdr>
    </w:div>
    <w:div w:id="1299647678">
      <w:bodyDiv w:val="1"/>
      <w:marLeft w:val="0"/>
      <w:marRight w:val="0"/>
      <w:marTop w:val="0"/>
      <w:marBottom w:val="0"/>
      <w:divBdr>
        <w:top w:val="none" w:sz="0" w:space="0" w:color="auto"/>
        <w:left w:val="none" w:sz="0" w:space="0" w:color="auto"/>
        <w:bottom w:val="none" w:sz="0" w:space="0" w:color="auto"/>
        <w:right w:val="none" w:sz="0" w:space="0" w:color="auto"/>
      </w:divBdr>
    </w:div>
    <w:div w:id="1300302686">
      <w:bodyDiv w:val="1"/>
      <w:marLeft w:val="0"/>
      <w:marRight w:val="0"/>
      <w:marTop w:val="0"/>
      <w:marBottom w:val="0"/>
      <w:divBdr>
        <w:top w:val="none" w:sz="0" w:space="0" w:color="auto"/>
        <w:left w:val="none" w:sz="0" w:space="0" w:color="auto"/>
        <w:bottom w:val="none" w:sz="0" w:space="0" w:color="auto"/>
        <w:right w:val="none" w:sz="0" w:space="0" w:color="auto"/>
      </w:divBdr>
    </w:div>
    <w:div w:id="1304116847">
      <w:bodyDiv w:val="1"/>
      <w:marLeft w:val="0"/>
      <w:marRight w:val="0"/>
      <w:marTop w:val="0"/>
      <w:marBottom w:val="0"/>
      <w:divBdr>
        <w:top w:val="none" w:sz="0" w:space="0" w:color="auto"/>
        <w:left w:val="none" w:sz="0" w:space="0" w:color="auto"/>
        <w:bottom w:val="none" w:sz="0" w:space="0" w:color="auto"/>
        <w:right w:val="none" w:sz="0" w:space="0" w:color="auto"/>
      </w:divBdr>
    </w:div>
    <w:div w:id="1313758989">
      <w:bodyDiv w:val="1"/>
      <w:marLeft w:val="0"/>
      <w:marRight w:val="0"/>
      <w:marTop w:val="0"/>
      <w:marBottom w:val="0"/>
      <w:divBdr>
        <w:top w:val="none" w:sz="0" w:space="0" w:color="auto"/>
        <w:left w:val="none" w:sz="0" w:space="0" w:color="auto"/>
        <w:bottom w:val="none" w:sz="0" w:space="0" w:color="auto"/>
        <w:right w:val="none" w:sz="0" w:space="0" w:color="auto"/>
      </w:divBdr>
    </w:div>
    <w:div w:id="1326591993">
      <w:bodyDiv w:val="1"/>
      <w:marLeft w:val="0"/>
      <w:marRight w:val="0"/>
      <w:marTop w:val="0"/>
      <w:marBottom w:val="0"/>
      <w:divBdr>
        <w:top w:val="none" w:sz="0" w:space="0" w:color="auto"/>
        <w:left w:val="none" w:sz="0" w:space="0" w:color="auto"/>
        <w:bottom w:val="none" w:sz="0" w:space="0" w:color="auto"/>
        <w:right w:val="none" w:sz="0" w:space="0" w:color="auto"/>
      </w:divBdr>
    </w:div>
    <w:div w:id="1326861907">
      <w:bodyDiv w:val="1"/>
      <w:marLeft w:val="0"/>
      <w:marRight w:val="0"/>
      <w:marTop w:val="0"/>
      <w:marBottom w:val="0"/>
      <w:divBdr>
        <w:top w:val="none" w:sz="0" w:space="0" w:color="auto"/>
        <w:left w:val="none" w:sz="0" w:space="0" w:color="auto"/>
        <w:bottom w:val="none" w:sz="0" w:space="0" w:color="auto"/>
        <w:right w:val="none" w:sz="0" w:space="0" w:color="auto"/>
      </w:divBdr>
    </w:div>
    <w:div w:id="1326934097">
      <w:bodyDiv w:val="1"/>
      <w:marLeft w:val="0"/>
      <w:marRight w:val="0"/>
      <w:marTop w:val="0"/>
      <w:marBottom w:val="0"/>
      <w:divBdr>
        <w:top w:val="none" w:sz="0" w:space="0" w:color="auto"/>
        <w:left w:val="none" w:sz="0" w:space="0" w:color="auto"/>
        <w:bottom w:val="none" w:sz="0" w:space="0" w:color="auto"/>
        <w:right w:val="none" w:sz="0" w:space="0" w:color="auto"/>
      </w:divBdr>
    </w:div>
    <w:div w:id="1332027906">
      <w:bodyDiv w:val="1"/>
      <w:marLeft w:val="0"/>
      <w:marRight w:val="0"/>
      <w:marTop w:val="0"/>
      <w:marBottom w:val="0"/>
      <w:divBdr>
        <w:top w:val="none" w:sz="0" w:space="0" w:color="auto"/>
        <w:left w:val="none" w:sz="0" w:space="0" w:color="auto"/>
        <w:bottom w:val="none" w:sz="0" w:space="0" w:color="auto"/>
        <w:right w:val="none" w:sz="0" w:space="0" w:color="auto"/>
      </w:divBdr>
    </w:div>
    <w:div w:id="1333148151">
      <w:bodyDiv w:val="1"/>
      <w:marLeft w:val="0"/>
      <w:marRight w:val="0"/>
      <w:marTop w:val="0"/>
      <w:marBottom w:val="0"/>
      <w:divBdr>
        <w:top w:val="none" w:sz="0" w:space="0" w:color="auto"/>
        <w:left w:val="none" w:sz="0" w:space="0" w:color="auto"/>
        <w:bottom w:val="none" w:sz="0" w:space="0" w:color="auto"/>
        <w:right w:val="none" w:sz="0" w:space="0" w:color="auto"/>
      </w:divBdr>
    </w:div>
    <w:div w:id="1348752823">
      <w:bodyDiv w:val="1"/>
      <w:marLeft w:val="0"/>
      <w:marRight w:val="0"/>
      <w:marTop w:val="0"/>
      <w:marBottom w:val="0"/>
      <w:divBdr>
        <w:top w:val="none" w:sz="0" w:space="0" w:color="auto"/>
        <w:left w:val="none" w:sz="0" w:space="0" w:color="auto"/>
        <w:bottom w:val="none" w:sz="0" w:space="0" w:color="auto"/>
        <w:right w:val="none" w:sz="0" w:space="0" w:color="auto"/>
      </w:divBdr>
    </w:div>
    <w:div w:id="1349983138">
      <w:bodyDiv w:val="1"/>
      <w:marLeft w:val="0"/>
      <w:marRight w:val="0"/>
      <w:marTop w:val="0"/>
      <w:marBottom w:val="0"/>
      <w:divBdr>
        <w:top w:val="none" w:sz="0" w:space="0" w:color="auto"/>
        <w:left w:val="none" w:sz="0" w:space="0" w:color="auto"/>
        <w:bottom w:val="none" w:sz="0" w:space="0" w:color="auto"/>
        <w:right w:val="none" w:sz="0" w:space="0" w:color="auto"/>
      </w:divBdr>
    </w:div>
    <w:div w:id="1360200679">
      <w:bodyDiv w:val="1"/>
      <w:marLeft w:val="0"/>
      <w:marRight w:val="0"/>
      <w:marTop w:val="0"/>
      <w:marBottom w:val="0"/>
      <w:divBdr>
        <w:top w:val="none" w:sz="0" w:space="0" w:color="auto"/>
        <w:left w:val="none" w:sz="0" w:space="0" w:color="auto"/>
        <w:bottom w:val="none" w:sz="0" w:space="0" w:color="auto"/>
        <w:right w:val="none" w:sz="0" w:space="0" w:color="auto"/>
      </w:divBdr>
    </w:div>
    <w:div w:id="1367684020">
      <w:bodyDiv w:val="1"/>
      <w:marLeft w:val="0"/>
      <w:marRight w:val="0"/>
      <w:marTop w:val="0"/>
      <w:marBottom w:val="0"/>
      <w:divBdr>
        <w:top w:val="none" w:sz="0" w:space="0" w:color="auto"/>
        <w:left w:val="none" w:sz="0" w:space="0" w:color="auto"/>
        <w:bottom w:val="none" w:sz="0" w:space="0" w:color="auto"/>
        <w:right w:val="none" w:sz="0" w:space="0" w:color="auto"/>
      </w:divBdr>
    </w:div>
    <w:div w:id="1376084200">
      <w:bodyDiv w:val="1"/>
      <w:marLeft w:val="0"/>
      <w:marRight w:val="0"/>
      <w:marTop w:val="0"/>
      <w:marBottom w:val="0"/>
      <w:divBdr>
        <w:top w:val="none" w:sz="0" w:space="0" w:color="auto"/>
        <w:left w:val="none" w:sz="0" w:space="0" w:color="auto"/>
        <w:bottom w:val="none" w:sz="0" w:space="0" w:color="auto"/>
        <w:right w:val="none" w:sz="0" w:space="0" w:color="auto"/>
      </w:divBdr>
    </w:div>
    <w:div w:id="1389693122">
      <w:bodyDiv w:val="1"/>
      <w:marLeft w:val="0"/>
      <w:marRight w:val="0"/>
      <w:marTop w:val="0"/>
      <w:marBottom w:val="0"/>
      <w:divBdr>
        <w:top w:val="none" w:sz="0" w:space="0" w:color="auto"/>
        <w:left w:val="none" w:sz="0" w:space="0" w:color="auto"/>
        <w:bottom w:val="none" w:sz="0" w:space="0" w:color="auto"/>
        <w:right w:val="none" w:sz="0" w:space="0" w:color="auto"/>
      </w:divBdr>
    </w:div>
    <w:div w:id="1391884571">
      <w:bodyDiv w:val="1"/>
      <w:marLeft w:val="0"/>
      <w:marRight w:val="0"/>
      <w:marTop w:val="0"/>
      <w:marBottom w:val="0"/>
      <w:divBdr>
        <w:top w:val="none" w:sz="0" w:space="0" w:color="auto"/>
        <w:left w:val="none" w:sz="0" w:space="0" w:color="auto"/>
        <w:bottom w:val="none" w:sz="0" w:space="0" w:color="auto"/>
        <w:right w:val="none" w:sz="0" w:space="0" w:color="auto"/>
      </w:divBdr>
    </w:div>
    <w:div w:id="1392536499">
      <w:bodyDiv w:val="1"/>
      <w:marLeft w:val="0"/>
      <w:marRight w:val="0"/>
      <w:marTop w:val="0"/>
      <w:marBottom w:val="0"/>
      <w:divBdr>
        <w:top w:val="none" w:sz="0" w:space="0" w:color="auto"/>
        <w:left w:val="none" w:sz="0" w:space="0" w:color="auto"/>
        <w:bottom w:val="none" w:sz="0" w:space="0" w:color="auto"/>
        <w:right w:val="none" w:sz="0" w:space="0" w:color="auto"/>
      </w:divBdr>
    </w:div>
    <w:div w:id="1394157765">
      <w:bodyDiv w:val="1"/>
      <w:marLeft w:val="0"/>
      <w:marRight w:val="0"/>
      <w:marTop w:val="0"/>
      <w:marBottom w:val="0"/>
      <w:divBdr>
        <w:top w:val="none" w:sz="0" w:space="0" w:color="auto"/>
        <w:left w:val="none" w:sz="0" w:space="0" w:color="auto"/>
        <w:bottom w:val="none" w:sz="0" w:space="0" w:color="auto"/>
        <w:right w:val="none" w:sz="0" w:space="0" w:color="auto"/>
      </w:divBdr>
    </w:div>
    <w:div w:id="1401560669">
      <w:bodyDiv w:val="1"/>
      <w:marLeft w:val="0"/>
      <w:marRight w:val="0"/>
      <w:marTop w:val="0"/>
      <w:marBottom w:val="0"/>
      <w:divBdr>
        <w:top w:val="none" w:sz="0" w:space="0" w:color="auto"/>
        <w:left w:val="none" w:sz="0" w:space="0" w:color="auto"/>
        <w:bottom w:val="none" w:sz="0" w:space="0" w:color="auto"/>
        <w:right w:val="none" w:sz="0" w:space="0" w:color="auto"/>
      </w:divBdr>
    </w:div>
    <w:div w:id="1402407020">
      <w:bodyDiv w:val="1"/>
      <w:marLeft w:val="0"/>
      <w:marRight w:val="0"/>
      <w:marTop w:val="0"/>
      <w:marBottom w:val="0"/>
      <w:divBdr>
        <w:top w:val="none" w:sz="0" w:space="0" w:color="auto"/>
        <w:left w:val="none" w:sz="0" w:space="0" w:color="auto"/>
        <w:bottom w:val="none" w:sz="0" w:space="0" w:color="auto"/>
        <w:right w:val="none" w:sz="0" w:space="0" w:color="auto"/>
      </w:divBdr>
    </w:div>
    <w:div w:id="1418165867">
      <w:bodyDiv w:val="1"/>
      <w:marLeft w:val="0"/>
      <w:marRight w:val="0"/>
      <w:marTop w:val="0"/>
      <w:marBottom w:val="0"/>
      <w:divBdr>
        <w:top w:val="none" w:sz="0" w:space="0" w:color="auto"/>
        <w:left w:val="none" w:sz="0" w:space="0" w:color="auto"/>
        <w:bottom w:val="none" w:sz="0" w:space="0" w:color="auto"/>
        <w:right w:val="none" w:sz="0" w:space="0" w:color="auto"/>
      </w:divBdr>
    </w:div>
    <w:div w:id="1427194088">
      <w:bodyDiv w:val="1"/>
      <w:marLeft w:val="0"/>
      <w:marRight w:val="0"/>
      <w:marTop w:val="0"/>
      <w:marBottom w:val="0"/>
      <w:divBdr>
        <w:top w:val="none" w:sz="0" w:space="0" w:color="auto"/>
        <w:left w:val="none" w:sz="0" w:space="0" w:color="auto"/>
        <w:bottom w:val="none" w:sz="0" w:space="0" w:color="auto"/>
        <w:right w:val="none" w:sz="0" w:space="0" w:color="auto"/>
      </w:divBdr>
    </w:div>
    <w:div w:id="1435126266">
      <w:bodyDiv w:val="1"/>
      <w:marLeft w:val="0"/>
      <w:marRight w:val="0"/>
      <w:marTop w:val="0"/>
      <w:marBottom w:val="0"/>
      <w:divBdr>
        <w:top w:val="none" w:sz="0" w:space="0" w:color="auto"/>
        <w:left w:val="none" w:sz="0" w:space="0" w:color="auto"/>
        <w:bottom w:val="none" w:sz="0" w:space="0" w:color="auto"/>
        <w:right w:val="none" w:sz="0" w:space="0" w:color="auto"/>
      </w:divBdr>
    </w:div>
    <w:div w:id="1438595183">
      <w:bodyDiv w:val="1"/>
      <w:marLeft w:val="0"/>
      <w:marRight w:val="0"/>
      <w:marTop w:val="0"/>
      <w:marBottom w:val="0"/>
      <w:divBdr>
        <w:top w:val="none" w:sz="0" w:space="0" w:color="auto"/>
        <w:left w:val="none" w:sz="0" w:space="0" w:color="auto"/>
        <w:bottom w:val="none" w:sz="0" w:space="0" w:color="auto"/>
        <w:right w:val="none" w:sz="0" w:space="0" w:color="auto"/>
      </w:divBdr>
    </w:div>
    <w:div w:id="1440952921">
      <w:bodyDiv w:val="1"/>
      <w:marLeft w:val="0"/>
      <w:marRight w:val="0"/>
      <w:marTop w:val="0"/>
      <w:marBottom w:val="0"/>
      <w:divBdr>
        <w:top w:val="none" w:sz="0" w:space="0" w:color="auto"/>
        <w:left w:val="none" w:sz="0" w:space="0" w:color="auto"/>
        <w:bottom w:val="none" w:sz="0" w:space="0" w:color="auto"/>
        <w:right w:val="none" w:sz="0" w:space="0" w:color="auto"/>
      </w:divBdr>
    </w:div>
    <w:div w:id="1445150425">
      <w:bodyDiv w:val="1"/>
      <w:marLeft w:val="0"/>
      <w:marRight w:val="0"/>
      <w:marTop w:val="0"/>
      <w:marBottom w:val="0"/>
      <w:divBdr>
        <w:top w:val="none" w:sz="0" w:space="0" w:color="auto"/>
        <w:left w:val="none" w:sz="0" w:space="0" w:color="auto"/>
        <w:bottom w:val="none" w:sz="0" w:space="0" w:color="auto"/>
        <w:right w:val="none" w:sz="0" w:space="0" w:color="auto"/>
      </w:divBdr>
    </w:div>
    <w:div w:id="1447457547">
      <w:bodyDiv w:val="1"/>
      <w:marLeft w:val="0"/>
      <w:marRight w:val="0"/>
      <w:marTop w:val="0"/>
      <w:marBottom w:val="0"/>
      <w:divBdr>
        <w:top w:val="none" w:sz="0" w:space="0" w:color="auto"/>
        <w:left w:val="none" w:sz="0" w:space="0" w:color="auto"/>
        <w:bottom w:val="none" w:sz="0" w:space="0" w:color="auto"/>
        <w:right w:val="none" w:sz="0" w:space="0" w:color="auto"/>
      </w:divBdr>
    </w:div>
    <w:div w:id="1456633313">
      <w:bodyDiv w:val="1"/>
      <w:marLeft w:val="0"/>
      <w:marRight w:val="0"/>
      <w:marTop w:val="0"/>
      <w:marBottom w:val="0"/>
      <w:divBdr>
        <w:top w:val="none" w:sz="0" w:space="0" w:color="auto"/>
        <w:left w:val="none" w:sz="0" w:space="0" w:color="auto"/>
        <w:bottom w:val="none" w:sz="0" w:space="0" w:color="auto"/>
        <w:right w:val="none" w:sz="0" w:space="0" w:color="auto"/>
      </w:divBdr>
    </w:div>
    <w:div w:id="1457026306">
      <w:bodyDiv w:val="1"/>
      <w:marLeft w:val="0"/>
      <w:marRight w:val="0"/>
      <w:marTop w:val="0"/>
      <w:marBottom w:val="0"/>
      <w:divBdr>
        <w:top w:val="none" w:sz="0" w:space="0" w:color="auto"/>
        <w:left w:val="none" w:sz="0" w:space="0" w:color="auto"/>
        <w:bottom w:val="none" w:sz="0" w:space="0" w:color="auto"/>
        <w:right w:val="none" w:sz="0" w:space="0" w:color="auto"/>
      </w:divBdr>
    </w:div>
    <w:div w:id="1463814082">
      <w:bodyDiv w:val="1"/>
      <w:marLeft w:val="0"/>
      <w:marRight w:val="0"/>
      <w:marTop w:val="0"/>
      <w:marBottom w:val="0"/>
      <w:divBdr>
        <w:top w:val="none" w:sz="0" w:space="0" w:color="auto"/>
        <w:left w:val="none" w:sz="0" w:space="0" w:color="auto"/>
        <w:bottom w:val="none" w:sz="0" w:space="0" w:color="auto"/>
        <w:right w:val="none" w:sz="0" w:space="0" w:color="auto"/>
      </w:divBdr>
    </w:div>
    <w:div w:id="1472939959">
      <w:bodyDiv w:val="1"/>
      <w:marLeft w:val="0"/>
      <w:marRight w:val="0"/>
      <w:marTop w:val="0"/>
      <w:marBottom w:val="0"/>
      <w:divBdr>
        <w:top w:val="none" w:sz="0" w:space="0" w:color="auto"/>
        <w:left w:val="none" w:sz="0" w:space="0" w:color="auto"/>
        <w:bottom w:val="none" w:sz="0" w:space="0" w:color="auto"/>
        <w:right w:val="none" w:sz="0" w:space="0" w:color="auto"/>
      </w:divBdr>
    </w:div>
    <w:div w:id="1481770155">
      <w:bodyDiv w:val="1"/>
      <w:marLeft w:val="0"/>
      <w:marRight w:val="0"/>
      <w:marTop w:val="0"/>
      <w:marBottom w:val="0"/>
      <w:divBdr>
        <w:top w:val="none" w:sz="0" w:space="0" w:color="auto"/>
        <w:left w:val="none" w:sz="0" w:space="0" w:color="auto"/>
        <w:bottom w:val="none" w:sz="0" w:space="0" w:color="auto"/>
        <w:right w:val="none" w:sz="0" w:space="0" w:color="auto"/>
      </w:divBdr>
    </w:div>
    <w:div w:id="1481920301">
      <w:bodyDiv w:val="1"/>
      <w:marLeft w:val="0"/>
      <w:marRight w:val="0"/>
      <w:marTop w:val="0"/>
      <w:marBottom w:val="0"/>
      <w:divBdr>
        <w:top w:val="none" w:sz="0" w:space="0" w:color="auto"/>
        <w:left w:val="none" w:sz="0" w:space="0" w:color="auto"/>
        <w:bottom w:val="none" w:sz="0" w:space="0" w:color="auto"/>
        <w:right w:val="none" w:sz="0" w:space="0" w:color="auto"/>
      </w:divBdr>
    </w:div>
    <w:div w:id="1482191565">
      <w:bodyDiv w:val="1"/>
      <w:marLeft w:val="0"/>
      <w:marRight w:val="0"/>
      <w:marTop w:val="0"/>
      <w:marBottom w:val="0"/>
      <w:divBdr>
        <w:top w:val="none" w:sz="0" w:space="0" w:color="auto"/>
        <w:left w:val="none" w:sz="0" w:space="0" w:color="auto"/>
        <w:bottom w:val="none" w:sz="0" w:space="0" w:color="auto"/>
        <w:right w:val="none" w:sz="0" w:space="0" w:color="auto"/>
      </w:divBdr>
    </w:div>
    <w:div w:id="1504011719">
      <w:bodyDiv w:val="1"/>
      <w:marLeft w:val="0"/>
      <w:marRight w:val="0"/>
      <w:marTop w:val="0"/>
      <w:marBottom w:val="0"/>
      <w:divBdr>
        <w:top w:val="none" w:sz="0" w:space="0" w:color="auto"/>
        <w:left w:val="none" w:sz="0" w:space="0" w:color="auto"/>
        <w:bottom w:val="none" w:sz="0" w:space="0" w:color="auto"/>
        <w:right w:val="none" w:sz="0" w:space="0" w:color="auto"/>
      </w:divBdr>
    </w:div>
    <w:div w:id="1504399627">
      <w:bodyDiv w:val="1"/>
      <w:marLeft w:val="0"/>
      <w:marRight w:val="0"/>
      <w:marTop w:val="0"/>
      <w:marBottom w:val="0"/>
      <w:divBdr>
        <w:top w:val="none" w:sz="0" w:space="0" w:color="auto"/>
        <w:left w:val="none" w:sz="0" w:space="0" w:color="auto"/>
        <w:bottom w:val="none" w:sz="0" w:space="0" w:color="auto"/>
        <w:right w:val="none" w:sz="0" w:space="0" w:color="auto"/>
      </w:divBdr>
    </w:div>
    <w:div w:id="1510170679">
      <w:bodyDiv w:val="1"/>
      <w:marLeft w:val="0"/>
      <w:marRight w:val="0"/>
      <w:marTop w:val="0"/>
      <w:marBottom w:val="0"/>
      <w:divBdr>
        <w:top w:val="none" w:sz="0" w:space="0" w:color="auto"/>
        <w:left w:val="none" w:sz="0" w:space="0" w:color="auto"/>
        <w:bottom w:val="none" w:sz="0" w:space="0" w:color="auto"/>
        <w:right w:val="none" w:sz="0" w:space="0" w:color="auto"/>
      </w:divBdr>
    </w:div>
    <w:div w:id="1510368816">
      <w:bodyDiv w:val="1"/>
      <w:marLeft w:val="0"/>
      <w:marRight w:val="0"/>
      <w:marTop w:val="0"/>
      <w:marBottom w:val="0"/>
      <w:divBdr>
        <w:top w:val="none" w:sz="0" w:space="0" w:color="auto"/>
        <w:left w:val="none" w:sz="0" w:space="0" w:color="auto"/>
        <w:bottom w:val="none" w:sz="0" w:space="0" w:color="auto"/>
        <w:right w:val="none" w:sz="0" w:space="0" w:color="auto"/>
      </w:divBdr>
    </w:div>
    <w:div w:id="1512984620">
      <w:bodyDiv w:val="1"/>
      <w:marLeft w:val="0"/>
      <w:marRight w:val="0"/>
      <w:marTop w:val="0"/>
      <w:marBottom w:val="0"/>
      <w:divBdr>
        <w:top w:val="none" w:sz="0" w:space="0" w:color="auto"/>
        <w:left w:val="none" w:sz="0" w:space="0" w:color="auto"/>
        <w:bottom w:val="none" w:sz="0" w:space="0" w:color="auto"/>
        <w:right w:val="none" w:sz="0" w:space="0" w:color="auto"/>
      </w:divBdr>
    </w:div>
    <w:div w:id="1525240951">
      <w:bodyDiv w:val="1"/>
      <w:marLeft w:val="0"/>
      <w:marRight w:val="0"/>
      <w:marTop w:val="0"/>
      <w:marBottom w:val="0"/>
      <w:divBdr>
        <w:top w:val="none" w:sz="0" w:space="0" w:color="auto"/>
        <w:left w:val="none" w:sz="0" w:space="0" w:color="auto"/>
        <w:bottom w:val="none" w:sz="0" w:space="0" w:color="auto"/>
        <w:right w:val="none" w:sz="0" w:space="0" w:color="auto"/>
      </w:divBdr>
    </w:div>
    <w:div w:id="1533686695">
      <w:bodyDiv w:val="1"/>
      <w:marLeft w:val="0"/>
      <w:marRight w:val="0"/>
      <w:marTop w:val="0"/>
      <w:marBottom w:val="0"/>
      <w:divBdr>
        <w:top w:val="none" w:sz="0" w:space="0" w:color="auto"/>
        <w:left w:val="none" w:sz="0" w:space="0" w:color="auto"/>
        <w:bottom w:val="none" w:sz="0" w:space="0" w:color="auto"/>
        <w:right w:val="none" w:sz="0" w:space="0" w:color="auto"/>
      </w:divBdr>
    </w:div>
    <w:div w:id="1535460489">
      <w:bodyDiv w:val="1"/>
      <w:marLeft w:val="0"/>
      <w:marRight w:val="0"/>
      <w:marTop w:val="0"/>
      <w:marBottom w:val="0"/>
      <w:divBdr>
        <w:top w:val="none" w:sz="0" w:space="0" w:color="auto"/>
        <w:left w:val="none" w:sz="0" w:space="0" w:color="auto"/>
        <w:bottom w:val="none" w:sz="0" w:space="0" w:color="auto"/>
        <w:right w:val="none" w:sz="0" w:space="0" w:color="auto"/>
      </w:divBdr>
    </w:div>
    <w:div w:id="1547831286">
      <w:bodyDiv w:val="1"/>
      <w:marLeft w:val="0"/>
      <w:marRight w:val="0"/>
      <w:marTop w:val="0"/>
      <w:marBottom w:val="0"/>
      <w:divBdr>
        <w:top w:val="none" w:sz="0" w:space="0" w:color="auto"/>
        <w:left w:val="none" w:sz="0" w:space="0" w:color="auto"/>
        <w:bottom w:val="none" w:sz="0" w:space="0" w:color="auto"/>
        <w:right w:val="none" w:sz="0" w:space="0" w:color="auto"/>
      </w:divBdr>
    </w:div>
    <w:div w:id="1556622568">
      <w:bodyDiv w:val="1"/>
      <w:marLeft w:val="0"/>
      <w:marRight w:val="0"/>
      <w:marTop w:val="0"/>
      <w:marBottom w:val="0"/>
      <w:divBdr>
        <w:top w:val="none" w:sz="0" w:space="0" w:color="auto"/>
        <w:left w:val="none" w:sz="0" w:space="0" w:color="auto"/>
        <w:bottom w:val="none" w:sz="0" w:space="0" w:color="auto"/>
        <w:right w:val="none" w:sz="0" w:space="0" w:color="auto"/>
      </w:divBdr>
    </w:div>
    <w:div w:id="1564439277">
      <w:bodyDiv w:val="1"/>
      <w:marLeft w:val="0"/>
      <w:marRight w:val="0"/>
      <w:marTop w:val="0"/>
      <w:marBottom w:val="0"/>
      <w:divBdr>
        <w:top w:val="none" w:sz="0" w:space="0" w:color="auto"/>
        <w:left w:val="none" w:sz="0" w:space="0" w:color="auto"/>
        <w:bottom w:val="none" w:sz="0" w:space="0" w:color="auto"/>
        <w:right w:val="none" w:sz="0" w:space="0" w:color="auto"/>
      </w:divBdr>
      <w:divsChild>
        <w:div w:id="1101293544">
          <w:marLeft w:val="0"/>
          <w:marRight w:val="0"/>
          <w:marTop w:val="0"/>
          <w:marBottom w:val="0"/>
          <w:divBdr>
            <w:top w:val="none" w:sz="0" w:space="0" w:color="auto"/>
            <w:left w:val="none" w:sz="0" w:space="0" w:color="auto"/>
            <w:bottom w:val="none" w:sz="0" w:space="0" w:color="auto"/>
            <w:right w:val="none" w:sz="0" w:space="0" w:color="auto"/>
          </w:divBdr>
          <w:divsChild>
            <w:div w:id="1771927479">
              <w:marLeft w:val="0"/>
              <w:marRight w:val="0"/>
              <w:marTop w:val="0"/>
              <w:marBottom w:val="0"/>
              <w:divBdr>
                <w:top w:val="none" w:sz="0" w:space="0" w:color="auto"/>
                <w:left w:val="none" w:sz="0" w:space="0" w:color="auto"/>
                <w:bottom w:val="none" w:sz="0" w:space="0" w:color="auto"/>
                <w:right w:val="none" w:sz="0" w:space="0" w:color="auto"/>
              </w:divBdr>
              <w:divsChild>
                <w:div w:id="44600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7440">
      <w:bodyDiv w:val="1"/>
      <w:marLeft w:val="0"/>
      <w:marRight w:val="0"/>
      <w:marTop w:val="0"/>
      <w:marBottom w:val="0"/>
      <w:divBdr>
        <w:top w:val="none" w:sz="0" w:space="0" w:color="auto"/>
        <w:left w:val="none" w:sz="0" w:space="0" w:color="auto"/>
        <w:bottom w:val="none" w:sz="0" w:space="0" w:color="auto"/>
        <w:right w:val="none" w:sz="0" w:space="0" w:color="auto"/>
      </w:divBdr>
    </w:div>
    <w:div w:id="1568609749">
      <w:bodyDiv w:val="1"/>
      <w:marLeft w:val="0"/>
      <w:marRight w:val="0"/>
      <w:marTop w:val="0"/>
      <w:marBottom w:val="0"/>
      <w:divBdr>
        <w:top w:val="none" w:sz="0" w:space="0" w:color="auto"/>
        <w:left w:val="none" w:sz="0" w:space="0" w:color="auto"/>
        <w:bottom w:val="none" w:sz="0" w:space="0" w:color="auto"/>
        <w:right w:val="none" w:sz="0" w:space="0" w:color="auto"/>
      </w:divBdr>
    </w:div>
    <w:div w:id="1569993365">
      <w:bodyDiv w:val="1"/>
      <w:marLeft w:val="0"/>
      <w:marRight w:val="0"/>
      <w:marTop w:val="0"/>
      <w:marBottom w:val="0"/>
      <w:divBdr>
        <w:top w:val="none" w:sz="0" w:space="0" w:color="auto"/>
        <w:left w:val="none" w:sz="0" w:space="0" w:color="auto"/>
        <w:bottom w:val="none" w:sz="0" w:space="0" w:color="auto"/>
        <w:right w:val="none" w:sz="0" w:space="0" w:color="auto"/>
      </w:divBdr>
    </w:div>
    <w:div w:id="1579634728">
      <w:bodyDiv w:val="1"/>
      <w:marLeft w:val="0"/>
      <w:marRight w:val="0"/>
      <w:marTop w:val="0"/>
      <w:marBottom w:val="0"/>
      <w:divBdr>
        <w:top w:val="none" w:sz="0" w:space="0" w:color="auto"/>
        <w:left w:val="none" w:sz="0" w:space="0" w:color="auto"/>
        <w:bottom w:val="none" w:sz="0" w:space="0" w:color="auto"/>
        <w:right w:val="none" w:sz="0" w:space="0" w:color="auto"/>
      </w:divBdr>
    </w:div>
    <w:div w:id="1581452750">
      <w:bodyDiv w:val="1"/>
      <w:marLeft w:val="0"/>
      <w:marRight w:val="0"/>
      <w:marTop w:val="0"/>
      <w:marBottom w:val="0"/>
      <w:divBdr>
        <w:top w:val="none" w:sz="0" w:space="0" w:color="auto"/>
        <w:left w:val="none" w:sz="0" w:space="0" w:color="auto"/>
        <w:bottom w:val="none" w:sz="0" w:space="0" w:color="auto"/>
        <w:right w:val="none" w:sz="0" w:space="0" w:color="auto"/>
      </w:divBdr>
    </w:div>
    <w:div w:id="1593120007">
      <w:bodyDiv w:val="1"/>
      <w:marLeft w:val="0"/>
      <w:marRight w:val="0"/>
      <w:marTop w:val="0"/>
      <w:marBottom w:val="0"/>
      <w:divBdr>
        <w:top w:val="none" w:sz="0" w:space="0" w:color="auto"/>
        <w:left w:val="none" w:sz="0" w:space="0" w:color="auto"/>
        <w:bottom w:val="none" w:sz="0" w:space="0" w:color="auto"/>
        <w:right w:val="none" w:sz="0" w:space="0" w:color="auto"/>
      </w:divBdr>
    </w:div>
    <w:div w:id="1594505930">
      <w:bodyDiv w:val="1"/>
      <w:marLeft w:val="0"/>
      <w:marRight w:val="0"/>
      <w:marTop w:val="0"/>
      <w:marBottom w:val="0"/>
      <w:divBdr>
        <w:top w:val="none" w:sz="0" w:space="0" w:color="auto"/>
        <w:left w:val="none" w:sz="0" w:space="0" w:color="auto"/>
        <w:bottom w:val="none" w:sz="0" w:space="0" w:color="auto"/>
        <w:right w:val="none" w:sz="0" w:space="0" w:color="auto"/>
      </w:divBdr>
    </w:div>
    <w:div w:id="1598557018">
      <w:bodyDiv w:val="1"/>
      <w:marLeft w:val="0"/>
      <w:marRight w:val="0"/>
      <w:marTop w:val="0"/>
      <w:marBottom w:val="0"/>
      <w:divBdr>
        <w:top w:val="none" w:sz="0" w:space="0" w:color="auto"/>
        <w:left w:val="none" w:sz="0" w:space="0" w:color="auto"/>
        <w:bottom w:val="none" w:sz="0" w:space="0" w:color="auto"/>
        <w:right w:val="none" w:sz="0" w:space="0" w:color="auto"/>
      </w:divBdr>
    </w:div>
    <w:div w:id="1602028413">
      <w:bodyDiv w:val="1"/>
      <w:marLeft w:val="0"/>
      <w:marRight w:val="0"/>
      <w:marTop w:val="0"/>
      <w:marBottom w:val="0"/>
      <w:divBdr>
        <w:top w:val="none" w:sz="0" w:space="0" w:color="auto"/>
        <w:left w:val="none" w:sz="0" w:space="0" w:color="auto"/>
        <w:bottom w:val="none" w:sz="0" w:space="0" w:color="auto"/>
        <w:right w:val="none" w:sz="0" w:space="0" w:color="auto"/>
      </w:divBdr>
    </w:div>
    <w:div w:id="1604336737">
      <w:bodyDiv w:val="1"/>
      <w:marLeft w:val="0"/>
      <w:marRight w:val="0"/>
      <w:marTop w:val="0"/>
      <w:marBottom w:val="0"/>
      <w:divBdr>
        <w:top w:val="none" w:sz="0" w:space="0" w:color="auto"/>
        <w:left w:val="none" w:sz="0" w:space="0" w:color="auto"/>
        <w:bottom w:val="none" w:sz="0" w:space="0" w:color="auto"/>
        <w:right w:val="none" w:sz="0" w:space="0" w:color="auto"/>
      </w:divBdr>
    </w:div>
    <w:div w:id="1608535835">
      <w:bodyDiv w:val="1"/>
      <w:marLeft w:val="0"/>
      <w:marRight w:val="0"/>
      <w:marTop w:val="0"/>
      <w:marBottom w:val="0"/>
      <w:divBdr>
        <w:top w:val="none" w:sz="0" w:space="0" w:color="auto"/>
        <w:left w:val="none" w:sz="0" w:space="0" w:color="auto"/>
        <w:bottom w:val="none" w:sz="0" w:space="0" w:color="auto"/>
        <w:right w:val="none" w:sz="0" w:space="0" w:color="auto"/>
      </w:divBdr>
    </w:div>
    <w:div w:id="1609967144">
      <w:bodyDiv w:val="1"/>
      <w:marLeft w:val="0"/>
      <w:marRight w:val="0"/>
      <w:marTop w:val="0"/>
      <w:marBottom w:val="0"/>
      <w:divBdr>
        <w:top w:val="none" w:sz="0" w:space="0" w:color="auto"/>
        <w:left w:val="none" w:sz="0" w:space="0" w:color="auto"/>
        <w:bottom w:val="none" w:sz="0" w:space="0" w:color="auto"/>
        <w:right w:val="none" w:sz="0" w:space="0" w:color="auto"/>
      </w:divBdr>
    </w:div>
    <w:div w:id="1613709960">
      <w:bodyDiv w:val="1"/>
      <w:marLeft w:val="0"/>
      <w:marRight w:val="0"/>
      <w:marTop w:val="0"/>
      <w:marBottom w:val="0"/>
      <w:divBdr>
        <w:top w:val="none" w:sz="0" w:space="0" w:color="auto"/>
        <w:left w:val="none" w:sz="0" w:space="0" w:color="auto"/>
        <w:bottom w:val="none" w:sz="0" w:space="0" w:color="auto"/>
        <w:right w:val="none" w:sz="0" w:space="0" w:color="auto"/>
      </w:divBdr>
    </w:div>
    <w:div w:id="1615164789">
      <w:bodyDiv w:val="1"/>
      <w:marLeft w:val="0"/>
      <w:marRight w:val="0"/>
      <w:marTop w:val="0"/>
      <w:marBottom w:val="0"/>
      <w:divBdr>
        <w:top w:val="none" w:sz="0" w:space="0" w:color="auto"/>
        <w:left w:val="none" w:sz="0" w:space="0" w:color="auto"/>
        <w:bottom w:val="none" w:sz="0" w:space="0" w:color="auto"/>
        <w:right w:val="none" w:sz="0" w:space="0" w:color="auto"/>
      </w:divBdr>
    </w:div>
    <w:div w:id="1616136524">
      <w:bodyDiv w:val="1"/>
      <w:marLeft w:val="0"/>
      <w:marRight w:val="0"/>
      <w:marTop w:val="0"/>
      <w:marBottom w:val="0"/>
      <w:divBdr>
        <w:top w:val="none" w:sz="0" w:space="0" w:color="auto"/>
        <w:left w:val="none" w:sz="0" w:space="0" w:color="auto"/>
        <w:bottom w:val="none" w:sz="0" w:space="0" w:color="auto"/>
        <w:right w:val="none" w:sz="0" w:space="0" w:color="auto"/>
      </w:divBdr>
    </w:div>
    <w:div w:id="1618561303">
      <w:bodyDiv w:val="1"/>
      <w:marLeft w:val="0"/>
      <w:marRight w:val="0"/>
      <w:marTop w:val="0"/>
      <w:marBottom w:val="0"/>
      <w:divBdr>
        <w:top w:val="none" w:sz="0" w:space="0" w:color="auto"/>
        <w:left w:val="none" w:sz="0" w:space="0" w:color="auto"/>
        <w:bottom w:val="none" w:sz="0" w:space="0" w:color="auto"/>
        <w:right w:val="none" w:sz="0" w:space="0" w:color="auto"/>
      </w:divBdr>
    </w:div>
    <w:div w:id="1621448213">
      <w:bodyDiv w:val="1"/>
      <w:marLeft w:val="0"/>
      <w:marRight w:val="0"/>
      <w:marTop w:val="0"/>
      <w:marBottom w:val="0"/>
      <w:divBdr>
        <w:top w:val="none" w:sz="0" w:space="0" w:color="auto"/>
        <w:left w:val="none" w:sz="0" w:space="0" w:color="auto"/>
        <w:bottom w:val="none" w:sz="0" w:space="0" w:color="auto"/>
        <w:right w:val="none" w:sz="0" w:space="0" w:color="auto"/>
      </w:divBdr>
    </w:div>
    <w:div w:id="1624576384">
      <w:bodyDiv w:val="1"/>
      <w:marLeft w:val="0"/>
      <w:marRight w:val="0"/>
      <w:marTop w:val="0"/>
      <w:marBottom w:val="0"/>
      <w:divBdr>
        <w:top w:val="none" w:sz="0" w:space="0" w:color="auto"/>
        <w:left w:val="none" w:sz="0" w:space="0" w:color="auto"/>
        <w:bottom w:val="none" w:sz="0" w:space="0" w:color="auto"/>
        <w:right w:val="none" w:sz="0" w:space="0" w:color="auto"/>
      </w:divBdr>
    </w:div>
    <w:div w:id="1631595089">
      <w:bodyDiv w:val="1"/>
      <w:marLeft w:val="0"/>
      <w:marRight w:val="0"/>
      <w:marTop w:val="0"/>
      <w:marBottom w:val="0"/>
      <w:divBdr>
        <w:top w:val="none" w:sz="0" w:space="0" w:color="auto"/>
        <w:left w:val="none" w:sz="0" w:space="0" w:color="auto"/>
        <w:bottom w:val="none" w:sz="0" w:space="0" w:color="auto"/>
        <w:right w:val="none" w:sz="0" w:space="0" w:color="auto"/>
      </w:divBdr>
    </w:div>
    <w:div w:id="1659067687">
      <w:bodyDiv w:val="1"/>
      <w:marLeft w:val="0"/>
      <w:marRight w:val="0"/>
      <w:marTop w:val="0"/>
      <w:marBottom w:val="0"/>
      <w:divBdr>
        <w:top w:val="none" w:sz="0" w:space="0" w:color="auto"/>
        <w:left w:val="none" w:sz="0" w:space="0" w:color="auto"/>
        <w:bottom w:val="none" w:sz="0" w:space="0" w:color="auto"/>
        <w:right w:val="none" w:sz="0" w:space="0" w:color="auto"/>
      </w:divBdr>
    </w:div>
    <w:div w:id="1666977519">
      <w:bodyDiv w:val="1"/>
      <w:marLeft w:val="0"/>
      <w:marRight w:val="0"/>
      <w:marTop w:val="0"/>
      <w:marBottom w:val="0"/>
      <w:divBdr>
        <w:top w:val="none" w:sz="0" w:space="0" w:color="auto"/>
        <w:left w:val="none" w:sz="0" w:space="0" w:color="auto"/>
        <w:bottom w:val="none" w:sz="0" w:space="0" w:color="auto"/>
        <w:right w:val="none" w:sz="0" w:space="0" w:color="auto"/>
      </w:divBdr>
    </w:div>
    <w:div w:id="1668482813">
      <w:bodyDiv w:val="1"/>
      <w:marLeft w:val="0"/>
      <w:marRight w:val="0"/>
      <w:marTop w:val="0"/>
      <w:marBottom w:val="0"/>
      <w:divBdr>
        <w:top w:val="none" w:sz="0" w:space="0" w:color="auto"/>
        <w:left w:val="none" w:sz="0" w:space="0" w:color="auto"/>
        <w:bottom w:val="none" w:sz="0" w:space="0" w:color="auto"/>
        <w:right w:val="none" w:sz="0" w:space="0" w:color="auto"/>
      </w:divBdr>
    </w:div>
    <w:div w:id="1671366977">
      <w:bodyDiv w:val="1"/>
      <w:marLeft w:val="0"/>
      <w:marRight w:val="0"/>
      <w:marTop w:val="0"/>
      <w:marBottom w:val="0"/>
      <w:divBdr>
        <w:top w:val="none" w:sz="0" w:space="0" w:color="auto"/>
        <w:left w:val="none" w:sz="0" w:space="0" w:color="auto"/>
        <w:bottom w:val="none" w:sz="0" w:space="0" w:color="auto"/>
        <w:right w:val="none" w:sz="0" w:space="0" w:color="auto"/>
      </w:divBdr>
      <w:divsChild>
        <w:div w:id="1797024645">
          <w:marLeft w:val="0"/>
          <w:marRight w:val="0"/>
          <w:marTop w:val="0"/>
          <w:marBottom w:val="0"/>
          <w:divBdr>
            <w:top w:val="none" w:sz="0" w:space="0" w:color="auto"/>
            <w:left w:val="none" w:sz="0" w:space="0" w:color="auto"/>
            <w:bottom w:val="none" w:sz="0" w:space="0" w:color="auto"/>
            <w:right w:val="none" w:sz="0" w:space="0" w:color="auto"/>
          </w:divBdr>
          <w:divsChild>
            <w:div w:id="852576557">
              <w:marLeft w:val="0"/>
              <w:marRight w:val="0"/>
              <w:marTop w:val="0"/>
              <w:marBottom w:val="0"/>
              <w:divBdr>
                <w:top w:val="none" w:sz="0" w:space="0" w:color="auto"/>
                <w:left w:val="none" w:sz="0" w:space="0" w:color="auto"/>
                <w:bottom w:val="none" w:sz="0" w:space="0" w:color="auto"/>
                <w:right w:val="none" w:sz="0" w:space="0" w:color="auto"/>
              </w:divBdr>
              <w:divsChild>
                <w:div w:id="189191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74478">
      <w:bodyDiv w:val="1"/>
      <w:marLeft w:val="0"/>
      <w:marRight w:val="0"/>
      <w:marTop w:val="0"/>
      <w:marBottom w:val="0"/>
      <w:divBdr>
        <w:top w:val="none" w:sz="0" w:space="0" w:color="auto"/>
        <w:left w:val="none" w:sz="0" w:space="0" w:color="auto"/>
        <w:bottom w:val="none" w:sz="0" w:space="0" w:color="auto"/>
        <w:right w:val="none" w:sz="0" w:space="0" w:color="auto"/>
      </w:divBdr>
    </w:div>
    <w:div w:id="1688482803">
      <w:bodyDiv w:val="1"/>
      <w:marLeft w:val="0"/>
      <w:marRight w:val="0"/>
      <w:marTop w:val="0"/>
      <w:marBottom w:val="0"/>
      <w:divBdr>
        <w:top w:val="none" w:sz="0" w:space="0" w:color="auto"/>
        <w:left w:val="none" w:sz="0" w:space="0" w:color="auto"/>
        <w:bottom w:val="none" w:sz="0" w:space="0" w:color="auto"/>
        <w:right w:val="none" w:sz="0" w:space="0" w:color="auto"/>
      </w:divBdr>
    </w:div>
    <w:div w:id="1689452710">
      <w:bodyDiv w:val="1"/>
      <w:marLeft w:val="0"/>
      <w:marRight w:val="0"/>
      <w:marTop w:val="0"/>
      <w:marBottom w:val="0"/>
      <w:divBdr>
        <w:top w:val="none" w:sz="0" w:space="0" w:color="auto"/>
        <w:left w:val="none" w:sz="0" w:space="0" w:color="auto"/>
        <w:bottom w:val="none" w:sz="0" w:space="0" w:color="auto"/>
        <w:right w:val="none" w:sz="0" w:space="0" w:color="auto"/>
      </w:divBdr>
    </w:div>
    <w:div w:id="1689939372">
      <w:bodyDiv w:val="1"/>
      <w:marLeft w:val="0"/>
      <w:marRight w:val="0"/>
      <w:marTop w:val="0"/>
      <w:marBottom w:val="0"/>
      <w:divBdr>
        <w:top w:val="none" w:sz="0" w:space="0" w:color="auto"/>
        <w:left w:val="none" w:sz="0" w:space="0" w:color="auto"/>
        <w:bottom w:val="none" w:sz="0" w:space="0" w:color="auto"/>
        <w:right w:val="none" w:sz="0" w:space="0" w:color="auto"/>
      </w:divBdr>
    </w:div>
    <w:div w:id="1696727784">
      <w:bodyDiv w:val="1"/>
      <w:marLeft w:val="0"/>
      <w:marRight w:val="0"/>
      <w:marTop w:val="0"/>
      <w:marBottom w:val="0"/>
      <w:divBdr>
        <w:top w:val="none" w:sz="0" w:space="0" w:color="auto"/>
        <w:left w:val="none" w:sz="0" w:space="0" w:color="auto"/>
        <w:bottom w:val="none" w:sz="0" w:space="0" w:color="auto"/>
        <w:right w:val="none" w:sz="0" w:space="0" w:color="auto"/>
      </w:divBdr>
    </w:div>
    <w:div w:id="1697580809">
      <w:bodyDiv w:val="1"/>
      <w:marLeft w:val="0"/>
      <w:marRight w:val="0"/>
      <w:marTop w:val="0"/>
      <w:marBottom w:val="0"/>
      <w:divBdr>
        <w:top w:val="none" w:sz="0" w:space="0" w:color="auto"/>
        <w:left w:val="none" w:sz="0" w:space="0" w:color="auto"/>
        <w:bottom w:val="none" w:sz="0" w:space="0" w:color="auto"/>
        <w:right w:val="none" w:sz="0" w:space="0" w:color="auto"/>
      </w:divBdr>
    </w:div>
    <w:div w:id="1724015006">
      <w:bodyDiv w:val="1"/>
      <w:marLeft w:val="0"/>
      <w:marRight w:val="0"/>
      <w:marTop w:val="0"/>
      <w:marBottom w:val="0"/>
      <w:divBdr>
        <w:top w:val="none" w:sz="0" w:space="0" w:color="auto"/>
        <w:left w:val="none" w:sz="0" w:space="0" w:color="auto"/>
        <w:bottom w:val="none" w:sz="0" w:space="0" w:color="auto"/>
        <w:right w:val="none" w:sz="0" w:space="0" w:color="auto"/>
      </w:divBdr>
    </w:div>
    <w:div w:id="1726643363">
      <w:bodyDiv w:val="1"/>
      <w:marLeft w:val="0"/>
      <w:marRight w:val="0"/>
      <w:marTop w:val="0"/>
      <w:marBottom w:val="0"/>
      <w:divBdr>
        <w:top w:val="none" w:sz="0" w:space="0" w:color="auto"/>
        <w:left w:val="none" w:sz="0" w:space="0" w:color="auto"/>
        <w:bottom w:val="none" w:sz="0" w:space="0" w:color="auto"/>
        <w:right w:val="none" w:sz="0" w:space="0" w:color="auto"/>
      </w:divBdr>
    </w:div>
    <w:div w:id="1730373543">
      <w:bodyDiv w:val="1"/>
      <w:marLeft w:val="0"/>
      <w:marRight w:val="0"/>
      <w:marTop w:val="0"/>
      <w:marBottom w:val="0"/>
      <w:divBdr>
        <w:top w:val="none" w:sz="0" w:space="0" w:color="auto"/>
        <w:left w:val="none" w:sz="0" w:space="0" w:color="auto"/>
        <w:bottom w:val="none" w:sz="0" w:space="0" w:color="auto"/>
        <w:right w:val="none" w:sz="0" w:space="0" w:color="auto"/>
      </w:divBdr>
    </w:div>
    <w:div w:id="1741752610">
      <w:bodyDiv w:val="1"/>
      <w:marLeft w:val="0"/>
      <w:marRight w:val="0"/>
      <w:marTop w:val="0"/>
      <w:marBottom w:val="0"/>
      <w:divBdr>
        <w:top w:val="none" w:sz="0" w:space="0" w:color="auto"/>
        <w:left w:val="none" w:sz="0" w:space="0" w:color="auto"/>
        <w:bottom w:val="none" w:sz="0" w:space="0" w:color="auto"/>
        <w:right w:val="none" w:sz="0" w:space="0" w:color="auto"/>
      </w:divBdr>
    </w:div>
    <w:div w:id="1741753789">
      <w:bodyDiv w:val="1"/>
      <w:marLeft w:val="0"/>
      <w:marRight w:val="0"/>
      <w:marTop w:val="0"/>
      <w:marBottom w:val="0"/>
      <w:divBdr>
        <w:top w:val="none" w:sz="0" w:space="0" w:color="auto"/>
        <w:left w:val="none" w:sz="0" w:space="0" w:color="auto"/>
        <w:bottom w:val="none" w:sz="0" w:space="0" w:color="auto"/>
        <w:right w:val="none" w:sz="0" w:space="0" w:color="auto"/>
      </w:divBdr>
    </w:div>
    <w:div w:id="1751999256">
      <w:bodyDiv w:val="1"/>
      <w:marLeft w:val="0"/>
      <w:marRight w:val="0"/>
      <w:marTop w:val="0"/>
      <w:marBottom w:val="0"/>
      <w:divBdr>
        <w:top w:val="none" w:sz="0" w:space="0" w:color="auto"/>
        <w:left w:val="none" w:sz="0" w:space="0" w:color="auto"/>
        <w:bottom w:val="none" w:sz="0" w:space="0" w:color="auto"/>
        <w:right w:val="none" w:sz="0" w:space="0" w:color="auto"/>
      </w:divBdr>
    </w:div>
    <w:div w:id="1763527765">
      <w:bodyDiv w:val="1"/>
      <w:marLeft w:val="0"/>
      <w:marRight w:val="0"/>
      <w:marTop w:val="0"/>
      <w:marBottom w:val="0"/>
      <w:divBdr>
        <w:top w:val="none" w:sz="0" w:space="0" w:color="auto"/>
        <w:left w:val="none" w:sz="0" w:space="0" w:color="auto"/>
        <w:bottom w:val="none" w:sz="0" w:space="0" w:color="auto"/>
        <w:right w:val="none" w:sz="0" w:space="0" w:color="auto"/>
      </w:divBdr>
    </w:div>
    <w:div w:id="1767535356">
      <w:bodyDiv w:val="1"/>
      <w:marLeft w:val="0"/>
      <w:marRight w:val="0"/>
      <w:marTop w:val="0"/>
      <w:marBottom w:val="0"/>
      <w:divBdr>
        <w:top w:val="none" w:sz="0" w:space="0" w:color="auto"/>
        <w:left w:val="none" w:sz="0" w:space="0" w:color="auto"/>
        <w:bottom w:val="none" w:sz="0" w:space="0" w:color="auto"/>
        <w:right w:val="none" w:sz="0" w:space="0" w:color="auto"/>
      </w:divBdr>
      <w:divsChild>
        <w:div w:id="456291204">
          <w:marLeft w:val="0"/>
          <w:marRight w:val="0"/>
          <w:marTop w:val="0"/>
          <w:marBottom w:val="0"/>
          <w:divBdr>
            <w:top w:val="none" w:sz="0" w:space="0" w:color="auto"/>
            <w:left w:val="none" w:sz="0" w:space="0" w:color="auto"/>
            <w:bottom w:val="none" w:sz="0" w:space="0" w:color="auto"/>
            <w:right w:val="none" w:sz="0" w:space="0" w:color="auto"/>
          </w:divBdr>
          <w:divsChild>
            <w:div w:id="1895850719">
              <w:marLeft w:val="0"/>
              <w:marRight w:val="0"/>
              <w:marTop w:val="0"/>
              <w:marBottom w:val="0"/>
              <w:divBdr>
                <w:top w:val="none" w:sz="0" w:space="0" w:color="auto"/>
                <w:left w:val="none" w:sz="0" w:space="0" w:color="auto"/>
                <w:bottom w:val="none" w:sz="0" w:space="0" w:color="auto"/>
                <w:right w:val="none" w:sz="0" w:space="0" w:color="auto"/>
              </w:divBdr>
            </w:div>
          </w:divsChild>
        </w:div>
        <w:div w:id="1151673646">
          <w:marLeft w:val="0"/>
          <w:marRight w:val="0"/>
          <w:marTop w:val="0"/>
          <w:marBottom w:val="0"/>
          <w:divBdr>
            <w:top w:val="none" w:sz="0" w:space="0" w:color="auto"/>
            <w:left w:val="none" w:sz="0" w:space="0" w:color="auto"/>
            <w:bottom w:val="none" w:sz="0" w:space="0" w:color="auto"/>
            <w:right w:val="none" w:sz="0" w:space="0" w:color="auto"/>
          </w:divBdr>
        </w:div>
      </w:divsChild>
    </w:div>
    <w:div w:id="1775515477">
      <w:bodyDiv w:val="1"/>
      <w:marLeft w:val="0"/>
      <w:marRight w:val="0"/>
      <w:marTop w:val="0"/>
      <w:marBottom w:val="0"/>
      <w:divBdr>
        <w:top w:val="none" w:sz="0" w:space="0" w:color="auto"/>
        <w:left w:val="none" w:sz="0" w:space="0" w:color="auto"/>
        <w:bottom w:val="none" w:sz="0" w:space="0" w:color="auto"/>
        <w:right w:val="none" w:sz="0" w:space="0" w:color="auto"/>
      </w:divBdr>
    </w:div>
    <w:div w:id="1794518988">
      <w:bodyDiv w:val="1"/>
      <w:marLeft w:val="0"/>
      <w:marRight w:val="0"/>
      <w:marTop w:val="0"/>
      <w:marBottom w:val="0"/>
      <w:divBdr>
        <w:top w:val="none" w:sz="0" w:space="0" w:color="auto"/>
        <w:left w:val="none" w:sz="0" w:space="0" w:color="auto"/>
        <w:bottom w:val="none" w:sz="0" w:space="0" w:color="auto"/>
        <w:right w:val="none" w:sz="0" w:space="0" w:color="auto"/>
      </w:divBdr>
      <w:divsChild>
        <w:div w:id="97720598">
          <w:marLeft w:val="0"/>
          <w:marRight w:val="0"/>
          <w:marTop w:val="0"/>
          <w:marBottom w:val="0"/>
          <w:divBdr>
            <w:top w:val="none" w:sz="0" w:space="0" w:color="auto"/>
            <w:left w:val="none" w:sz="0" w:space="0" w:color="auto"/>
            <w:bottom w:val="none" w:sz="0" w:space="0" w:color="auto"/>
            <w:right w:val="none" w:sz="0" w:space="0" w:color="auto"/>
          </w:divBdr>
          <w:divsChild>
            <w:div w:id="62139702">
              <w:marLeft w:val="0"/>
              <w:marRight w:val="0"/>
              <w:marTop w:val="0"/>
              <w:marBottom w:val="0"/>
              <w:divBdr>
                <w:top w:val="none" w:sz="0" w:space="0" w:color="auto"/>
                <w:left w:val="none" w:sz="0" w:space="0" w:color="auto"/>
                <w:bottom w:val="none" w:sz="0" w:space="0" w:color="auto"/>
                <w:right w:val="none" w:sz="0" w:space="0" w:color="auto"/>
              </w:divBdr>
              <w:divsChild>
                <w:div w:id="1193612800">
                  <w:marLeft w:val="0"/>
                  <w:marRight w:val="0"/>
                  <w:marTop w:val="0"/>
                  <w:marBottom w:val="0"/>
                  <w:divBdr>
                    <w:top w:val="none" w:sz="0" w:space="0" w:color="auto"/>
                    <w:left w:val="none" w:sz="0" w:space="0" w:color="auto"/>
                    <w:bottom w:val="none" w:sz="0" w:space="0" w:color="auto"/>
                    <w:right w:val="none" w:sz="0" w:space="0" w:color="auto"/>
                  </w:divBdr>
                  <w:divsChild>
                    <w:div w:id="649599840">
                      <w:marLeft w:val="0"/>
                      <w:marRight w:val="0"/>
                      <w:marTop w:val="0"/>
                      <w:marBottom w:val="0"/>
                      <w:divBdr>
                        <w:top w:val="none" w:sz="0" w:space="0" w:color="auto"/>
                        <w:left w:val="none" w:sz="0" w:space="0" w:color="auto"/>
                        <w:bottom w:val="none" w:sz="0" w:space="0" w:color="auto"/>
                        <w:right w:val="none" w:sz="0" w:space="0" w:color="auto"/>
                      </w:divBdr>
                      <w:divsChild>
                        <w:div w:id="102301908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 w:id="1794863402">
      <w:bodyDiv w:val="1"/>
      <w:marLeft w:val="0"/>
      <w:marRight w:val="0"/>
      <w:marTop w:val="0"/>
      <w:marBottom w:val="0"/>
      <w:divBdr>
        <w:top w:val="none" w:sz="0" w:space="0" w:color="auto"/>
        <w:left w:val="none" w:sz="0" w:space="0" w:color="auto"/>
        <w:bottom w:val="none" w:sz="0" w:space="0" w:color="auto"/>
        <w:right w:val="none" w:sz="0" w:space="0" w:color="auto"/>
      </w:divBdr>
    </w:div>
    <w:div w:id="1813061219">
      <w:bodyDiv w:val="1"/>
      <w:marLeft w:val="0"/>
      <w:marRight w:val="0"/>
      <w:marTop w:val="0"/>
      <w:marBottom w:val="0"/>
      <w:divBdr>
        <w:top w:val="none" w:sz="0" w:space="0" w:color="auto"/>
        <w:left w:val="none" w:sz="0" w:space="0" w:color="auto"/>
        <w:bottom w:val="none" w:sz="0" w:space="0" w:color="auto"/>
        <w:right w:val="none" w:sz="0" w:space="0" w:color="auto"/>
      </w:divBdr>
    </w:div>
    <w:div w:id="1816214049">
      <w:bodyDiv w:val="1"/>
      <w:marLeft w:val="0"/>
      <w:marRight w:val="0"/>
      <w:marTop w:val="0"/>
      <w:marBottom w:val="0"/>
      <w:divBdr>
        <w:top w:val="none" w:sz="0" w:space="0" w:color="auto"/>
        <w:left w:val="none" w:sz="0" w:space="0" w:color="auto"/>
        <w:bottom w:val="none" w:sz="0" w:space="0" w:color="auto"/>
        <w:right w:val="none" w:sz="0" w:space="0" w:color="auto"/>
      </w:divBdr>
    </w:div>
    <w:div w:id="1817718494">
      <w:bodyDiv w:val="1"/>
      <w:marLeft w:val="0"/>
      <w:marRight w:val="0"/>
      <w:marTop w:val="0"/>
      <w:marBottom w:val="0"/>
      <w:divBdr>
        <w:top w:val="none" w:sz="0" w:space="0" w:color="auto"/>
        <w:left w:val="none" w:sz="0" w:space="0" w:color="auto"/>
        <w:bottom w:val="none" w:sz="0" w:space="0" w:color="auto"/>
        <w:right w:val="none" w:sz="0" w:space="0" w:color="auto"/>
      </w:divBdr>
    </w:div>
    <w:div w:id="1821312788">
      <w:bodyDiv w:val="1"/>
      <w:marLeft w:val="0"/>
      <w:marRight w:val="0"/>
      <w:marTop w:val="0"/>
      <w:marBottom w:val="0"/>
      <w:divBdr>
        <w:top w:val="none" w:sz="0" w:space="0" w:color="auto"/>
        <w:left w:val="none" w:sz="0" w:space="0" w:color="auto"/>
        <w:bottom w:val="none" w:sz="0" w:space="0" w:color="auto"/>
        <w:right w:val="none" w:sz="0" w:space="0" w:color="auto"/>
      </w:divBdr>
    </w:div>
    <w:div w:id="1823081220">
      <w:bodyDiv w:val="1"/>
      <w:marLeft w:val="0"/>
      <w:marRight w:val="0"/>
      <w:marTop w:val="0"/>
      <w:marBottom w:val="0"/>
      <w:divBdr>
        <w:top w:val="none" w:sz="0" w:space="0" w:color="auto"/>
        <w:left w:val="none" w:sz="0" w:space="0" w:color="auto"/>
        <w:bottom w:val="none" w:sz="0" w:space="0" w:color="auto"/>
        <w:right w:val="none" w:sz="0" w:space="0" w:color="auto"/>
      </w:divBdr>
    </w:div>
    <w:div w:id="1837644656">
      <w:bodyDiv w:val="1"/>
      <w:marLeft w:val="0"/>
      <w:marRight w:val="0"/>
      <w:marTop w:val="0"/>
      <w:marBottom w:val="0"/>
      <w:divBdr>
        <w:top w:val="none" w:sz="0" w:space="0" w:color="auto"/>
        <w:left w:val="none" w:sz="0" w:space="0" w:color="auto"/>
        <w:bottom w:val="none" w:sz="0" w:space="0" w:color="auto"/>
        <w:right w:val="none" w:sz="0" w:space="0" w:color="auto"/>
      </w:divBdr>
    </w:div>
    <w:div w:id="1851673544">
      <w:bodyDiv w:val="1"/>
      <w:marLeft w:val="0"/>
      <w:marRight w:val="0"/>
      <w:marTop w:val="0"/>
      <w:marBottom w:val="0"/>
      <w:divBdr>
        <w:top w:val="none" w:sz="0" w:space="0" w:color="auto"/>
        <w:left w:val="none" w:sz="0" w:space="0" w:color="auto"/>
        <w:bottom w:val="none" w:sz="0" w:space="0" w:color="auto"/>
        <w:right w:val="none" w:sz="0" w:space="0" w:color="auto"/>
      </w:divBdr>
    </w:div>
    <w:div w:id="1853450178">
      <w:bodyDiv w:val="1"/>
      <w:marLeft w:val="0"/>
      <w:marRight w:val="0"/>
      <w:marTop w:val="0"/>
      <w:marBottom w:val="0"/>
      <w:divBdr>
        <w:top w:val="none" w:sz="0" w:space="0" w:color="auto"/>
        <w:left w:val="none" w:sz="0" w:space="0" w:color="auto"/>
        <w:bottom w:val="none" w:sz="0" w:space="0" w:color="auto"/>
        <w:right w:val="none" w:sz="0" w:space="0" w:color="auto"/>
      </w:divBdr>
    </w:div>
    <w:div w:id="1853454025">
      <w:bodyDiv w:val="1"/>
      <w:marLeft w:val="0"/>
      <w:marRight w:val="0"/>
      <w:marTop w:val="0"/>
      <w:marBottom w:val="0"/>
      <w:divBdr>
        <w:top w:val="none" w:sz="0" w:space="0" w:color="auto"/>
        <w:left w:val="none" w:sz="0" w:space="0" w:color="auto"/>
        <w:bottom w:val="none" w:sz="0" w:space="0" w:color="auto"/>
        <w:right w:val="none" w:sz="0" w:space="0" w:color="auto"/>
      </w:divBdr>
      <w:divsChild>
        <w:div w:id="42296019">
          <w:marLeft w:val="0"/>
          <w:marRight w:val="0"/>
          <w:marTop w:val="0"/>
          <w:marBottom w:val="0"/>
          <w:divBdr>
            <w:top w:val="none" w:sz="0" w:space="0" w:color="auto"/>
            <w:left w:val="none" w:sz="0" w:space="0" w:color="auto"/>
            <w:bottom w:val="none" w:sz="0" w:space="0" w:color="auto"/>
            <w:right w:val="none" w:sz="0" w:space="0" w:color="auto"/>
          </w:divBdr>
        </w:div>
        <w:div w:id="140854670">
          <w:marLeft w:val="0"/>
          <w:marRight w:val="0"/>
          <w:marTop w:val="0"/>
          <w:marBottom w:val="0"/>
          <w:divBdr>
            <w:top w:val="none" w:sz="0" w:space="0" w:color="auto"/>
            <w:left w:val="none" w:sz="0" w:space="0" w:color="auto"/>
            <w:bottom w:val="none" w:sz="0" w:space="0" w:color="auto"/>
            <w:right w:val="none" w:sz="0" w:space="0" w:color="auto"/>
          </w:divBdr>
        </w:div>
        <w:div w:id="255328488">
          <w:marLeft w:val="0"/>
          <w:marRight w:val="0"/>
          <w:marTop w:val="0"/>
          <w:marBottom w:val="0"/>
          <w:divBdr>
            <w:top w:val="none" w:sz="0" w:space="0" w:color="auto"/>
            <w:left w:val="none" w:sz="0" w:space="0" w:color="auto"/>
            <w:bottom w:val="none" w:sz="0" w:space="0" w:color="auto"/>
            <w:right w:val="none" w:sz="0" w:space="0" w:color="auto"/>
          </w:divBdr>
        </w:div>
        <w:div w:id="368605589">
          <w:marLeft w:val="0"/>
          <w:marRight w:val="0"/>
          <w:marTop w:val="0"/>
          <w:marBottom w:val="0"/>
          <w:divBdr>
            <w:top w:val="none" w:sz="0" w:space="0" w:color="auto"/>
            <w:left w:val="none" w:sz="0" w:space="0" w:color="auto"/>
            <w:bottom w:val="none" w:sz="0" w:space="0" w:color="auto"/>
            <w:right w:val="none" w:sz="0" w:space="0" w:color="auto"/>
          </w:divBdr>
        </w:div>
        <w:div w:id="378089772">
          <w:marLeft w:val="0"/>
          <w:marRight w:val="0"/>
          <w:marTop w:val="0"/>
          <w:marBottom w:val="0"/>
          <w:divBdr>
            <w:top w:val="none" w:sz="0" w:space="0" w:color="auto"/>
            <w:left w:val="none" w:sz="0" w:space="0" w:color="auto"/>
            <w:bottom w:val="none" w:sz="0" w:space="0" w:color="auto"/>
            <w:right w:val="none" w:sz="0" w:space="0" w:color="auto"/>
          </w:divBdr>
        </w:div>
        <w:div w:id="923950119">
          <w:marLeft w:val="0"/>
          <w:marRight w:val="0"/>
          <w:marTop w:val="0"/>
          <w:marBottom w:val="0"/>
          <w:divBdr>
            <w:top w:val="none" w:sz="0" w:space="0" w:color="auto"/>
            <w:left w:val="none" w:sz="0" w:space="0" w:color="auto"/>
            <w:bottom w:val="none" w:sz="0" w:space="0" w:color="auto"/>
            <w:right w:val="none" w:sz="0" w:space="0" w:color="auto"/>
          </w:divBdr>
        </w:div>
        <w:div w:id="1074352286">
          <w:marLeft w:val="0"/>
          <w:marRight w:val="0"/>
          <w:marTop w:val="0"/>
          <w:marBottom w:val="0"/>
          <w:divBdr>
            <w:top w:val="none" w:sz="0" w:space="0" w:color="auto"/>
            <w:left w:val="none" w:sz="0" w:space="0" w:color="auto"/>
            <w:bottom w:val="none" w:sz="0" w:space="0" w:color="auto"/>
            <w:right w:val="none" w:sz="0" w:space="0" w:color="auto"/>
          </w:divBdr>
        </w:div>
        <w:div w:id="1253011221">
          <w:marLeft w:val="0"/>
          <w:marRight w:val="0"/>
          <w:marTop w:val="0"/>
          <w:marBottom w:val="0"/>
          <w:divBdr>
            <w:top w:val="none" w:sz="0" w:space="0" w:color="auto"/>
            <w:left w:val="none" w:sz="0" w:space="0" w:color="auto"/>
            <w:bottom w:val="none" w:sz="0" w:space="0" w:color="auto"/>
            <w:right w:val="none" w:sz="0" w:space="0" w:color="auto"/>
          </w:divBdr>
        </w:div>
        <w:div w:id="1288004233">
          <w:marLeft w:val="0"/>
          <w:marRight w:val="0"/>
          <w:marTop w:val="0"/>
          <w:marBottom w:val="0"/>
          <w:divBdr>
            <w:top w:val="none" w:sz="0" w:space="0" w:color="auto"/>
            <w:left w:val="none" w:sz="0" w:space="0" w:color="auto"/>
            <w:bottom w:val="none" w:sz="0" w:space="0" w:color="auto"/>
            <w:right w:val="none" w:sz="0" w:space="0" w:color="auto"/>
          </w:divBdr>
        </w:div>
        <w:div w:id="1307783437">
          <w:marLeft w:val="0"/>
          <w:marRight w:val="0"/>
          <w:marTop w:val="0"/>
          <w:marBottom w:val="0"/>
          <w:divBdr>
            <w:top w:val="none" w:sz="0" w:space="0" w:color="auto"/>
            <w:left w:val="none" w:sz="0" w:space="0" w:color="auto"/>
            <w:bottom w:val="none" w:sz="0" w:space="0" w:color="auto"/>
            <w:right w:val="none" w:sz="0" w:space="0" w:color="auto"/>
          </w:divBdr>
        </w:div>
        <w:div w:id="1333531344">
          <w:marLeft w:val="0"/>
          <w:marRight w:val="0"/>
          <w:marTop w:val="0"/>
          <w:marBottom w:val="0"/>
          <w:divBdr>
            <w:top w:val="none" w:sz="0" w:space="0" w:color="auto"/>
            <w:left w:val="none" w:sz="0" w:space="0" w:color="auto"/>
            <w:bottom w:val="none" w:sz="0" w:space="0" w:color="auto"/>
            <w:right w:val="none" w:sz="0" w:space="0" w:color="auto"/>
          </w:divBdr>
        </w:div>
        <w:div w:id="1663317580">
          <w:marLeft w:val="0"/>
          <w:marRight w:val="0"/>
          <w:marTop w:val="0"/>
          <w:marBottom w:val="0"/>
          <w:divBdr>
            <w:top w:val="none" w:sz="0" w:space="0" w:color="auto"/>
            <w:left w:val="none" w:sz="0" w:space="0" w:color="auto"/>
            <w:bottom w:val="none" w:sz="0" w:space="0" w:color="auto"/>
            <w:right w:val="none" w:sz="0" w:space="0" w:color="auto"/>
          </w:divBdr>
        </w:div>
        <w:div w:id="1817532807">
          <w:marLeft w:val="0"/>
          <w:marRight w:val="0"/>
          <w:marTop w:val="0"/>
          <w:marBottom w:val="0"/>
          <w:divBdr>
            <w:top w:val="none" w:sz="0" w:space="0" w:color="auto"/>
            <w:left w:val="none" w:sz="0" w:space="0" w:color="auto"/>
            <w:bottom w:val="none" w:sz="0" w:space="0" w:color="auto"/>
            <w:right w:val="none" w:sz="0" w:space="0" w:color="auto"/>
          </w:divBdr>
        </w:div>
        <w:div w:id="2033526515">
          <w:marLeft w:val="0"/>
          <w:marRight w:val="0"/>
          <w:marTop w:val="0"/>
          <w:marBottom w:val="0"/>
          <w:divBdr>
            <w:top w:val="none" w:sz="0" w:space="0" w:color="auto"/>
            <w:left w:val="none" w:sz="0" w:space="0" w:color="auto"/>
            <w:bottom w:val="none" w:sz="0" w:space="0" w:color="auto"/>
            <w:right w:val="none" w:sz="0" w:space="0" w:color="auto"/>
          </w:divBdr>
        </w:div>
        <w:div w:id="2131897010">
          <w:marLeft w:val="0"/>
          <w:marRight w:val="0"/>
          <w:marTop w:val="0"/>
          <w:marBottom w:val="0"/>
          <w:divBdr>
            <w:top w:val="none" w:sz="0" w:space="0" w:color="auto"/>
            <w:left w:val="none" w:sz="0" w:space="0" w:color="auto"/>
            <w:bottom w:val="none" w:sz="0" w:space="0" w:color="auto"/>
            <w:right w:val="none" w:sz="0" w:space="0" w:color="auto"/>
          </w:divBdr>
        </w:div>
      </w:divsChild>
    </w:div>
    <w:div w:id="1854568117">
      <w:bodyDiv w:val="1"/>
      <w:marLeft w:val="0"/>
      <w:marRight w:val="0"/>
      <w:marTop w:val="0"/>
      <w:marBottom w:val="0"/>
      <w:divBdr>
        <w:top w:val="none" w:sz="0" w:space="0" w:color="auto"/>
        <w:left w:val="none" w:sz="0" w:space="0" w:color="auto"/>
        <w:bottom w:val="none" w:sz="0" w:space="0" w:color="auto"/>
        <w:right w:val="none" w:sz="0" w:space="0" w:color="auto"/>
      </w:divBdr>
    </w:div>
    <w:div w:id="1861158174">
      <w:bodyDiv w:val="1"/>
      <w:marLeft w:val="0"/>
      <w:marRight w:val="0"/>
      <w:marTop w:val="0"/>
      <w:marBottom w:val="0"/>
      <w:divBdr>
        <w:top w:val="none" w:sz="0" w:space="0" w:color="auto"/>
        <w:left w:val="none" w:sz="0" w:space="0" w:color="auto"/>
        <w:bottom w:val="none" w:sz="0" w:space="0" w:color="auto"/>
        <w:right w:val="none" w:sz="0" w:space="0" w:color="auto"/>
      </w:divBdr>
    </w:div>
    <w:div w:id="1861354619">
      <w:bodyDiv w:val="1"/>
      <w:marLeft w:val="0"/>
      <w:marRight w:val="0"/>
      <w:marTop w:val="0"/>
      <w:marBottom w:val="0"/>
      <w:divBdr>
        <w:top w:val="none" w:sz="0" w:space="0" w:color="auto"/>
        <w:left w:val="none" w:sz="0" w:space="0" w:color="auto"/>
        <w:bottom w:val="none" w:sz="0" w:space="0" w:color="auto"/>
        <w:right w:val="none" w:sz="0" w:space="0" w:color="auto"/>
      </w:divBdr>
    </w:div>
    <w:div w:id="1863283468">
      <w:bodyDiv w:val="1"/>
      <w:marLeft w:val="0"/>
      <w:marRight w:val="0"/>
      <w:marTop w:val="0"/>
      <w:marBottom w:val="0"/>
      <w:divBdr>
        <w:top w:val="none" w:sz="0" w:space="0" w:color="auto"/>
        <w:left w:val="none" w:sz="0" w:space="0" w:color="auto"/>
        <w:bottom w:val="none" w:sz="0" w:space="0" w:color="auto"/>
        <w:right w:val="none" w:sz="0" w:space="0" w:color="auto"/>
      </w:divBdr>
    </w:div>
    <w:div w:id="1867594487">
      <w:bodyDiv w:val="1"/>
      <w:marLeft w:val="0"/>
      <w:marRight w:val="0"/>
      <w:marTop w:val="0"/>
      <w:marBottom w:val="0"/>
      <w:divBdr>
        <w:top w:val="none" w:sz="0" w:space="0" w:color="auto"/>
        <w:left w:val="none" w:sz="0" w:space="0" w:color="auto"/>
        <w:bottom w:val="none" w:sz="0" w:space="0" w:color="auto"/>
        <w:right w:val="none" w:sz="0" w:space="0" w:color="auto"/>
      </w:divBdr>
    </w:div>
    <w:div w:id="1870869985">
      <w:bodyDiv w:val="1"/>
      <w:marLeft w:val="0"/>
      <w:marRight w:val="0"/>
      <w:marTop w:val="0"/>
      <w:marBottom w:val="0"/>
      <w:divBdr>
        <w:top w:val="none" w:sz="0" w:space="0" w:color="auto"/>
        <w:left w:val="none" w:sz="0" w:space="0" w:color="auto"/>
        <w:bottom w:val="none" w:sz="0" w:space="0" w:color="auto"/>
        <w:right w:val="none" w:sz="0" w:space="0" w:color="auto"/>
      </w:divBdr>
    </w:div>
    <w:div w:id="1882210230">
      <w:bodyDiv w:val="1"/>
      <w:marLeft w:val="0"/>
      <w:marRight w:val="0"/>
      <w:marTop w:val="0"/>
      <w:marBottom w:val="0"/>
      <w:divBdr>
        <w:top w:val="none" w:sz="0" w:space="0" w:color="auto"/>
        <w:left w:val="none" w:sz="0" w:space="0" w:color="auto"/>
        <w:bottom w:val="none" w:sz="0" w:space="0" w:color="auto"/>
        <w:right w:val="none" w:sz="0" w:space="0" w:color="auto"/>
      </w:divBdr>
    </w:div>
    <w:div w:id="1887721243">
      <w:bodyDiv w:val="1"/>
      <w:marLeft w:val="0"/>
      <w:marRight w:val="0"/>
      <w:marTop w:val="0"/>
      <w:marBottom w:val="0"/>
      <w:divBdr>
        <w:top w:val="none" w:sz="0" w:space="0" w:color="auto"/>
        <w:left w:val="none" w:sz="0" w:space="0" w:color="auto"/>
        <w:bottom w:val="none" w:sz="0" w:space="0" w:color="auto"/>
        <w:right w:val="none" w:sz="0" w:space="0" w:color="auto"/>
      </w:divBdr>
    </w:div>
    <w:div w:id="1891266853">
      <w:bodyDiv w:val="1"/>
      <w:marLeft w:val="0"/>
      <w:marRight w:val="0"/>
      <w:marTop w:val="0"/>
      <w:marBottom w:val="0"/>
      <w:divBdr>
        <w:top w:val="none" w:sz="0" w:space="0" w:color="auto"/>
        <w:left w:val="none" w:sz="0" w:space="0" w:color="auto"/>
        <w:bottom w:val="none" w:sz="0" w:space="0" w:color="auto"/>
        <w:right w:val="none" w:sz="0" w:space="0" w:color="auto"/>
      </w:divBdr>
    </w:div>
    <w:div w:id="1892568492">
      <w:bodyDiv w:val="1"/>
      <w:marLeft w:val="0"/>
      <w:marRight w:val="0"/>
      <w:marTop w:val="0"/>
      <w:marBottom w:val="0"/>
      <w:divBdr>
        <w:top w:val="none" w:sz="0" w:space="0" w:color="auto"/>
        <w:left w:val="none" w:sz="0" w:space="0" w:color="auto"/>
        <w:bottom w:val="none" w:sz="0" w:space="0" w:color="auto"/>
        <w:right w:val="none" w:sz="0" w:space="0" w:color="auto"/>
      </w:divBdr>
    </w:div>
    <w:div w:id="1892572383">
      <w:bodyDiv w:val="1"/>
      <w:marLeft w:val="0"/>
      <w:marRight w:val="0"/>
      <w:marTop w:val="0"/>
      <w:marBottom w:val="0"/>
      <w:divBdr>
        <w:top w:val="none" w:sz="0" w:space="0" w:color="auto"/>
        <w:left w:val="none" w:sz="0" w:space="0" w:color="auto"/>
        <w:bottom w:val="none" w:sz="0" w:space="0" w:color="auto"/>
        <w:right w:val="none" w:sz="0" w:space="0" w:color="auto"/>
      </w:divBdr>
    </w:div>
    <w:div w:id="1893426236">
      <w:bodyDiv w:val="1"/>
      <w:marLeft w:val="0"/>
      <w:marRight w:val="0"/>
      <w:marTop w:val="0"/>
      <w:marBottom w:val="0"/>
      <w:divBdr>
        <w:top w:val="none" w:sz="0" w:space="0" w:color="auto"/>
        <w:left w:val="none" w:sz="0" w:space="0" w:color="auto"/>
        <w:bottom w:val="none" w:sz="0" w:space="0" w:color="auto"/>
        <w:right w:val="none" w:sz="0" w:space="0" w:color="auto"/>
      </w:divBdr>
    </w:div>
    <w:div w:id="1900897463">
      <w:bodyDiv w:val="1"/>
      <w:marLeft w:val="0"/>
      <w:marRight w:val="0"/>
      <w:marTop w:val="0"/>
      <w:marBottom w:val="0"/>
      <w:divBdr>
        <w:top w:val="none" w:sz="0" w:space="0" w:color="auto"/>
        <w:left w:val="none" w:sz="0" w:space="0" w:color="auto"/>
        <w:bottom w:val="none" w:sz="0" w:space="0" w:color="auto"/>
        <w:right w:val="none" w:sz="0" w:space="0" w:color="auto"/>
      </w:divBdr>
    </w:div>
    <w:div w:id="1906721859">
      <w:bodyDiv w:val="1"/>
      <w:marLeft w:val="0"/>
      <w:marRight w:val="0"/>
      <w:marTop w:val="0"/>
      <w:marBottom w:val="0"/>
      <w:divBdr>
        <w:top w:val="none" w:sz="0" w:space="0" w:color="auto"/>
        <w:left w:val="none" w:sz="0" w:space="0" w:color="auto"/>
        <w:bottom w:val="none" w:sz="0" w:space="0" w:color="auto"/>
        <w:right w:val="none" w:sz="0" w:space="0" w:color="auto"/>
      </w:divBdr>
    </w:div>
    <w:div w:id="1922132518">
      <w:bodyDiv w:val="1"/>
      <w:marLeft w:val="0"/>
      <w:marRight w:val="0"/>
      <w:marTop w:val="0"/>
      <w:marBottom w:val="0"/>
      <w:divBdr>
        <w:top w:val="none" w:sz="0" w:space="0" w:color="auto"/>
        <w:left w:val="none" w:sz="0" w:space="0" w:color="auto"/>
        <w:bottom w:val="none" w:sz="0" w:space="0" w:color="auto"/>
        <w:right w:val="none" w:sz="0" w:space="0" w:color="auto"/>
      </w:divBdr>
      <w:divsChild>
        <w:div w:id="1840584909">
          <w:marLeft w:val="0"/>
          <w:marRight w:val="0"/>
          <w:marTop w:val="0"/>
          <w:marBottom w:val="0"/>
          <w:divBdr>
            <w:top w:val="none" w:sz="0" w:space="0" w:color="auto"/>
            <w:left w:val="none" w:sz="0" w:space="0" w:color="auto"/>
            <w:bottom w:val="none" w:sz="0" w:space="0" w:color="auto"/>
            <w:right w:val="none" w:sz="0" w:space="0" w:color="auto"/>
          </w:divBdr>
          <w:divsChild>
            <w:div w:id="1833180095">
              <w:marLeft w:val="0"/>
              <w:marRight w:val="0"/>
              <w:marTop w:val="0"/>
              <w:marBottom w:val="0"/>
              <w:divBdr>
                <w:top w:val="none" w:sz="0" w:space="0" w:color="auto"/>
                <w:left w:val="none" w:sz="0" w:space="0" w:color="auto"/>
                <w:bottom w:val="none" w:sz="0" w:space="0" w:color="auto"/>
                <w:right w:val="none" w:sz="0" w:space="0" w:color="auto"/>
              </w:divBdr>
              <w:divsChild>
                <w:div w:id="11509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94301">
      <w:bodyDiv w:val="1"/>
      <w:marLeft w:val="0"/>
      <w:marRight w:val="0"/>
      <w:marTop w:val="0"/>
      <w:marBottom w:val="0"/>
      <w:divBdr>
        <w:top w:val="none" w:sz="0" w:space="0" w:color="auto"/>
        <w:left w:val="none" w:sz="0" w:space="0" w:color="auto"/>
        <w:bottom w:val="none" w:sz="0" w:space="0" w:color="auto"/>
        <w:right w:val="none" w:sz="0" w:space="0" w:color="auto"/>
      </w:divBdr>
    </w:div>
    <w:div w:id="1932817637">
      <w:bodyDiv w:val="1"/>
      <w:marLeft w:val="0"/>
      <w:marRight w:val="0"/>
      <w:marTop w:val="0"/>
      <w:marBottom w:val="0"/>
      <w:divBdr>
        <w:top w:val="none" w:sz="0" w:space="0" w:color="auto"/>
        <w:left w:val="none" w:sz="0" w:space="0" w:color="auto"/>
        <w:bottom w:val="none" w:sz="0" w:space="0" w:color="auto"/>
        <w:right w:val="none" w:sz="0" w:space="0" w:color="auto"/>
      </w:divBdr>
    </w:div>
    <w:div w:id="1940141674">
      <w:bodyDiv w:val="1"/>
      <w:marLeft w:val="0"/>
      <w:marRight w:val="0"/>
      <w:marTop w:val="0"/>
      <w:marBottom w:val="0"/>
      <w:divBdr>
        <w:top w:val="none" w:sz="0" w:space="0" w:color="auto"/>
        <w:left w:val="none" w:sz="0" w:space="0" w:color="auto"/>
        <w:bottom w:val="none" w:sz="0" w:space="0" w:color="auto"/>
        <w:right w:val="none" w:sz="0" w:space="0" w:color="auto"/>
      </w:divBdr>
    </w:div>
    <w:div w:id="1946813969">
      <w:bodyDiv w:val="1"/>
      <w:marLeft w:val="0"/>
      <w:marRight w:val="0"/>
      <w:marTop w:val="0"/>
      <w:marBottom w:val="0"/>
      <w:divBdr>
        <w:top w:val="none" w:sz="0" w:space="0" w:color="auto"/>
        <w:left w:val="none" w:sz="0" w:space="0" w:color="auto"/>
        <w:bottom w:val="none" w:sz="0" w:space="0" w:color="auto"/>
        <w:right w:val="none" w:sz="0" w:space="0" w:color="auto"/>
      </w:divBdr>
    </w:div>
    <w:div w:id="1955819199">
      <w:bodyDiv w:val="1"/>
      <w:marLeft w:val="0"/>
      <w:marRight w:val="0"/>
      <w:marTop w:val="0"/>
      <w:marBottom w:val="0"/>
      <w:divBdr>
        <w:top w:val="none" w:sz="0" w:space="0" w:color="auto"/>
        <w:left w:val="none" w:sz="0" w:space="0" w:color="auto"/>
        <w:bottom w:val="none" w:sz="0" w:space="0" w:color="auto"/>
        <w:right w:val="none" w:sz="0" w:space="0" w:color="auto"/>
      </w:divBdr>
    </w:div>
    <w:div w:id="1965847070">
      <w:bodyDiv w:val="1"/>
      <w:marLeft w:val="0"/>
      <w:marRight w:val="0"/>
      <w:marTop w:val="0"/>
      <w:marBottom w:val="0"/>
      <w:divBdr>
        <w:top w:val="none" w:sz="0" w:space="0" w:color="auto"/>
        <w:left w:val="none" w:sz="0" w:space="0" w:color="auto"/>
        <w:bottom w:val="none" w:sz="0" w:space="0" w:color="auto"/>
        <w:right w:val="none" w:sz="0" w:space="0" w:color="auto"/>
      </w:divBdr>
    </w:div>
    <w:div w:id="1972859027">
      <w:bodyDiv w:val="1"/>
      <w:marLeft w:val="0"/>
      <w:marRight w:val="0"/>
      <w:marTop w:val="0"/>
      <w:marBottom w:val="0"/>
      <w:divBdr>
        <w:top w:val="none" w:sz="0" w:space="0" w:color="auto"/>
        <w:left w:val="none" w:sz="0" w:space="0" w:color="auto"/>
        <w:bottom w:val="none" w:sz="0" w:space="0" w:color="auto"/>
        <w:right w:val="none" w:sz="0" w:space="0" w:color="auto"/>
      </w:divBdr>
    </w:div>
    <w:div w:id="1973096462">
      <w:bodyDiv w:val="1"/>
      <w:marLeft w:val="0"/>
      <w:marRight w:val="0"/>
      <w:marTop w:val="0"/>
      <w:marBottom w:val="0"/>
      <w:divBdr>
        <w:top w:val="none" w:sz="0" w:space="0" w:color="auto"/>
        <w:left w:val="none" w:sz="0" w:space="0" w:color="auto"/>
        <w:bottom w:val="none" w:sz="0" w:space="0" w:color="auto"/>
        <w:right w:val="none" w:sz="0" w:space="0" w:color="auto"/>
      </w:divBdr>
      <w:divsChild>
        <w:div w:id="496460674">
          <w:marLeft w:val="0"/>
          <w:marRight w:val="0"/>
          <w:marTop w:val="0"/>
          <w:marBottom w:val="0"/>
          <w:divBdr>
            <w:top w:val="none" w:sz="0" w:space="0" w:color="auto"/>
            <w:left w:val="none" w:sz="0" w:space="0" w:color="auto"/>
            <w:bottom w:val="none" w:sz="0" w:space="0" w:color="auto"/>
            <w:right w:val="none" w:sz="0" w:space="0" w:color="auto"/>
          </w:divBdr>
        </w:div>
        <w:div w:id="522746066">
          <w:marLeft w:val="0"/>
          <w:marRight w:val="0"/>
          <w:marTop w:val="0"/>
          <w:marBottom w:val="0"/>
          <w:divBdr>
            <w:top w:val="none" w:sz="0" w:space="0" w:color="auto"/>
            <w:left w:val="none" w:sz="0" w:space="0" w:color="auto"/>
            <w:bottom w:val="none" w:sz="0" w:space="0" w:color="auto"/>
            <w:right w:val="none" w:sz="0" w:space="0" w:color="auto"/>
          </w:divBdr>
        </w:div>
        <w:div w:id="702556112">
          <w:marLeft w:val="0"/>
          <w:marRight w:val="0"/>
          <w:marTop w:val="0"/>
          <w:marBottom w:val="0"/>
          <w:divBdr>
            <w:top w:val="none" w:sz="0" w:space="0" w:color="auto"/>
            <w:left w:val="none" w:sz="0" w:space="0" w:color="auto"/>
            <w:bottom w:val="none" w:sz="0" w:space="0" w:color="auto"/>
            <w:right w:val="none" w:sz="0" w:space="0" w:color="auto"/>
          </w:divBdr>
        </w:div>
      </w:divsChild>
    </w:div>
    <w:div w:id="1976988761">
      <w:bodyDiv w:val="1"/>
      <w:marLeft w:val="0"/>
      <w:marRight w:val="0"/>
      <w:marTop w:val="0"/>
      <w:marBottom w:val="0"/>
      <w:divBdr>
        <w:top w:val="none" w:sz="0" w:space="0" w:color="auto"/>
        <w:left w:val="none" w:sz="0" w:space="0" w:color="auto"/>
        <w:bottom w:val="none" w:sz="0" w:space="0" w:color="auto"/>
        <w:right w:val="none" w:sz="0" w:space="0" w:color="auto"/>
      </w:divBdr>
    </w:div>
    <w:div w:id="1978484823">
      <w:bodyDiv w:val="1"/>
      <w:marLeft w:val="0"/>
      <w:marRight w:val="0"/>
      <w:marTop w:val="0"/>
      <w:marBottom w:val="0"/>
      <w:divBdr>
        <w:top w:val="none" w:sz="0" w:space="0" w:color="auto"/>
        <w:left w:val="none" w:sz="0" w:space="0" w:color="auto"/>
        <w:bottom w:val="none" w:sz="0" w:space="0" w:color="auto"/>
        <w:right w:val="none" w:sz="0" w:space="0" w:color="auto"/>
      </w:divBdr>
    </w:div>
    <w:div w:id="1978796399">
      <w:bodyDiv w:val="1"/>
      <w:marLeft w:val="0"/>
      <w:marRight w:val="0"/>
      <w:marTop w:val="0"/>
      <w:marBottom w:val="0"/>
      <w:divBdr>
        <w:top w:val="none" w:sz="0" w:space="0" w:color="auto"/>
        <w:left w:val="none" w:sz="0" w:space="0" w:color="auto"/>
        <w:bottom w:val="none" w:sz="0" w:space="0" w:color="auto"/>
        <w:right w:val="none" w:sz="0" w:space="0" w:color="auto"/>
      </w:divBdr>
    </w:div>
    <w:div w:id="2000959653">
      <w:bodyDiv w:val="1"/>
      <w:marLeft w:val="0"/>
      <w:marRight w:val="0"/>
      <w:marTop w:val="0"/>
      <w:marBottom w:val="0"/>
      <w:divBdr>
        <w:top w:val="none" w:sz="0" w:space="0" w:color="auto"/>
        <w:left w:val="none" w:sz="0" w:space="0" w:color="auto"/>
        <w:bottom w:val="none" w:sz="0" w:space="0" w:color="auto"/>
        <w:right w:val="none" w:sz="0" w:space="0" w:color="auto"/>
      </w:divBdr>
    </w:div>
    <w:div w:id="2006590346">
      <w:bodyDiv w:val="1"/>
      <w:marLeft w:val="0"/>
      <w:marRight w:val="0"/>
      <w:marTop w:val="0"/>
      <w:marBottom w:val="0"/>
      <w:divBdr>
        <w:top w:val="none" w:sz="0" w:space="0" w:color="auto"/>
        <w:left w:val="none" w:sz="0" w:space="0" w:color="auto"/>
        <w:bottom w:val="none" w:sz="0" w:space="0" w:color="auto"/>
        <w:right w:val="none" w:sz="0" w:space="0" w:color="auto"/>
      </w:divBdr>
    </w:div>
    <w:div w:id="2008820616">
      <w:bodyDiv w:val="1"/>
      <w:marLeft w:val="0"/>
      <w:marRight w:val="0"/>
      <w:marTop w:val="0"/>
      <w:marBottom w:val="0"/>
      <w:divBdr>
        <w:top w:val="none" w:sz="0" w:space="0" w:color="auto"/>
        <w:left w:val="none" w:sz="0" w:space="0" w:color="auto"/>
        <w:bottom w:val="none" w:sz="0" w:space="0" w:color="auto"/>
        <w:right w:val="none" w:sz="0" w:space="0" w:color="auto"/>
      </w:divBdr>
    </w:div>
    <w:div w:id="2020892258">
      <w:bodyDiv w:val="1"/>
      <w:marLeft w:val="0"/>
      <w:marRight w:val="0"/>
      <w:marTop w:val="0"/>
      <w:marBottom w:val="0"/>
      <w:divBdr>
        <w:top w:val="none" w:sz="0" w:space="0" w:color="auto"/>
        <w:left w:val="none" w:sz="0" w:space="0" w:color="auto"/>
        <w:bottom w:val="none" w:sz="0" w:space="0" w:color="auto"/>
        <w:right w:val="none" w:sz="0" w:space="0" w:color="auto"/>
      </w:divBdr>
    </w:div>
    <w:div w:id="2021228245">
      <w:bodyDiv w:val="1"/>
      <w:marLeft w:val="0"/>
      <w:marRight w:val="0"/>
      <w:marTop w:val="0"/>
      <w:marBottom w:val="0"/>
      <w:divBdr>
        <w:top w:val="none" w:sz="0" w:space="0" w:color="auto"/>
        <w:left w:val="none" w:sz="0" w:space="0" w:color="auto"/>
        <w:bottom w:val="none" w:sz="0" w:space="0" w:color="auto"/>
        <w:right w:val="none" w:sz="0" w:space="0" w:color="auto"/>
      </w:divBdr>
    </w:div>
    <w:div w:id="2023359170">
      <w:bodyDiv w:val="1"/>
      <w:marLeft w:val="0"/>
      <w:marRight w:val="0"/>
      <w:marTop w:val="0"/>
      <w:marBottom w:val="0"/>
      <w:divBdr>
        <w:top w:val="none" w:sz="0" w:space="0" w:color="auto"/>
        <w:left w:val="none" w:sz="0" w:space="0" w:color="auto"/>
        <w:bottom w:val="none" w:sz="0" w:space="0" w:color="auto"/>
        <w:right w:val="none" w:sz="0" w:space="0" w:color="auto"/>
      </w:divBdr>
    </w:div>
    <w:div w:id="2025394385">
      <w:bodyDiv w:val="1"/>
      <w:marLeft w:val="0"/>
      <w:marRight w:val="0"/>
      <w:marTop w:val="0"/>
      <w:marBottom w:val="0"/>
      <w:divBdr>
        <w:top w:val="none" w:sz="0" w:space="0" w:color="auto"/>
        <w:left w:val="none" w:sz="0" w:space="0" w:color="auto"/>
        <w:bottom w:val="none" w:sz="0" w:space="0" w:color="auto"/>
        <w:right w:val="none" w:sz="0" w:space="0" w:color="auto"/>
      </w:divBdr>
    </w:div>
    <w:div w:id="2025399433">
      <w:bodyDiv w:val="1"/>
      <w:marLeft w:val="0"/>
      <w:marRight w:val="0"/>
      <w:marTop w:val="0"/>
      <w:marBottom w:val="0"/>
      <w:divBdr>
        <w:top w:val="none" w:sz="0" w:space="0" w:color="auto"/>
        <w:left w:val="none" w:sz="0" w:space="0" w:color="auto"/>
        <w:bottom w:val="none" w:sz="0" w:space="0" w:color="auto"/>
        <w:right w:val="none" w:sz="0" w:space="0" w:color="auto"/>
      </w:divBdr>
    </w:div>
    <w:div w:id="2027903703">
      <w:bodyDiv w:val="1"/>
      <w:marLeft w:val="0"/>
      <w:marRight w:val="0"/>
      <w:marTop w:val="0"/>
      <w:marBottom w:val="0"/>
      <w:divBdr>
        <w:top w:val="none" w:sz="0" w:space="0" w:color="auto"/>
        <w:left w:val="none" w:sz="0" w:space="0" w:color="auto"/>
        <w:bottom w:val="none" w:sz="0" w:space="0" w:color="auto"/>
        <w:right w:val="none" w:sz="0" w:space="0" w:color="auto"/>
      </w:divBdr>
    </w:div>
    <w:div w:id="2031642133">
      <w:bodyDiv w:val="1"/>
      <w:marLeft w:val="0"/>
      <w:marRight w:val="0"/>
      <w:marTop w:val="0"/>
      <w:marBottom w:val="0"/>
      <w:divBdr>
        <w:top w:val="none" w:sz="0" w:space="0" w:color="auto"/>
        <w:left w:val="none" w:sz="0" w:space="0" w:color="auto"/>
        <w:bottom w:val="none" w:sz="0" w:space="0" w:color="auto"/>
        <w:right w:val="none" w:sz="0" w:space="0" w:color="auto"/>
      </w:divBdr>
    </w:div>
    <w:div w:id="2038002075">
      <w:bodyDiv w:val="1"/>
      <w:marLeft w:val="0"/>
      <w:marRight w:val="0"/>
      <w:marTop w:val="0"/>
      <w:marBottom w:val="0"/>
      <w:divBdr>
        <w:top w:val="none" w:sz="0" w:space="0" w:color="auto"/>
        <w:left w:val="none" w:sz="0" w:space="0" w:color="auto"/>
        <w:bottom w:val="none" w:sz="0" w:space="0" w:color="auto"/>
        <w:right w:val="none" w:sz="0" w:space="0" w:color="auto"/>
      </w:divBdr>
    </w:div>
    <w:div w:id="2043095797">
      <w:bodyDiv w:val="1"/>
      <w:marLeft w:val="0"/>
      <w:marRight w:val="0"/>
      <w:marTop w:val="0"/>
      <w:marBottom w:val="0"/>
      <w:divBdr>
        <w:top w:val="none" w:sz="0" w:space="0" w:color="auto"/>
        <w:left w:val="none" w:sz="0" w:space="0" w:color="auto"/>
        <w:bottom w:val="none" w:sz="0" w:space="0" w:color="auto"/>
        <w:right w:val="none" w:sz="0" w:space="0" w:color="auto"/>
      </w:divBdr>
    </w:div>
    <w:div w:id="2045673435">
      <w:bodyDiv w:val="1"/>
      <w:marLeft w:val="0"/>
      <w:marRight w:val="0"/>
      <w:marTop w:val="0"/>
      <w:marBottom w:val="0"/>
      <w:divBdr>
        <w:top w:val="none" w:sz="0" w:space="0" w:color="auto"/>
        <w:left w:val="none" w:sz="0" w:space="0" w:color="auto"/>
        <w:bottom w:val="none" w:sz="0" w:space="0" w:color="auto"/>
        <w:right w:val="none" w:sz="0" w:space="0" w:color="auto"/>
      </w:divBdr>
    </w:div>
    <w:div w:id="2045981047">
      <w:bodyDiv w:val="1"/>
      <w:marLeft w:val="0"/>
      <w:marRight w:val="0"/>
      <w:marTop w:val="0"/>
      <w:marBottom w:val="0"/>
      <w:divBdr>
        <w:top w:val="none" w:sz="0" w:space="0" w:color="auto"/>
        <w:left w:val="none" w:sz="0" w:space="0" w:color="auto"/>
        <w:bottom w:val="none" w:sz="0" w:space="0" w:color="auto"/>
        <w:right w:val="none" w:sz="0" w:space="0" w:color="auto"/>
      </w:divBdr>
    </w:div>
    <w:div w:id="2049639635">
      <w:bodyDiv w:val="1"/>
      <w:marLeft w:val="0"/>
      <w:marRight w:val="0"/>
      <w:marTop w:val="0"/>
      <w:marBottom w:val="0"/>
      <w:divBdr>
        <w:top w:val="none" w:sz="0" w:space="0" w:color="auto"/>
        <w:left w:val="none" w:sz="0" w:space="0" w:color="auto"/>
        <w:bottom w:val="none" w:sz="0" w:space="0" w:color="auto"/>
        <w:right w:val="none" w:sz="0" w:space="0" w:color="auto"/>
      </w:divBdr>
    </w:div>
    <w:div w:id="2050716839">
      <w:bodyDiv w:val="1"/>
      <w:marLeft w:val="0"/>
      <w:marRight w:val="0"/>
      <w:marTop w:val="0"/>
      <w:marBottom w:val="0"/>
      <w:divBdr>
        <w:top w:val="none" w:sz="0" w:space="0" w:color="auto"/>
        <w:left w:val="none" w:sz="0" w:space="0" w:color="auto"/>
        <w:bottom w:val="none" w:sz="0" w:space="0" w:color="auto"/>
        <w:right w:val="none" w:sz="0" w:space="0" w:color="auto"/>
      </w:divBdr>
    </w:div>
    <w:div w:id="2055542997">
      <w:bodyDiv w:val="1"/>
      <w:marLeft w:val="0"/>
      <w:marRight w:val="0"/>
      <w:marTop w:val="0"/>
      <w:marBottom w:val="0"/>
      <w:divBdr>
        <w:top w:val="none" w:sz="0" w:space="0" w:color="auto"/>
        <w:left w:val="none" w:sz="0" w:space="0" w:color="auto"/>
        <w:bottom w:val="none" w:sz="0" w:space="0" w:color="auto"/>
        <w:right w:val="none" w:sz="0" w:space="0" w:color="auto"/>
      </w:divBdr>
    </w:div>
    <w:div w:id="2057044874">
      <w:bodyDiv w:val="1"/>
      <w:marLeft w:val="0"/>
      <w:marRight w:val="0"/>
      <w:marTop w:val="0"/>
      <w:marBottom w:val="0"/>
      <w:divBdr>
        <w:top w:val="none" w:sz="0" w:space="0" w:color="auto"/>
        <w:left w:val="none" w:sz="0" w:space="0" w:color="auto"/>
        <w:bottom w:val="none" w:sz="0" w:space="0" w:color="auto"/>
        <w:right w:val="none" w:sz="0" w:space="0" w:color="auto"/>
      </w:divBdr>
    </w:div>
    <w:div w:id="2063018750">
      <w:bodyDiv w:val="1"/>
      <w:marLeft w:val="0"/>
      <w:marRight w:val="0"/>
      <w:marTop w:val="0"/>
      <w:marBottom w:val="0"/>
      <w:divBdr>
        <w:top w:val="none" w:sz="0" w:space="0" w:color="auto"/>
        <w:left w:val="none" w:sz="0" w:space="0" w:color="auto"/>
        <w:bottom w:val="none" w:sz="0" w:space="0" w:color="auto"/>
        <w:right w:val="none" w:sz="0" w:space="0" w:color="auto"/>
      </w:divBdr>
    </w:div>
    <w:div w:id="2069918297">
      <w:bodyDiv w:val="1"/>
      <w:marLeft w:val="0"/>
      <w:marRight w:val="0"/>
      <w:marTop w:val="0"/>
      <w:marBottom w:val="0"/>
      <w:divBdr>
        <w:top w:val="none" w:sz="0" w:space="0" w:color="auto"/>
        <w:left w:val="none" w:sz="0" w:space="0" w:color="auto"/>
        <w:bottom w:val="none" w:sz="0" w:space="0" w:color="auto"/>
        <w:right w:val="none" w:sz="0" w:space="0" w:color="auto"/>
      </w:divBdr>
    </w:div>
    <w:div w:id="2071926350">
      <w:bodyDiv w:val="1"/>
      <w:marLeft w:val="0"/>
      <w:marRight w:val="0"/>
      <w:marTop w:val="0"/>
      <w:marBottom w:val="0"/>
      <w:divBdr>
        <w:top w:val="none" w:sz="0" w:space="0" w:color="auto"/>
        <w:left w:val="none" w:sz="0" w:space="0" w:color="auto"/>
        <w:bottom w:val="none" w:sz="0" w:space="0" w:color="auto"/>
        <w:right w:val="none" w:sz="0" w:space="0" w:color="auto"/>
      </w:divBdr>
    </w:div>
    <w:div w:id="2093627175">
      <w:bodyDiv w:val="1"/>
      <w:marLeft w:val="0"/>
      <w:marRight w:val="0"/>
      <w:marTop w:val="0"/>
      <w:marBottom w:val="0"/>
      <w:divBdr>
        <w:top w:val="none" w:sz="0" w:space="0" w:color="auto"/>
        <w:left w:val="none" w:sz="0" w:space="0" w:color="auto"/>
        <w:bottom w:val="none" w:sz="0" w:space="0" w:color="auto"/>
        <w:right w:val="none" w:sz="0" w:space="0" w:color="auto"/>
      </w:divBdr>
    </w:div>
    <w:div w:id="2094159971">
      <w:bodyDiv w:val="1"/>
      <w:marLeft w:val="0"/>
      <w:marRight w:val="0"/>
      <w:marTop w:val="0"/>
      <w:marBottom w:val="0"/>
      <w:divBdr>
        <w:top w:val="none" w:sz="0" w:space="0" w:color="auto"/>
        <w:left w:val="none" w:sz="0" w:space="0" w:color="auto"/>
        <w:bottom w:val="none" w:sz="0" w:space="0" w:color="auto"/>
        <w:right w:val="none" w:sz="0" w:space="0" w:color="auto"/>
      </w:divBdr>
    </w:div>
    <w:div w:id="2096121327">
      <w:bodyDiv w:val="1"/>
      <w:marLeft w:val="0"/>
      <w:marRight w:val="0"/>
      <w:marTop w:val="0"/>
      <w:marBottom w:val="0"/>
      <w:divBdr>
        <w:top w:val="none" w:sz="0" w:space="0" w:color="auto"/>
        <w:left w:val="none" w:sz="0" w:space="0" w:color="auto"/>
        <w:bottom w:val="none" w:sz="0" w:space="0" w:color="auto"/>
        <w:right w:val="none" w:sz="0" w:space="0" w:color="auto"/>
      </w:divBdr>
    </w:div>
    <w:div w:id="2112235943">
      <w:bodyDiv w:val="1"/>
      <w:marLeft w:val="0"/>
      <w:marRight w:val="0"/>
      <w:marTop w:val="0"/>
      <w:marBottom w:val="0"/>
      <w:divBdr>
        <w:top w:val="none" w:sz="0" w:space="0" w:color="auto"/>
        <w:left w:val="none" w:sz="0" w:space="0" w:color="auto"/>
        <w:bottom w:val="none" w:sz="0" w:space="0" w:color="auto"/>
        <w:right w:val="none" w:sz="0" w:space="0" w:color="auto"/>
      </w:divBdr>
    </w:div>
    <w:div w:id="2116435177">
      <w:bodyDiv w:val="1"/>
      <w:marLeft w:val="0"/>
      <w:marRight w:val="0"/>
      <w:marTop w:val="0"/>
      <w:marBottom w:val="0"/>
      <w:divBdr>
        <w:top w:val="none" w:sz="0" w:space="0" w:color="auto"/>
        <w:left w:val="none" w:sz="0" w:space="0" w:color="auto"/>
        <w:bottom w:val="none" w:sz="0" w:space="0" w:color="auto"/>
        <w:right w:val="none" w:sz="0" w:space="0" w:color="auto"/>
      </w:divBdr>
    </w:div>
    <w:div w:id="2117553019">
      <w:bodyDiv w:val="1"/>
      <w:marLeft w:val="0"/>
      <w:marRight w:val="0"/>
      <w:marTop w:val="0"/>
      <w:marBottom w:val="0"/>
      <w:divBdr>
        <w:top w:val="none" w:sz="0" w:space="0" w:color="auto"/>
        <w:left w:val="none" w:sz="0" w:space="0" w:color="auto"/>
        <w:bottom w:val="none" w:sz="0" w:space="0" w:color="auto"/>
        <w:right w:val="none" w:sz="0" w:space="0" w:color="auto"/>
      </w:divBdr>
    </w:div>
    <w:div w:id="2118139831">
      <w:bodyDiv w:val="1"/>
      <w:marLeft w:val="0"/>
      <w:marRight w:val="0"/>
      <w:marTop w:val="0"/>
      <w:marBottom w:val="0"/>
      <w:divBdr>
        <w:top w:val="none" w:sz="0" w:space="0" w:color="auto"/>
        <w:left w:val="none" w:sz="0" w:space="0" w:color="auto"/>
        <w:bottom w:val="none" w:sz="0" w:space="0" w:color="auto"/>
        <w:right w:val="none" w:sz="0" w:space="0" w:color="auto"/>
      </w:divBdr>
    </w:div>
    <w:div w:id="2122340410">
      <w:bodyDiv w:val="1"/>
      <w:marLeft w:val="0"/>
      <w:marRight w:val="0"/>
      <w:marTop w:val="0"/>
      <w:marBottom w:val="0"/>
      <w:divBdr>
        <w:top w:val="none" w:sz="0" w:space="0" w:color="auto"/>
        <w:left w:val="none" w:sz="0" w:space="0" w:color="auto"/>
        <w:bottom w:val="none" w:sz="0" w:space="0" w:color="auto"/>
        <w:right w:val="none" w:sz="0" w:space="0" w:color="auto"/>
      </w:divBdr>
    </w:div>
    <w:div w:id="2125347853">
      <w:bodyDiv w:val="1"/>
      <w:marLeft w:val="0"/>
      <w:marRight w:val="0"/>
      <w:marTop w:val="0"/>
      <w:marBottom w:val="0"/>
      <w:divBdr>
        <w:top w:val="none" w:sz="0" w:space="0" w:color="auto"/>
        <w:left w:val="none" w:sz="0" w:space="0" w:color="auto"/>
        <w:bottom w:val="none" w:sz="0" w:space="0" w:color="auto"/>
        <w:right w:val="none" w:sz="0" w:space="0" w:color="auto"/>
      </w:divBdr>
    </w:div>
    <w:div w:id="2127235864">
      <w:bodyDiv w:val="1"/>
      <w:marLeft w:val="0"/>
      <w:marRight w:val="0"/>
      <w:marTop w:val="0"/>
      <w:marBottom w:val="0"/>
      <w:divBdr>
        <w:top w:val="none" w:sz="0" w:space="0" w:color="auto"/>
        <w:left w:val="none" w:sz="0" w:space="0" w:color="auto"/>
        <w:bottom w:val="none" w:sz="0" w:space="0" w:color="auto"/>
        <w:right w:val="none" w:sz="0" w:space="0" w:color="auto"/>
      </w:divBdr>
    </w:div>
    <w:div w:id="2132895568">
      <w:bodyDiv w:val="1"/>
      <w:marLeft w:val="0"/>
      <w:marRight w:val="0"/>
      <w:marTop w:val="0"/>
      <w:marBottom w:val="0"/>
      <w:divBdr>
        <w:top w:val="none" w:sz="0" w:space="0" w:color="auto"/>
        <w:left w:val="none" w:sz="0" w:space="0" w:color="auto"/>
        <w:bottom w:val="none" w:sz="0" w:space="0" w:color="auto"/>
        <w:right w:val="none" w:sz="0" w:space="0" w:color="auto"/>
      </w:divBdr>
    </w:div>
    <w:div w:id="2137336912">
      <w:bodyDiv w:val="1"/>
      <w:marLeft w:val="0"/>
      <w:marRight w:val="0"/>
      <w:marTop w:val="0"/>
      <w:marBottom w:val="0"/>
      <w:divBdr>
        <w:top w:val="none" w:sz="0" w:space="0" w:color="auto"/>
        <w:left w:val="none" w:sz="0" w:space="0" w:color="auto"/>
        <w:bottom w:val="none" w:sz="0" w:space="0" w:color="auto"/>
        <w:right w:val="none" w:sz="0" w:space="0" w:color="auto"/>
      </w:divBdr>
    </w:div>
    <w:div w:id="2143229558">
      <w:bodyDiv w:val="1"/>
      <w:marLeft w:val="0"/>
      <w:marRight w:val="0"/>
      <w:marTop w:val="0"/>
      <w:marBottom w:val="0"/>
      <w:divBdr>
        <w:top w:val="none" w:sz="0" w:space="0" w:color="auto"/>
        <w:left w:val="none" w:sz="0" w:space="0" w:color="auto"/>
        <w:bottom w:val="none" w:sz="0" w:space="0" w:color="auto"/>
        <w:right w:val="none" w:sz="0" w:space="0" w:color="auto"/>
      </w:divBdr>
    </w:div>
    <w:div w:id="214468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oventry.gov.uk/data-reports/pharmaceutical-needs-assessment-pna"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6.png"/><Relationship Id="rId63" Type="http://schemas.openxmlformats.org/officeDocument/2006/relationships/hyperlink" Target="https://www.stratford.gov.uk/people-communities/ubus--community-transport.cfm" TargetMode="External"/><Relationship Id="rId68" Type="http://schemas.openxmlformats.org/officeDocument/2006/relationships/hyperlink" Target="https://psnc.org.uk/wp-content/uploads/2022/04/PSNC-Briefing-013.22-Summary-of-the-results-of-PSNCs-2022-Pharmacy-Pressures-Survey.pdf" TargetMode="External"/><Relationship Id="rId76" Type="http://schemas.openxmlformats.org/officeDocument/2006/relationships/hyperlink" Target="https://psnc.org.uk/wp-content/uploads/2022/04/PSNC-Briefing-013.22-Summary-of-the-results-of-PSNCs-2022-Pharmacy-Pressures-Survey.pdf" TargetMode="External"/><Relationship Id="rId84" Type="http://schemas.openxmlformats.org/officeDocument/2006/relationships/image" Target="media/image38.png"/><Relationship Id="rId89" Type="http://schemas.openxmlformats.org/officeDocument/2006/relationships/hyperlink" Target="https://quit4good.warwickshire.gov.uk/quit4baby" TargetMode="External"/><Relationship Id="rId7" Type="http://schemas.openxmlformats.org/officeDocument/2006/relationships/settings" Target="settings.xml"/><Relationship Id="rId71" Type="http://schemas.openxmlformats.org/officeDocument/2006/relationships/chart" Target="charts/chart7.xml"/><Relationship Id="rId92"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chart" Target="charts/chart2.xml"/><Relationship Id="rId53" Type="http://schemas.openxmlformats.org/officeDocument/2006/relationships/hyperlink" Target="https://www.nhsbsa.nhs.uk/statistical-collections/general-pharmaceutical-services-england/general-pharmaceutical-services-england-201516-202021" TargetMode="External"/><Relationship Id="rId58" Type="http://schemas.openxmlformats.org/officeDocument/2006/relationships/image" Target="media/image29.png"/><Relationship Id="rId66" Type="http://schemas.openxmlformats.org/officeDocument/2006/relationships/image" Target="media/image35.png"/><Relationship Id="rId74" Type="http://schemas.openxmlformats.org/officeDocument/2006/relationships/hyperlink" Target="https://psnc.org.uk/wp-content/uploads/2022/04/PSNC-Briefing-013.22-Summary-of-the-results-of-PSNCs-2022-Pharmacy-Pressures-Survey.pdf" TargetMode="External"/><Relationship Id="rId79" Type="http://schemas.openxmlformats.org/officeDocument/2006/relationships/hyperlink" Target="https://www.england.nhs.uk/publication/approved-particulars/" TargetMode="External"/><Relationship Id="rId87" Type="http://schemas.openxmlformats.org/officeDocument/2006/relationships/hyperlink" Target="https://hlscoventry.org/our-services/stop-smoking/" TargetMode="External"/><Relationship Id="rId5" Type="http://schemas.openxmlformats.org/officeDocument/2006/relationships/numbering" Target="numbering.xml"/><Relationship Id="rId61" Type="http://schemas.openxmlformats.org/officeDocument/2006/relationships/image" Target="media/image32.png"/><Relationship Id="rId82" Type="http://schemas.openxmlformats.org/officeDocument/2006/relationships/image" Target="media/image37.png"/><Relationship Id="rId90" Type="http://schemas.openxmlformats.org/officeDocument/2006/relationships/image" Target="media/image41.png"/><Relationship Id="rId95" Type="http://schemas.openxmlformats.org/officeDocument/2006/relationships/glossaryDocument" Target="glossary/document.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image" Target="media/image21.png"/><Relationship Id="rId56" Type="http://schemas.openxmlformats.org/officeDocument/2006/relationships/image" Target="media/image27.png"/><Relationship Id="rId64" Type="http://schemas.openxmlformats.org/officeDocument/2006/relationships/hyperlink" Target="https://www.warwickshire.gov.uk/public-transport/indiego" TargetMode="External"/><Relationship Id="rId69" Type="http://schemas.openxmlformats.org/officeDocument/2006/relationships/chart" Target="charts/chart6.xml"/><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psnc.org.uk/wp-content/uploads/2022/04/PSNC-Briefing-013.22-Summary-of-the-results-of-PSNCs-2022-Pharmacy-Pressures-Survey.pdf" TargetMode="External"/><Relationship Id="rId80" Type="http://schemas.openxmlformats.org/officeDocument/2006/relationships/hyperlink" Target="https://www.psnc.org.uk/wp-content/uploads/2013/07/service20spec20es8202020clinical20governance20_v1201020oct2004_.pdf" TargetMode="External"/><Relationship Id="rId85" Type="http://schemas.openxmlformats.org/officeDocument/2006/relationships/image" Target="media/image39.png"/><Relationship Id="rId93"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legislation.gov.uk/uksi/2013/349/part/2/made"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chart" Target="charts/chart3.xml"/><Relationship Id="rId59" Type="http://schemas.openxmlformats.org/officeDocument/2006/relationships/image" Target="media/image30.png"/><Relationship Id="rId67" Type="http://schemas.openxmlformats.org/officeDocument/2006/relationships/chart" Target="charts/chart5.xml"/><Relationship Id="rId20" Type="http://schemas.openxmlformats.org/officeDocument/2006/relationships/header" Target="header5.xml"/><Relationship Id="rId41" Type="http://schemas.openxmlformats.org/officeDocument/2006/relationships/footer" Target="footer7.xm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hyperlink" Target="https://psnc.org.uk/wp-content/uploads/2022/04/PSNC-Briefing-013.22-Summary-of-the-results-of-PSNCs-2022-Pharmacy-Pressures-Survey.pdf" TargetMode="External"/><Relationship Id="rId75" Type="http://schemas.openxmlformats.org/officeDocument/2006/relationships/chart" Target="charts/chart9.xml"/><Relationship Id="rId83" Type="http://schemas.openxmlformats.org/officeDocument/2006/relationships/chart" Target="charts/chart10.xml"/><Relationship Id="rId88" Type="http://schemas.openxmlformats.org/officeDocument/2006/relationships/image" Target="media/image40.png"/><Relationship Id="rId91" Type="http://schemas.openxmlformats.org/officeDocument/2006/relationships/image" Target="media/image4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chart" Target="charts/chart1.xml"/><Relationship Id="rId52" Type="http://schemas.openxmlformats.org/officeDocument/2006/relationships/chart" Target="charts/chart4.xml"/><Relationship Id="rId60" Type="http://schemas.openxmlformats.org/officeDocument/2006/relationships/image" Target="media/image31.png"/><Relationship Id="rId65" Type="http://schemas.openxmlformats.org/officeDocument/2006/relationships/image" Target="media/image34.png"/><Relationship Id="rId73" Type="http://schemas.openxmlformats.org/officeDocument/2006/relationships/chart" Target="charts/chart8.xml"/><Relationship Id="rId78" Type="http://schemas.openxmlformats.org/officeDocument/2006/relationships/hyperlink" Target="https://www.psnc.org.uk/wp-content/uploads/2013/07/Clinical_Governance_guidance_updated_final.pdf" TargetMode="External"/><Relationship Id="rId81" Type="http://schemas.openxmlformats.org/officeDocument/2006/relationships/hyperlink" Target="https://psnc.org.uk/services-commissioning/psnc-briefings-services-and-commissioning/psnc-briefing-01514-changes-to-contractual-requirements-201415/" TargetMode="External"/><Relationship Id="rId86" Type="http://schemas.openxmlformats.org/officeDocument/2006/relationships/hyperlink" Target="https://quit4good.warwickshire.gov.uk/"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resoluationfoundation.org/publications/cap-off/" TargetMode="External"/><Relationship Id="rId13" Type="http://schemas.openxmlformats.org/officeDocument/2006/relationships/hyperlink" Target="https://www.nhs.uk/conditions/alcohol-misuse/" TargetMode="External"/><Relationship Id="rId18" Type="http://schemas.openxmlformats.org/officeDocument/2006/relationships/hyperlink" Target="https://diabetescw.co.uk/" TargetMode="External"/><Relationship Id="rId26" Type="http://schemas.openxmlformats.org/officeDocument/2006/relationships/hyperlink" Target="https://www.gov.uk/guidance/nhs-test-and-trace-how-it-works" TargetMode="External"/><Relationship Id="rId39" Type="http://schemas.openxmlformats.org/officeDocument/2006/relationships/hyperlink" Target="https://psnc.org.uk/services-commissioning/essential-services/" TargetMode="External"/><Relationship Id="rId3" Type="http://schemas.openxmlformats.org/officeDocument/2006/relationships/hyperlink" Target="https://www.england.nhs.uk/about/equality/equality-hub/core20plus5/" TargetMode="External"/><Relationship Id="rId21" Type="http://schemas.openxmlformats.org/officeDocument/2006/relationships/hyperlink" Target="https://www.euro.who.int/en/health-topics/health-emergencies/coronavirus-covid-19/novel-coronavirus-2019-ncov" TargetMode="External"/><Relationship Id="rId34" Type="http://schemas.openxmlformats.org/officeDocument/2006/relationships/hyperlink" Target="https://www.kingsfund.org.uk/publications/what-are-health-inequalities" TargetMode="External"/><Relationship Id="rId7" Type="http://schemas.openxmlformats.org/officeDocument/2006/relationships/hyperlink" Target="https://news.sky.com/story/more-than-four-in-five-britons-concerned-about-rising-cost-of-living-poll-for-sky-news-suggests-12614622" TargetMode="External"/><Relationship Id="rId12" Type="http://schemas.openxmlformats.org/officeDocument/2006/relationships/hyperlink" Target="https://digital.nhs.uk/data-and-information/publications/statistical/statistics-on-smoking/statistics-on-smoking-england-2020" TargetMode="External"/><Relationship Id="rId17" Type="http://schemas.openxmlformats.org/officeDocument/2006/relationships/hyperlink" Target="https://api.warwickshire.gov.uk/documents/WCCC-630-567" TargetMode="External"/><Relationship Id="rId25" Type="http://schemas.openxmlformats.org/officeDocument/2006/relationships/hyperlink" Target="https://www.gov.uk/government/news/uk-marks-one-year-since-deploying-worlds-first-covid-19-vaccine" TargetMode="External"/><Relationship Id="rId33" Type="http://schemas.openxmlformats.org/officeDocument/2006/relationships/hyperlink" Target="https://www.local.gov.uk/perfect-storm-health-inequalities-and-impact-covid-19" TargetMode="External"/><Relationship Id="rId38" Type="http://schemas.openxmlformats.org/officeDocument/2006/relationships/hyperlink" Target="https://psnc.org.uk/wp-content/uploads/2022/04/PSNC-Briefing-013.22-Summary-of-the-results-of-PSNCs-2022-Pharmacy-Pressures-Survey.pdf" TargetMode="External"/><Relationship Id="rId2" Type="http://schemas.openxmlformats.org/officeDocument/2006/relationships/hyperlink" Target="https://www.coventry.gov.uk/facts-coventry/joint-strategic-needs-assessment-jsna" TargetMode="External"/><Relationship Id="rId16" Type="http://schemas.openxmlformats.org/officeDocument/2006/relationships/hyperlink" Target="https://api.warwickshire.gov.uk/documents/WCCC-630-1186" TargetMode="External"/><Relationship Id="rId20" Type="http://schemas.openxmlformats.org/officeDocument/2006/relationships/hyperlink" Target="https://www.england.nhs.uk/ourwork/clinical-policy/respiratory-disease/" TargetMode="External"/><Relationship Id="rId29" Type="http://schemas.openxmlformats.org/officeDocument/2006/relationships/hyperlink" Target="https://ukhsa.koha-ptfs.co.uk/cgi-bin/koha/opac-retrieve-file.pl?id=fe4f10cd3cd509fe045ad4f72ae0dfff" TargetMode="External"/><Relationship Id="rId41" Type="http://schemas.openxmlformats.org/officeDocument/2006/relationships/hyperlink" Target="https://psnc.org.uk/contract-it/the-pharmacy-contract/cpcf-settlement-2019-20-to-2023-24/" TargetMode="External"/><Relationship Id="rId1" Type="http://schemas.openxmlformats.org/officeDocument/2006/relationships/hyperlink" Target="https://www.warwickshire.gov.uk/joint-strategic-needs-assessments-1" TargetMode="External"/><Relationship Id="rId6" Type="http://schemas.openxmlformats.org/officeDocument/2006/relationships/hyperlink" Target="https://www.buckslpc.org/wp-content/uploads/2020/11/IPMO_Guidance_Final.pdf" TargetMode="External"/><Relationship Id="rId11" Type="http://schemas.openxmlformats.org/officeDocument/2006/relationships/hyperlink" Target="https://fingertips.phe.org.uk/search/2020%20definition" TargetMode="External"/><Relationship Id="rId24" Type="http://schemas.openxmlformats.org/officeDocument/2006/relationships/hyperlink" Target="https://psnc.org.uk/wp-content/uploads/2022/04/PSNC-Briefing-013.22-Summary-of-the-results-of-PSNCs-2022-Pharmacy-Pressures-Survey.pdf" TargetMode="External"/><Relationship Id="rId32" Type="http://schemas.openxmlformats.org/officeDocument/2006/relationships/hyperlink" Target="https://api.warwickshire.gov.uk/documents/WCCC-1350011118-2953" TargetMode="External"/><Relationship Id="rId37" Type="http://schemas.openxmlformats.org/officeDocument/2006/relationships/hyperlink" Target="https://psnc.org.uk/wp-content/uploads/2021/05/PSNC-Pharmacy-Advice-Audit-2021-A-summary-of-findings.pdf" TargetMode="External"/><Relationship Id="rId40" Type="http://schemas.openxmlformats.org/officeDocument/2006/relationships/hyperlink" Target="https://psnc.org.uk/services-commissioning/advanced-services/community-pharmacist-consultation-service/" TargetMode="External"/><Relationship Id="rId5" Type="http://schemas.openxmlformats.org/officeDocument/2006/relationships/hyperlink" Target="https://www.england.nhs.uk/publication/integrating-nhs-pharmacy-and-medicines-optimisation-into-sustainability-and-transformation-partnerships-and-integrated-care-systems/" TargetMode="External"/><Relationship Id="rId15" Type="http://schemas.openxmlformats.org/officeDocument/2006/relationships/hyperlink" Target="https://www.longtermplan.nhs.uk/areas-of-work/cancer/" TargetMode="External"/><Relationship Id="rId23" Type="http://schemas.openxmlformats.org/officeDocument/2006/relationships/hyperlink" Target="https://www.gov.uk/government/publications/covid-19-response-living-with-covid-19/covid-19-response-living-with-covid-19" TargetMode="External"/><Relationship Id="rId28" Type="http://schemas.openxmlformats.org/officeDocument/2006/relationships/hyperlink" Target="https://www.ons.gov.uk/peoplepopulationandcommunity/healthandsocialcare/conditionsanddiseases/bulletins/prevalenceofongoingsymptomsfollowingcoronaviruscovid19infectionintheuk/3february2022" TargetMode="External"/><Relationship Id="rId36" Type="http://schemas.openxmlformats.org/officeDocument/2006/relationships/hyperlink" Target="http://archive.psnc.org.uk/pages/introduction.html" TargetMode="External"/><Relationship Id="rId10" Type="http://schemas.openxmlformats.org/officeDocument/2006/relationships/hyperlink" Target="https://www.warwickshire.gov.uk/health-improvement/smoking-tobacco-control/1" TargetMode="External"/><Relationship Id="rId19" Type="http://schemas.openxmlformats.org/officeDocument/2006/relationships/hyperlink" Target="https://cwrise.com/" TargetMode="External"/><Relationship Id="rId31" Type="http://schemas.openxmlformats.org/officeDocument/2006/relationships/hyperlink" Target="https://www.mind.org.uk/media/8962/the-consequences-of-coronavirus-for-mental-health-final-report.pdf" TargetMode="External"/><Relationship Id="rId4" Type="http://schemas.openxmlformats.org/officeDocument/2006/relationships/hyperlink" Target="https://www.england.nhs.uk/five-year-forward-view/" TargetMode="External"/><Relationship Id="rId9" Type="http://schemas.openxmlformats.org/officeDocument/2006/relationships/hyperlink" Target="https://www.bbc.co.uk/news/business-61813857" TargetMode="External"/><Relationship Id="rId14" Type="http://schemas.openxmlformats.org/officeDocument/2006/relationships/hyperlink" Target="https://www.bsmhft.nhs.uk/service-user-and-carer/service-user-information/common-mental-health-conditions/substance-misuse/" TargetMode="External"/><Relationship Id="rId22" Type="http://schemas.openxmlformats.org/officeDocument/2006/relationships/hyperlink" Target="https://www.instituteforgovernment.org.uk/sites/default/files/publications/lifting-lockdown-how-approach-coronavirus-exit-strategy_1.pdf" TargetMode="External"/><Relationship Id="rId27" Type="http://schemas.openxmlformats.org/officeDocument/2006/relationships/hyperlink" Target="https://www.nhs.uk/conditions/coronavirus-covid-19/long-term-effects-of-coronavirus-long-covid/" TargetMode="External"/><Relationship Id="rId30" Type="http://schemas.openxmlformats.org/officeDocument/2006/relationships/hyperlink" Target="https://psnc.org.uk/wp-content/uploads/2022/04/PSNC-Briefing-013.22-Summary-of-the-results-of-PSNCs-2022-Pharmacy-Pressures-Survey.pdf" TargetMode="External"/><Relationship Id="rId35" Type="http://schemas.openxmlformats.org/officeDocument/2006/relationships/hyperlink" Target="https://assets.publishing.service.gov.uk/government/uploads/system/uploads/attachment_data/file/908434/Disparities_in_the_risk_and_outcomes_of_COVID_August_2020_update.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openxmlformats.org/officeDocument/2006/relationships/image" Target="../media/image19.pn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mad3\Downloads\Trends.csv"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vthe220\Downloads\Copy%20of%201_Coventry_And_Warwickshire_Pharmaceutical_Needs_Assessment_Survey.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openxmlformats.org/officeDocument/2006/relationships/image" Target="../media/image19.pn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https://coventrycc.sharepoint.com/sites/ProjectHub/PeopleStandProj/PNACommPharmProject/Documents/Local%20Picture/HousingStats.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https://warwickshiregovuk-my.sharepoint.com/personal/michaelmaddocks_warwickshire_gov_uk/Documents/Documents/PNA/Pharmacies%20per%2010,000.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Male</a:t>
            </a:r>
            <a:r>
              <a:rPr lang="en-GB" baseline="0"/>
              <a:t> Life Expectancy at Birth over Time (3/1 Year Range) </a:t>
            </a:r>
            <a:endParaRPr lang="en-GB"/>
          </a:p>
        </c:rich>
      </c:tx>
      <c:overlay val="0"/>
      <c:spPr>
        <a:noFill/>
        <a:ln>
          <a:noFill/>
        </a:ln>
        <a:effectLst/>
      </c:spPr>
    </c:title>
    <c:autoTitleDeleted val="0"/>
    <c:plotArea>
      <c:layout/>
      <c:lineChart>
        <c:grouping val="standard"/>
        <c:varyColors val="0"/>
        <c:ser>
          <c:idx val="1"/>
          <c:order val="0"/>
          <c:tx>
            <c:strRef>
              <c:f>'Male Life Expectancy'!$A$2</c:f>
              <c:strCache>
                <c:ptCount val="1"/>
                <c:pt idx="0">
                  <c:v>Coventry</c:v>
                </c:pt>
              </c:strCache>
            </c:strRef>
          </c:tx>
          <c:spPr>
            <a:ln w="28575" cap="rnd">
              <a:solidFill>
                <a:schemeClr val="accent6"/>
              </a:solidFill>
              <a:round/>
            </a:ln>
            <a:effectLst/>
          </c:spPr>
          <c:marker>
            <c:symbol val="none"/>
          </c:marker>
          <c:dPt>
            <c:idx val="9"/>
            <c:bubble3D val="0"/>
            <c:spPr>
              <a:ln w="28575" cap="rnd">
                <a:solidFill>
                  <a:schemeClr val="accent6"/>
                </a:solidFill>
                <a:prstDash val="sysDash"/>
                <a:round/>
              </a:ln>
              <a:effectLst/>
            </c:spPr>
            <c:extLst>
              <c:ext xmlns:c16="http://schemas.microsoft.com/office/drawing/2014/chart" uri="{C3380CC4-5D6E-409C-BE32-E72D297353CC}">
                <c16:uniqueId val="{00000001-6E6D-4BB4-882D-B7CCB3CE1B29}"/>
              </c:ext>
            </c:extLst>
          </c:dPt>
          <c:dLbls>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6D-4BB4-882D-B7CCB3CE1B29}"/>
                </c:ext>
              </c:extLst>
            </c:dLbl>
            <c:dLbl>
              <c:idx val="9"/>
              <c:layout>
                <c:manualLayout>
                  <c:x val="-3.8331667012508242E-3"/>
                  <c:y val="2.3237650325902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6D-4BB4-882D-B7CCB3CE1B29}"/>
                </c:ext>
              </c:extLst>
            </c:dLbl>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Expectancy'!$D$2:$D$11</c:f>
              <c:numCache>
                <c:formatCode>General</c:formatCode>
                <c:ptCount val="10"/>
                <c:pt idx="0">
                  <c:v>77.946150000000003</c:v>
                </c:pt>
                <c:pt idx="1">
                  <c:v>78.090530000000001</c:v>
                </c:pt>
                <c:pt idx="2">
                  <c:v>78.462019999999995</c:v>
                </c:pt>
                <c:pt idx="3">
                  <c:v>78.37885</c:v>
                </c:pt>
                <c:pt idx="4">
                  <c:v>78.508870000000002</c:v>
                </c:pt>
                <c:pt idx="5">
                  <c:v>78.301280000000006</c:v>
                </c:pt>
                <c:pt idx="6">
                  <c:v>78.539370000000005</c:v>
                </c:pt>
                <c:pt idx="7">
                  <c:v>78.73</c:v>
                </c:pt>
                <c:pt idx="8">
                  <c:v>77.97</c:v>
                </c:pt>
                <c:pt idx="9">
                  <c:v>76.099999999999994</c:v>
                </c:pt>
              </c:numCache>
            </c:numRef>
          </c:val>
          <c:smooth val="0"/>
          <c:extLst>
            <c:ext xmlns:c16="http://schemas.microsoft.com/office/drawing/2014/chart" uri="{C3380CC4-5D6E-409C-BE32-E72D297353CC}">
              <c16:uniqueId val="{00000003-6E6D-4BB4-882D-B7CCB3CE1B29}"/>
            </c:ext>
          </c:extLst>
        </c:ser>
        <c:ser>
          <c:idx val="0"/>
          <c:order val="1"/>
          <c:tx>
            <c:strRef>
              <c:f>'Male Life Expectancy'!$A$12</c:f>
              <c:strCache>
                <c:ptCount val="1"/>
                <c:pt idx="0">
                  <c:v>North Warwickshire</c:v>
                </c:pt>
              </c:strCache>
            </c:strRef>
          </c:tx>
          <c:spPr>
            <a:ln w="28575" cap="rnd">
              <a:solidFill>
                <a:schemeClr val="accent5"/>
              </a:solidFill>
              <a:round/>
            </a:ln>
            <a:effectLst/>
          </c:spPr>
          <c:marker>
            <c:symbol val="none"/>
          </c:marker>
          <c:dPt>
            <c:idx val="9"/>
            <c:bubble3D val="0"/>
            <c:spPr>
              <a:ln w="28575" cap="rnd">
                <a:solidFill>
                  <a:schemeClr val="accent5"/>
                </a:solidFill>
                <a:prstDash val="sysDash"/>
                <a:round/>
              </a:ln>
              <a:effectLst/>
            </c:spPr>
            <c:extLst>
              <c:ext xmlns:c16="http://schemas.microsoft.com/office/drawing/2014/chart" uri="{C3380CC4-5D6E-409C-BE32-E72D297353CC}">
                <c16:uniqueId val="{00000005-6E6D-4BB4-882D-B7CCB3CE1B29}"/>
              </c:ext>
            </c:extLst>
          </c:dPt>
          <c:dLbls>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6D-4BB4-882D-B7CCB3CE1B29}"/>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6D-4BB4-882D-B7CCB3CE1B29}"/>
                </c:ext>
              </c:extLst>
            </c:dLbl>
            <c:spPr>
              <a:solidFill>
                <a:schemeClr val="accent5"/>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Expectancy'!$D$12:$D$21</c:f>
              <c:numCache>
                <c:formatCode>General</c:formatCode>
                <c:ptCount val="10"/>
                <c:pt idx="0">
                  <c:v>78.633799999999994</c:v>
                </c:pt>
                <c:pt idx="1">
                  <c:v>78.978219999999993</c:v>
                </c:pt>
                <c:pt idx="2">
                  <c:v>79.238950000000003</c:v>
                </c:pt>
                <c:pt idx="3">
                  <c:v>79.141270000000006</c:v>
                </c:pt>
                <c:pt idx="4">
                  <c:v>78.96172</c:v>
                </c:pt>
                <c:pt idx="5">
                  <c:v>78.59778</c:v>
                </c:pt>
                <c:pt idx="6">
                  <c:v>78.444710000000001</c:v>
                </c:pt>
                <c:pt idx="7">
                  <c:v>79.05</c:v>
                </c:pt>
                <c:pt idx="8">
                  <c:v>78.709999999999994</c:v>
                </c:pt>
                <c:pt idx="9">
                  <c:v>77.7</c:v>
                </c:pt>
              </c:numCache>
            </c:numRef>
          </c:val>
          <c:smooth val="0"/>
          <c:extLst>
            <c:ext xmlns:c16="http://schemas.microsoft.com/office/drawing/2014/chart" uri="{C3380CC4-5D6E-409C-BE32-E72D297353CC}">
              <c16:uniqueId val="{00000007-6E6D-4BB4-882D-B7CCB3CE1B29}"/>
            </c:ext>
          </c:extLst>
        </c:ser>
        <c:ser>
          <c:idx val="2"/>
          <c:order val="2"/>
          <c:tx>
            <c:strRef>
              <c:f>'Male Life Expectancy'!$A$22</c:f>
              <c:strCache>
                <c:ptCount val="1"/>
                <c:pt idx="0">
                  <c:v>Nuneaton and Bedworth</c:v>
                </c:pt>
              </c:strCache>
            </c:strRef>
          </c:tx>
          <c:spPr>
            <a:ln w="28575" cap="rnd">
              <a:solidFill>
                <a:schemeClr val="accent1"/>
              </a:solidFill>
              <a:round/>
            </a:ln>
            <a:effectLst/>
          </c:spPr>
          <c:marker>
            <c:symbol val="none"/>
          </c:marker>
          <c:dPt>
            <c:idx val="9"/>
            <c:bubble3D val="0"/>
            <c:spPr>
              <a:ln w="28575" cap="rnd">
                <a:solidFill>
                  <a:schemeClr val="accent1"/>
                </a:solidFill>
                <a:prstDash val="sysDash"/>
                <a:round/>
              </a:ln>
              <a:effectLst/>
            </c:spPr>
            <c:extLst>
              <c:ext xmlns:c16="http://schemas.microsoft.com/office/drawing/2014/chart" uri="{C3380CC4-5D6E-409C-BE32-E72D297353CC}">
                <c16:uniqueId val="{00000009-6E6D-4BB4-882D-B7CCB3CE1B29}"/>
              </c:ext>
            </c:extLst>
          </c:dPt>
          <c:dLbls>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6D-4BB4-882D-B7CCB3CE1B29}"/>
                </c:ext>
              </c:extLst>
            </c:dLbl>
            <c:dLbl>
              <c:idx val="9"/>
              <c:layout>
                <c:manualLayout>
                  <c:x val="-5.7497500518760257E-3"/>
                  <c:y val="-9.958992996815274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6D-4BB4-882D-B7CCB3CE1B29}"/>
                </c:ext>
              </c:extLst>
            </c:dLbl>
            <c:spPr>
              <a:solidFill>
                <a:schemeClr val="accent1"/>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Expectancy'!$D$22:$D$31</c:f>
              <c:numCache>
                <c:formatCode>General</c:formatCode>
                <c:ptCount val="10"/>
                <c:pt idx="0">
                  <c:v>78.145979999999994</c:v>
                </c:pt>
                <c:pt idx="1">
                  <c:v>78.272840000000002</c:v>
                </c:pt>
                <c:pt idx="2">
                  <c:v>78.385689999999997</c:v>
                </c:pt>
                <c:pt idx="3">
                  <c:v>78.152640000000005</c:v>
                </c:pt>
                <c:pt idx="4">
                  <c:v>78.346140000000005</c:v>
                </c:pt>
                <c:pt idx="5">
                  <c:v>78.043440000000004</c:v>
                </c:pt>
                <c:pt idx="6">
                  <c:v>77.884569999999997</c:v>
                </c:pt>
                <c:pt idx="7">
                  <c:v>77.61</c:v>
                </c:pt>
                <c:pt idx="8">
                  <c:v>77.25</c:v>
                </c:pt>
                <c:pt idx="9">
                  <c:v>76.5</c:v>
                </c:pt>
              </c:numCache>
            </c:numRef>
          </c:val>
          <c:smooth val="0"/>
          <c:extLst>
            <c:ext xmlns:c16="http://schemas.microsoft.com/office/drawing/2014/chart" uri="{C3380CC4-5D6E-409C-BE32-E72D297353CC}">
              <c16:uniqueId val="{0000000B-6E6D-4BB4-882D-B7CCB3CE1B29}"/>
            </c:ext>
          </c:extLst>
        </c:ser>
        <c:ser>
          <c:idx val="3"/>
          <c:order val="3"/>
          <c:tx>
            <c:strRef>
              <c:f>'Male Life Expectancy'!$A$32</c:f>
              <c:strCache>
                <c:ptCount val="1"/>
                <c:pt idx="0">
                  <c:v>Rugby</c:v>
                </c:pt>
              </c:strCache>
            </c:strRef>
          </c:tx>
          <c:spPr>
            <a:ln w="28575" cap="rnd">
              <a:solidFill>
                <a:schemeClr val="accent3"/>
              </a:solidFill>
              <a:round/>
            </a:ln>
            <a:effectLst/>
          </c:spPr>
          <c:marker>
            <c:symbol val="none"/>
          </c:marker>
          <c:dPt>
            <c:idx val="9"/>
            <c:bubble3D val="0"/>
            <c:spPr>
              <a:ln w="28575" cap="rnd">
                <a:solidFill>
                  <a:schemeClr val="accent3"/>
                </a:solidFill>
                <a:prstDash val="sysDash"/>
                <a:round/>
              </a:ln>
              <a:effectLst/>
            </c:spPr>
            <c:extLst>
              <c:ext xmlns:c16="http://schemas.microsoft.com/office/drawing/2014/chart" uri="{C3380CC4-5D6E-409C-BE32-E72D297353CC}">
                <c16:uniqueId val="{0000000D-6E6D-4BB4-882D-B7CCB3CE1B29}"/>
              </c:ext>
            </c:extLst>
          </c:dPt>
          <c:dLbls>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E6D-4BB4-882D-B7CCB3CE1B29}"/>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6D-4BB4-882D-B7CCB3CE1B29}"/>
                </c:ext>
              </c:extLst>
            </c:dLbl>
            <c:spPr>
              <a:solidFill>
                <a:schemeClr val="accent3"/>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Expectancy'!$D$32:$D$41</c:f>
              <c:numCache>
                <c:formatCode>General</c:formatCode>
                <c:ptCount val="10"/>
                <c:pt idx="0">
                  <c:v>80.109979999999993</c:v>
                </c:pt>
                <c:pt idx="1">
                  <c:v>80.540210000000002</c:v>
                </c:pt>
                <c:pt idx="2">
                  <c:v>80.391139999999993</c:v>
                </c:pt>
                <c:pt idx="3">
                  <c:v>80.533590000000004</c:v>
                </c:pt>
                <c:pt idx="4">
                  <c:v>79.941590000000005</c:v>
                </c:pt>
                <c:pt idx="5">
                  <c:v>79.984690000000001</c:v>
                </c:pt>
                <c:pt idx="6">
                  <c:v>80.031980000000004</c:v>
                </c:pt>
                <c:pt idx="7">
                  <c:v>80.45</c:v>
                </c:pt>
                <c:pt idx="8">
                  <c:v>79.67</c:v>
                </c:pt>
                <c:pt idx="9">
                  <c:v>78.5</c:v>
                </c:pt>
              </c:numCache>
            </c:numRef>
          </c:val>
          <c:smooth val="0"/>
          <c:extLst>
            <c:ext xmlns:c16="http://schemas.microsoft.com/office/drawing/2014/chart" uri="{C3380CC4-5D6E-409C-BE32-E72D297353CC}">
              <c16:uniqueId val="{0000000F-6E6D-4BB4-882D-B7CCB3CE1B29}"/>
            </c:ext>
          </c:extLst>
        </c:ser>
        <c:ser>
          <c:idx val="4"/>
          <c:order val="4"/>
          <c:tx>
            <c:strRef>
              <c:f>'Male Life Expectancy'!$A$42</c:f>
              <c:strCache>
                <c:ptCount val="1"/>
                <c:pt idx="0">
                  <c:v>Stratford-on-Avon</c:v>
                </c:pt>
              </c:strCache>
            </c:strRef>
          </c:tx>
          <c:spPr>
            <a:ln w="28575" cap="rnd">
              <a:solidFill>
                <a:schemeClr val="accent2"/>
              </a:solidFill>
              <a:round/>
            </a:ln>
            <a:effectLst/>
          </c:spPr>
          <c:marker>
            <c:symbol val="none"/>
          </c:marker>
          <c:dPt>
            <c:idx val="9"/>
            <c:bubble3D val="0"/>
            <c:spPr>
              <a:ln w="28575" cap="rnd">
                <a:solidFill>
                  <a:schemeClr val="accent2"/>
                </a:solidFill>
                <a:prstDash val="sysDash"/>
                <a:round/>
              </a:ln>
              <a:effectLst/>
            </c:spPr>
            <c:extLst>
              <c:ext xmlns:c16="http://schemas.microsoft.com/office/drawing/2014/chart" uri="{C3380CC4-5D6E-409C-BE32-E72D297353CC}">
                <c16:uniqueId val="{00000011-6E6D-4BB4-882D-B7CCB3CE1B29}"/>
              </c:ext>
            </c:extLst>
          </c:dPt>
          <c:dLbls>
            <c:dLbl>
              <c:idx val="8"/>
              <c:layout>
                <c:manualLayout>
                  <c:x val="-3.3880364452660766E-2"/>
                  <c:y val="-9.855930101019403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E6D-4BB4-882D-B7CCB3CE1B29}"/>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E6D-4BB4-882D-B7CCB3CE1B29}"/>
                </c:ext>
              </c:extLst>
            </c:dLbl>
            <c:spPr>
              <a:solidFill>
                <a:schemeClr val="accent2"/>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Expectancy'!$D$42:$D$51</c:f>
              <c:numCache>
                <c:formatCode>General</c:formatCode>
                <c:ptCount val="10"/>
                <c:pt idx="0">
                  <c:v>80.785979999999995</c:v>
                </c:pt>
                <c:pt idx="1">
                  <c:v>80.763080000000002</c:v>
                </c:pt>
                <c:pt idx="2">
                  <c:v>80.939070000000001</c:v>
                </c:pt>
                <c:pt idx="3">
                  <c:v>80.947839999999999</c:v>
                </c:pt>
                <c:pt idx="4">
                  <c:v>80.741510000000005</c:v>
                </c:pt>
                <c:pt idx="5">
                  <c:v>80.867620000000002</c:v>
                </c:pt>
                <c:pt idx="6">
                  <c:v>81.290400000000005</c:v>
                </c:pt>
                <c:pt idx="7">
                  <c:v>81.459999999999994</c:v>
                </c:pt>
                <c:pt idx="8">
                  <c:v>81.37</c:v>
                </c:pt>
                <c:pt idx="9">
                  <c:v>80.900000000000006</c:v>
                </c:pt>
              </c:numCache>
            </c:numRef>
          </c:val>
          <c:smooth val="0"/>
          <c:extLst>
            <c:ext xmlns:c16="http://schemas.microsoft.com/office/drawing/2014/chart" uri="{C3380CC4-5D6E-409C-BE32-E72D297353CC}">
              <c16:uniqueId val="{00000013-6E6D-4BB4-882D-B7CCB3CE1B29}"/>
            </c:ext>
          </c:extLst>
        </c:ser>
        <c:ser>
          <c:idx val="5"/>
          <c:order val="5"/>
          <c:tx>
            <c:strRef>
              <c:f>'Male Life Expectancy'!$A$52</c:f>
              <c:strCache>
                <c:ptCount val="1"/>
                <c:pt idx="0">
                  <c:v>Warwick</c:v>
                </c:pt>
              </c:strCache>
            </c:strRef>
          </c:tx>
          <c:spPr>
            <a:ln w="28575" cap="rnd">
              <a:solidFill>
                <a:schemeClr val="accent4"/>
              </a:solidFill>
              <a:round/>
            </a:ln>
            <a:effectLst/>
          </c:spPr>
          <c:marker>
            <c:symbol val="none"/>
          </c:marker>
          <c:dPt>
            <c:idx val="9"/>
            <c:bubble3D val="0"/>
            <c:spPr>
              <a:ln w="28575" cap="rnd">
                <a:solidFill>
                  <a:schemeClr val="accent4"/>
                </a:solidFill>
                <a:prstDash val="sysDash"/>
                <a:round/>
              </a:ln>
              <a:effectLst/>
            </c:spPr>
            <c:extLst>
              <c:ext xmlns:c16="http://schemas.microsoft.com/office/drawing/2014/chart" uri="{C3380CC4-5D6E-409C-BE32-E72D297353CC}">
                <c16:uniqueId val="{00000015-6E6D-4BB4-882D-B7CCB3CE1B29}"/>
              </c:ext>
            </c:extLst>
          </c:dPt>
          <c:dLbls>
            <c:dLbl>
              <c:idx val="8"/>
              <c:layout>
                <c:manualLayout>
                  <c:x val="-3.3880364452660766E-2"/>
                  <c:y val="3.285310033673134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E6D-4BB4-882D-B7CCB3CE1B29}"/>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E6D-4BB4-882D-B7CCB3CE1B29}"/>
                </c:ext>
              </c:extLst>
            </c:dLbl>
            <c:spPr>
              <a:solidFill>
                <a:schemeClr val="accent4"/>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Expectancy'!$D$52:$D$61</c:f>
              <c:numCache>
                <c:formatCode>General</c:formatCode>
                <c:ptCount val="10"/>
                <c:pt idx="0">
                  <c:v>80.217079999999996</c:v>
                </c:pt>
                <c:pt idx="1">
                  <c:v>80.352230000000006</c:v>
                </c:pt>
                <c:pt idx="2">
                  <c:v>80.74221</c:v>
                </c:pt>
                <c:pt idx="3">
                  <c:v>81.032330000000002</c:v>
                </c:pt>
                <c:pt idx="4">
                  <c:v>81.172190000000001</c:v>
                </c:pt>
                <c:pt idx="5">
                  <c:v>80.977720000000005</c:v>
                </c:pt>
                <c:pt idx="6">
                  <c:v>81.051270000000002</c:v>
                </c:pt>
                <c:pt idx="7">
                  <c:v>81.23</c:v>
                </c:pt>
                <c:pt idx="8">
                  <c:v>80.89</c:v>
                </c:pt>
                <c:pt idx="9">
                  <c:v>79.900000000000006</c:v>
                </c:pt>
              </c:numCache>
            </c:numRef>
          </c:val>
          <c:smooth val="0"/>
          <c:extLst>
            <c:ext xmlns:c16="http://schemas.microsoft.com/office/drawing/2014/chart" uri="{C3380CC4-5D6E-409C-BE32-E72D297353CC}">
              <c16:uniqueId val="{00000017-6E6D-4BB4-882D-B7CCB3CE1B29}"/>
            </c:ext>
          </c:extLst>
        </c:ser>
        <c:ser>
          <c:idx val="6"/>
          <c:order val="6"/>
          <c:tx>
            <c:strRef>
              <c:f>'Male Life Expectancy'!$J$2</c:f>
              <c:strCache>
                <c:ptCount val="1"/>
              </c:strCache>
            </c:strRef>
          </c:tx>
          <c:spPr>
            <a:ln w="28575" cap="rnd">
              <a:solidFill>
                <a:schemeClr val="tx1">
                  <a:lumMod val="85000"/>
                  <a:lumOff val="15000"/>
                </a:schemeClr>
              </a:solidFill>
              <a:round/>
            </a:ln>
            <a:effectLst/>
          </c:spPr>
          <c:marker>
            <c:symbol val="picture"/>
            <c:spPr>
              <a:blipFill>
                <a:blip xmlns:r="http://schemas.openxmlformats.org/officeDocument/2006/relationships" r:embed="rId2"/>
                <a:stretch>
                  <a:fillRect/>
                </a:stretch>
              </a:blipFill>
              <a:ln w="25400">
                <a:noFill/>
              </a:ln>
              <a:effectLst/>
            </c:spPr>
          </c:marker>
          <c:cat>
            <c:multiLvlStrRef>
              <c:f>'Male Life Expectancy'!$B$2:$C$11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'Male Life Expectancy'!$J$3:$J$11</c:f>
              <c:numCache>
                <c:formatCode>General</c:formatCode>
                <c:ptCount val="9"/>
                <c:pt idx="0">
                  <c:v>#N/A</c:v>
                </c:pt>
                <c:pt idx="1">
                  <c:v>#N/A</c:v>
                </c:pt>
                <c:pt idx="2">
                  <c:v>#N/A</c:v>
                </c:pt>
                <c:pt idx="3">
                  <c:v>#N/A</c:v>
                </c:pt>
                <c:pt idx="4">
                  <c:v>#N/A</c:v>
                </c:pt>
                <c:pt idx="5">
                  <c:v>#N/A</c:v>
                </c:pt>
                <c:pt idx="6">
                  <c:v>#N/A</c:v>
                </c:pt>
                <c:pt idx="7">
                  <c:v>#N/A</c:v>
                </c:pt>
                <c:pt idx="8">
                  <c:v>79.414308833333351</c:v>
                </c:pt>
              </c:numCache>
            </c:numRef>
          </c:val>
          <c:smooth val="0"/>
          <c:extLst>
            <c:ext xmlns:c16="http://schemas.microsoft.com/office/drawing/2014/chart" uri="{C3380CC4-5D6E-409C-BE32-E72D297353CC}">
              <c16:uniqueId val="{00000018-6E6D-4BB4-882D-B7CCB3CE1B29}"/>
            </c:ext>
          </c:extLst>
        </c:ser>
        <c:dLbls>
          <c:showLegendKey val="0"/>
          <c:showVal val="0"/>
          <c:showCatName val="0"/>
          <c:showSerName val="0"/>
          <c:showPercent val="0"/>
          <c:showBubbleSize val="0"/>
        </c:dLbls>
        <c:smooth val="0"/>
        <c:axId val="1520597887"/>
        <c:axId val="1520594559"/>
      </c:lineChart>
      <c:catAx>
        <c:axId val="1520597887"/>
        <c:scaling>
          <c:orientation val="minMax"/>
        </c:scaling>
        <c:delete val="0"/>
        <c:axPos val="b"/>
        <c:numFmt formatCode="General" sourceLinked="1"/>
        <c:majorTickMark val="none"/>
        <c:minorTickMark val="none"/>
        <c:tickLblPos val="nextTo"/>
        <c:spPr>
          <a:noFill/>
          <a:ln w="9525" cap="flat" cmpd="sng" algn="ctr">
            <a:noFill/>
            <a:round/>
          </a:ln>
          <a:effectLst/>
        </c:spPr>
        <c:txPr>
          <a:bodyPr rot="-2700000" spcFirstLastPara="1" vertOverflow="ellipsis" wrap="square" anchor="ctr" anchorCtr="0"/>
          <a:lstStyle/>
          <a:p>
            <a:pPr>
              <a:defRPr sz="900" b="1" i="0" u="none" strike="noStrike" kern="1200" baseline="0">
                <a:solidFill>
                  <a:schemeClr val="tx1">
                    <a:lumMod val="65000"/>
                    <a:lumOff val="35000"/>
                  </a:schemeClr>
                </a:solidFill>
                <a:latin typeface="+mn-lt"/>
                <a:ea typeface="+mn-ea"/>
                <a:cs typeface="+mn-cs"/>
              </a:defRPr>
            </a:pPr>
            <a:endParaRPr lang="en-US"/>
          </a:p>
        </c:txPr>
        <c:crossAx val="1520594559"/>
        <c:crosses val="autoZero"/>
        <c:auto val="1"/>
        <c:lblAlgn val="ctr"/>
        <c:lblOffset val="50"/>
        <c:tickMarkSkip val="1"/>
        <c:noMultiLvlLbl val="0"/>
      </c:catAx>
      <c:valAx>
        <c:axId val="1520594559"/>
        <c:scaling>
          <c:orientation val="minMax"/>
          <c:min val="7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0597887"/>
        <c:crosses val="autoZero"/>
        <c:crossBetween val="midCat"/>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[65+ vaccination rates.csv]65+ vaccination rates!PivotTable1</c:name>
    <c:fmtId val="-1"/>
  </c:pivotSource>
  <c:chart>
    <c:autoTitleDeleted val="0"/>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'65+ vaccination rates'!$B$3:$B$4</c:f>
              <c:strCache>
                <c:ptCount val="1"/>
                <c:pt idx="0">
                  <c:v>Coventry</c:v>
                </c:pt>
              </c:strCache>
            </c:strRef>
          </c:tx>
          <c:spPr>
            <a:ln w="28575" cap="rnd">
              <a:solidFill>
                <a:srgbClr val="4B4B4B"/>
              </a:solidFill>
              <a:round/>
            </a:ln>
            <a:effectLst/>
          </c:spPr>
          <c:marker>
            <c:symbol val="circle"/>
            <c:size val="5"/>
            <c:spPr>
              <a:solidFill>
                <a:srgbClr val="4B4B4B"/>
              </a:solidFill>
              <a:ln w="9525">
                <a:solidFill>
                  <a:srgbClr val="4B4B4B"/>
                </a:solidFill>
              </a:ln>
              <a:effectLst/>
            </c:spPr>
          </c:marker>
          <c:cat>
            <c:strRef>
              <c:f>'65+ vaccination rates'!$A$5:$A$16</c:f>
              <c:strCache>
                <c:ptCount val="11"/>
                <c:pt idx="0">
                  <c:v>2010/11</c:v>
                </c:pt>
                <c:pt idx="1">
                  <c:v>2011/12</c:v>
                </c:pt>
                <c:pt idx="2">
                  <c:v>2012/13</c:v>
                </c:pt>
                <c:pt idx="3">
                  <c:v>2013/14</c:v>
                </c:pt>
                <c:pt idx="4">
                  <c:v>2014/15</c:v>
                </c:pt>
                <c:pt idx="5">
                  <c:v>2015/16</c:v>
                </c:pt>
                <c:pt idx="6">
                  <c:v>2016/17</c:v>
                </c:pt>
                <c:pt idx="7">
                  <c:v>2017/18</c:v>
                </c:pt>
                <c:pt idx="8">
                  <c:v>2018/19</c:v>
                </c:pt>
                <c:pt idx="9">
                  <c:v>2019/20</c:v>
                </c:pt>
                <c:pt idx="10">
                  <c:v>2020/21</c:v>
                </c:pt>
              </c:strCache>
            </c:strRef>
          </c:cat>
          <c:val>
            <c:numRef>
              <c:f>'65+ vaccination rates'!$B$5:$B$16</c:f>
              <c:numCache>
                <c:formatCode>General</c:formatCode>
                <c:ptCount val="11"/>
                <c:pt idx="0">
                  <c:v>69.227099999999993</c:v>
                </c:pt>
                <c:pt idx="1">
                  <c:v>70.797300000000007</c:v>
                </c:pt>
                <c:pt idx="2">
                  <c:v>72.763400000000004</c:v>
                </c:pt>
                <c:pt idx="3">
                  <c:v>72.900000000000006</c:v>
                </c:pt>
                <c:pt idx="4">
                  <c:v>72.382599999999996</c:v>
                </c:pt>
                <c:pt idx="5">
                  <c:v>69.569999999999993</c:v>
                </c:pt>
                <c:pt idx="6">
                  <c:v>69.2941</c:v>
                </c:pt>
                <c:pt idx="7">
                  <c:v>71.3994</c:v>
                </c:pt>
                <c:pt idx="8">
                  <c:v>69.854100000000003</c:v>
                </c:pt>
                <c:pt idx="9">
                  <c:v>69.939800000000005</c:v>
                </c:pt>
                <c:pt idx="10">
                  <c:v>78</c:v>
                </c:pt>
              </c:numCache>
            </c:numRef>
          </c:val>
          <c:smooth val="0"/>
          <c:extLst>
            <c:ext xmlns:c16="http://schemas.microsoft.com/office/drawing/2014/chart" uri="{C3380CC4-5D6E-409C-BE32-E72D297353CC}">
              <c16:uniqueId val="{00000000-2161-4BD9-8481-18BFF61CB20F}"/>
            </c:ext>
          </c:extLst>
        </c:ser>
        <c:ser>
          <c:idx val="1"/>
          <c:order val="1"/>
          <c:tx>
            <c:strRef>
              <c:f>'65+ vaccination rates'!$C$3:$C$4</c:f>
              <c:strCache>
                <c:ptCount val="1"/>
                <c:pt idx="0">
                  <c:v>England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'65+ vaccination rates'!$A$5:$A$16</c:f>
              <c:strCache>
                <c:ptCount val="11"/>
                <c:pt idx="0">
                  <c:v>2010/11</c:v>
                </c:pt>
                <c:pt idx="1">
                  <c:v>2011/12</c:v>
                </c:pt>
                <c:pt idx="2">
                  <c:v>2012/13</c:v>
                </c:pt>
                <c:pt idx="3">
                  <c:v>2013/14</c:v>
                </c:pt>
                <c:pt idx="4">
                  <c:v>2014/15</c:v>
                </c:pt>
                <c:pt idx="5">
                  <c:v>2015/16</c:v>
                </c:pt>
                <c:pt idx="6">
                  <c:v>2016/17</c:v>
                </c:pt>
                <c:pt idx="7">
                  <c:v>2017/18</c:v>
                </c:pt>
                <c:pt idx="8">
                  <c:v>2018/19</c:v>
                </c:pt>
                <c:pt idx="9">
                  <c:v>2019/20</c:v>
                </c:pt>
                <c:pt idx="10">
                  <c:v>2020/21</c:v>
                </c:pt>
              </c:strCache>
            </c:strRef>
          </c:cat>
          <c:val>
            <c:numRef>
              <c:f>'65+ vaccination rates'!$C$5:$C$16</c:f>
              <c:numCache>
                <c:formatCode>General</c:formatCode>
                <c:ptCount val="11"/>
                <c:pt idx="0">
                  <c:v>72.841099999999997</c:v>
                </c:pt>
                <c:pt idx="1">
                  <c:v>74.019400000000005</c:v>
                </c:pt>
                <c:pt idx="2">
                  <c:v>73.383300000000006</c:v>
                </c:pt>
                <c:pt idx="3">
                  <c:v>73.210599999999999</c:v>
                </c:pt>
                <c:pt idx="4">
                  <c:v>72.740899999999996</c:v>
                </c:pt>
                <c:pt idx="5">
                  <c:v>70.985200000000006</c:v>
                </c:pt>
                <c:pt idx="6">
                  <c:v>70.518600000000006</c:v>
                </c:pt>
                <c:pt idx="7">
                  <c:v>72.853700000000003</c:v>
                </c:pt>
                <c:pt idx="8">
                  <c:v>71.972800000000007</c:v>
                </c:pt>
                <c:pt idx="9">
                  <c:v>72.421199999999999</c:v>
                </c:pt>
                <c:pt idx="10">
                  <c:v>80.865499999999997</c:v>
                </c:pt>
              </c:numCache>
            </c:numRef>
          </c:val>
          <c:smooth val="0"/>
          <c:extLst>
            <c:ext xmlns:c16="http://schemas.microsoft.com/office/drawing/2014/chart" uri="{C3380CC4-5D6E-409C-BE32-E72D297353CC}">
              <c16:uniqueId val="{00000001-2161-4BD9-8481-18BFF61CB20F}"/>
            </c:ext>
          </c:extLst>
        </c:ser>
        <c:ser>
          <c:idx val="2"/>
          <c:order val="2"/>
          <c:tx>
            <c:strRef>
              <c:f>'65+ vaccination rates'!$D$3:$D$4</c:f>
              <c:strCache>
                <c:ptCount val="1"/>
                <c:pt idx="0">
                  <c:v>Warwickshire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'65+ vaccination rates'!$A$5:$A$16</c:f>
              <c:strCache>
                <c:ptCount val="11"/>
                <c:pt idx="0">
                  <c:v>2010/11</c:v>
                </c:pt>
                <c:pt idx="1">
                  <c:v>2011/12</c:v>
                </c:pt>
                <c:pt idx="2">
                  <c:v>2012/13</c:v>
                </c:pt>
                <c:pt idx="3">
                  <c:v>2013/14</c:v>
                </c:pt>
                <c:pt idx="4">
                  <c:v>2014/15</c:v>
                </c:pt>
                <c:pt idx="5">
                  <c:v>2015/16</c:v>
                </c:pt>
                <c:pt idx="6">
                  <c:v>2016/17</c:v>
                </c:pt>
                <c:pt idx="7">
                  <c:v>2017/18</c:v>
                </c:pt>
                <c:pt idx="8">
                  <c:v>2018/19</c:v>
                </c:pt>
                <c:pt idx="9">
                  <c:v>2019/20</c:v>
                </c:pt>
                <c:pt idx="10">
                  <c:v>2020/21</c:v>
                </c:pt>
              </c:strCache>
            </c:strRef>
          </c:cat>
          <c:val>
            <c:numRef>
              <c:f>'65+ vaccination rates'!$D$5:$D$16</c:f>
              <c:numCache>
                <c:formatCode>General</c:formatCode>
                <c:ptCount val="11"/>
                <c:pt idx="0">
                  <c:v>73.221199999999996</c:v>
                </c:pt>
                <c:pt idx="1">
                  <c:v>74.575800000000001</c:v>
                </c:pt>
                <c:pt idx="2">
                  <c:v>74.096599999999995</c:v>
                </c:pt>
                <c:pt idx="3">
                  <c:v>75.099999999999994</c:v>
                </c:pt>
                <c:pt idx="4">
                  <c:v>75.163399999999996</c:v>
                </c:pt>
                <c:pt idx="5">
                  <c:v>71.863299999999995</c:v>
                </c:pt>
                <c:pt idx="6">
                  <c:v>72.802499999999995</c:v>
                </c:pt>
                <c:pt idx="7">
                  <c:v>74.727800000000002</c:v>
                </c:pt>
                <c:pt idx="8">
                  <c:v>74.063299999999998</c:v>
                </c:pt>
                <c:pt idx="9">
                  <c:v>74.440799999999996</c:v>
                </c:pt>
                <c:pt idx="10">
                  <c:v>82.9</c:v>
                </c:pt>
              </c:numCache>
            </c:numRef>
          </c:val>
          <c:smooth val="0"/>
          <c:extLst>
            <c:ext xmlns:c16="http://schemas.microsoft.com/office/drawing/2014/chart" uri="{C3380CC4-5D6E-409C-BE32-E72D297353CC}">
              <c16:uniqueId val="{00000002-2161-4BD9-8481-18BFF61CB20F}"/>
            </c:ext>
          </c:extLst>
        </c:ser>
        <c:dLbls>
          <c:showLegendKey val="0"/>
          <c:showVal val="0"/>
          <c:showCatName val="0"/>
          <c:showSerName val="0"/>
          <c:showPercent val="0"/>
          <c:showBubbleSize val="0"/>
        </c:dLbls>
        <c:marker val="1"/>
        <c:smooth val="0"/>
        <c:axId val="537103247"/>
        <c:axId val="537096591"/>
      </c:lineChart>
      <c:catAx>
        <c:axId val="537103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096591"/>
        <c:crosses val="autoZero"/>
        <c:auto val="1"/>
        <c:lblAlgn val="ctr"/>
        <c:lblOffset val="100"/>
        <c:noMultiLvlLbl val="0"/>
      </c:catAx>
      <c:valAx>
        <c:axId val="53709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1032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0"/>
      <c:rotY val="0"/>
      <c:rAngAx val="1"/>
    </c:view3D>
    <c:floor>
      <c:thickness val="0"/>
    </c:floor>
    <c:sideWall>
      <c:thickness val="0"/>
    </c:sideWall>
    <c:backWall>
      <c:thickness val="0"/>
    </c:backWall>
    <c:plotArea>
      <c:layout/>
      <c:bar3DChart>
        <c:barDir val="bar"/>
        <c:grouping val="clustered"/>
        <c:varyColors val="1"/>
        <c:ser>
          <c:idx val="0"/>
          <c:order val="0"/>
          <c:invertIfNegative val="1"/>
          <c:dPt>
            <c:idx val="0"/>
            <c:invertIfNegative val="1"/>
            <c:bubble3D val="0"/>
            <c:spPr>
              <a:solidFill>
                <a:srgbClr val="477CBF"/>
              </a:solidFill>
            </c:spPr>
            <c:extLst>
              <c:ext xmlns:c16="http://schemas.microsoft.com/office/drawing/2014/chart" uri="{C3380CC4-5D6E-409C-BE32-E72D297353CC}">
                <c16:uniqueId val="{00000001-E27F-49E4-9F5C-ED6136B33278}"/>
              </c:ext>
            </c:extLst>
          </c:dPt>
          <c:dPt>
            <c:idx val="1"/>
            <c:invertIfNegative val="1"/>
            <c:bubble3D val="0"/>
            <c:spPr>
              <a:solidFill>
                <a:srgbClr val="FCB247"/>
              </a:solidFill>
            </c:spPr>
            <c:extLst>
              <c:ext xmlns:c16="http://schemas.microsoft.com/office/drawing/2014/chart" uri="{C3380CC4-5D6E-409C-BE32-E72D297353CC}">
                <c16:uniqueId val="{00000003-E27F-49E4-9F5C-ED6136B33278}"/>
              </c:ext>
            </c:extLst>
          </c:dPt>
          <c:dPt>
            <c:idx val="2"/>
            <c:invertIfNegative val="1"/>
            <c:bubble3D val="0"/>
            <c:spPr>
              <a:solidFill>
                <a:srgbClr val="E84599"/>
              </a:solidFill>
            </c:spPr>
            <c:extLst>
              <c:ext xmlns:c16="http://schemas.microsoft.com/office/drawing/2014/chart" uri="{C3380CC4-5D6E-409C-BE32-E72D297353CC}">
                <c16:uniqueId val="{00000005-E27F-49E4-9F5C-ED6136B33278}"/>
              </c:ext>
            </c:extLst>
          </c:dPt>
          <c:dPt>
            <c:idx val="3"/>
            <c:invertIfNegative val="1"/>
            <c:bubble3D val="0"/>
            <c:spPr>
              <a:solidFill>
                <a:srgbClr val="4DA0DD"/>
              </a:solidFill>
            </c:spPr>
            <c:extLst>
              <c:ext xmlns:c16="http://schemas.microsoft.com/office/drawing/2014/chart" uri="{C3380CC4-5D6E-409C-BE32-E72D297353CC}">
                <c16:uniqueId val="{00000007-E27F-49E4-9F5C-ED6136B33278}"/>
              </c:ext>
            </c:extLst>
          </c:dPt>
          <c:dPt>
            <c:idx val="4"/>
            <c:invertIfNegative val="1"/>
            <c:bubble3D val="0"/>
            <c:spPr>
              <a:solidFill>
                <a:srgbClr val="418FD4"/>
              </a:solidFill>
            </c:spPr>
            <c:extLst>
              <c:ext xmlns:c16="http://schemas.microsoft.com/office/drawing/2014/chart" uri="{C3380CC4-5D6E-409C-BE32-E72D297353CC}">
                <c16:uniqueId val="{00000009-E27F-49E4-9F5C-ED6136B33278}"/>
              </c:ext>
            </c:extLst>
          </c:dPt>
          <c:dPt>
            <c:idx val="5"/>
            <c:invertIfNegative val="1"/>
            <c:bubble3D val="0"/>
            <c:spPr>
              <a:solidFill>
                <a:srgbClr val="0093C5"/>
              </a:solidFill>
            </c:spPr>
            <c:extLst>
              <c:ext xmlns:c16="http://schemas.microsoft.com/office/drawing/2014/chart" uri="{C3380CC4-5D6E-409C-BE32-E72D297353CC}">
                <c16:uniqueId val="{0000000B-E27F-49E4-9F5C-ED6136B33278}"/>
              </c:ext>
            </c:extLst>
          </c:dPt>
          <c:dPt>
            <c:idx val="6"/>
            <c:invertIfNegative val="1"/>
            <c:bubble3D val="0"/>
            <c:spPr>
              <a:solidFill>
                <a:srgbClr val="3378B9"/>
              </a:solidFill>
            </c:spPr>
            <c:extLst>
              <c:ext xmlns:c16="http://schemas.microsoft.com/office/drawing/2014/chart" uri="{C3380CC4-5D6E-409C-BE32-E72D297353CC}">
                <c16:uniqueId val="{0000000D-E27F-49E4-9F5C-ED6136B33278}"/>
              </c:ext>
            </c:extLst>
          </c:dPt>
          <c:dPt>
            <c:idx val="7"/>
            <c:invertIfNegative val="1"/>
            <c:bubble3D val="0"/>
            <c:spPr>
              <a:solidFill>
                <a:srgbClr val="007AA3"/>
              </a:solidFill>
            </c:spPr>
            <c:extLst>
              <c:ext xmlns:c16="http://schemas.microsoft.com/office/drawing/2014/chart" uri="{C3380CC4-5D6E-409C-BE32-E72D297353CC}">
                <c16:uniqueId val="{0000000F-E27F-49E4-9F5C-ED6136B33278}"/>
              </c:ext>
            </c:extLst>
          </c:dPt>
          <c:dLbls>
            <c:dLbl>
              <c:idx val="0"/>
              <c:layout>
                <c:manualLayout>
                  <c:x val="-7.6701821668264617E-3"/>
                  <c:y val="4.38885231511959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7F-49E4-9F5C-ED6136B33278}"/>
                </c:ext>
              </c:extLst>
            </c:dLbl>
            <c:dLbl>
              <c:idx val="1"/>
              <c:layout>
                <c:manualLayout>
                  <c:x val="-9.587727708533147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7F-49E4-9F5C-ED6136B33278}"/>
                </c:ext>
              </c:extLst>
            </c:dLbl>
            <c:dLbl>
              <c:idx val="2"/>
              <c:layout>
                <c:manualLayout>
                  <c:x val="1.15052732502396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7F-49E4-9F5C-ED6136B3327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SurveyTool1!$A$1885:$A$1887</c:f>
              <c:strCache>
                <c:ptCount val="3"/>
                <c:pt idx="0">
                  <c:v>Exceeded my expectations</c:v>
                </c:pt>
                <c:pt idx="1">
                  <c:v>Met my expectations</c:v>
                </c:pt>
                <c:pt idx="2">
                  <c:v>Failed to meet my expectations</c:v>
                </c:pt>
              </c:strCache>
            </c:strRef>
          </c:cat>
          <c:val>
            <c:numRef>
              <c:f>SurveyTool1!$B$1885:$B$1887</c:f>
              <c:numCache>
                <c:formatCode>General</c:formatCode>
                <c:ptCount val="3"/>
                <c:pt idx="0">
                  <c:v>260</c:v>
                </c:pt>
                <c:pt idx="1">
                  <c:v>1055</c:v>
                </c:pt>
                <c:pt idx="2">
                  <c:v>139</c:v>
                </c:pt>
              </c:numCache>
            </c:numRef>
          </c:val>
          <c:extLst>
            <c:ext xmlns:c16="http://schemas.microsoft.com/office/drawing/2014/chart" uri="{C3380CC4-5D6E-409C-BE32-E72D297353CC}">
              <c16:uniqueId val="{00000010-E27F-49E4-9F5C-ED6136B33278}"/>
            </c:ext>
          </c:extLst>
        </c:ser>
        <c:dLbls>
          <c:showLegendKey val="0"/>
          <c:showVal val="1"/>
          <c:showCatName val="0"/>
          <c:showSerName val="0"/>
          <c:showPercent val="0"/>
          <c:showBubbleSize val="0"/>
        </c:dLbls>
        <c:gapWidth val="150"/>
        <c:shape val="box"/>
        <c:axId val="13983240"/>
        <c:axId val="10989364"/>
        <c:axId val="0"/>
      </c:bar3DChart>
      <c:catAx>
        <c:axId val="13983240"/>
        <c:scaling>
          <c:orientation val="maxMin"/>
        </c:scaling>
        <c:delete val="0"/>
        <c:axPos val="l"/>
        <c:majorGridlines/>
        <c:numFmt formatCode="General" sourceLinked="1"/>
        <c:majorTickMark val="none"/>
        <c:minorTickMark val="none"/>
        <c:tickLblPos val="nextTo"/>
        <c:txPr>
          <a:bodyPr rot="0"/>
          <a:lstStyle/>
          <a:p>
            <a:pPr>
              <a:defRPr/>
            </a:pPr>
            <a:endParaRPr lang="en-US"/>
          </a:p>
        </c:txPr>
        <c:crossAx val="10989364"/>
        <c:crosses val="autoZero"/>
        <c:auto val="1"/>
        <c:lblAlgn val="ctr"/>
        <c:lblOffset val="100"/>
        <c:tickLblSkip val="1"/>
        <c:tickMarkSkip val="1"/>
        <c:noMultiLvlLbl val="1"/>
      </c:catAx>
      <c:valAx>
        <c:axId val="10989364"/>
        <c:scaling>
          <c:orientation val="minMax"/>
        </c:scaling>
        <c:delete val="0"/>
        <c:axPos val="t"/>
        <c:majorGridlines/>
        <c:numFmt formatCode="General" sourceLinked="1"/>
        <c:majorTickMark val="none"/>
        <c:minorTickMark val="none"/>
        <c:tickLblPos val="nextTo"/>
        <c:txPr>
          <a:bodyPr rot="0"/>
          <a:lstStyle/>
          <a:p>
            <a:pPr>
              <a:defRPr/>
            </a:pPr>
            <a:endParaRPr lang="en-US"/>
          </a:p>
        </c:txPr>
        <c:crossAx val="13983240"/>
        <c:crosses val="autoZero"/>
        <c:crossBetween val="between"/>
      </c:valAx>
    </c:plotArea>
    <c:legend>
      <c:legendPos val="r"/>
      <c:overlay val="0"/>
    </c:legend>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0" i="0" u="none" strike="noStrike" kern="1200" spc="0" baseline="0">
                <a:solidFill>
                  <a:schemeClr val="tx1">
                    <a:lumMod val="65000"/>
                    <a:lumOff val="35000"/>
                  </a:schemeClr>
                </a:solidFill>
                <a:latin typeface="+mn-lt"/>
                <a:ea typeface="+mn-ea"/>
                <a:cs typeface="+mn-cs"/>
              </a:defRPr>
            </a:pPr>
            <a:r>
              <a:rPr lang="en-GB" sz="1500" b="0" i="0" baseline="0">
                <a:effectLst/>
              </a:rPr>
              <a:t>Female Life Expectancy at Birth over Time (3/1 Year Range) </a:t>
            </a:r>
            <a:endParaRPr lang="en-GB" sz="1500">
              <a:effectLst/>
            </a:endParaRPr>
          </a:p>
        </c:rich>
      </c:tx>
      <c:overlay val="0"/>
      <c:spPr>
        <a:noFill/>
        <a:ln>
          <a:noFill/>
        </a:ln>
        <a:effectLst/>
      </c:spPr>
    </c:title>
    <c:autoTitleDeleted val="0"/>
    <c:plotArea>
      <c:layout/>
      <c:lineChart>
        <c:grouping val="standard"/>
        <c:varyColors val="0"/>
        <c:ser>
          <c:idx val="1"/>
          <c:order val="0"/>
          <c:tx>
            <c:strRef>
              <c:f>'Female Life Expectancy w chat'!$A$2</c:f>
              <c:strCache>
                <c:ptCount val="1"/>
                <c:pt idx="0">
                  <c:v>Coventry</c:v>
                </c:pt>
              </c:strCache>
            </c:strRef>
          </c:tx>
          <c:spPr>
            <a:ln w="28575" cap="rnd">
              <a:solidFill>
                <a:schemeClr val="accent6"/>
              </a:solidFill>
              <a:round/>
            </a:ln>
            <a:effectLst/>
          </c:spPr>
          <c:marker>
            <c:symbol val="none"/>
          </c:marker>
          <c:dPt>
            <c:idx val="9"/>
            <c:bubble3D val="0"/>
            <c:spPr>
              <a:ln w="28575" cap="rnd">
                <a:solidFill>
                  <a:schemeClr val="accent6"/>
                </a:solidFill>
                <a:prstDash val="sysDash"/>
                <a:round/>
              </a:ln>
              <a:effectLst/>
            </c:spPr>
            <c:extLst>
              <c:ext xmlns:c16="http://schemas.microsoft.com/office/drawing/2014/chart" uri="{C3380CC4-5D6E-409C-BE32-E72D297353CC}">
                <c16:uniqueId val="{00000001-D4BC-4FBB-919C-522833DE09C7}"/>
              </c:ext>
            </c:extLst>
          </c:dPt>
          <c:dLbls>
            <c:dLbl>
              <c:idx val="8"/>
              <c:layout>
                <c:manualLayout>
                  <c:x val="-3.0200663327236352E-2"/>
                  <c:y val="-2.7629477177852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BC-4FBB-919C-522833DE09C7}"/>
                </c:ext>
              </c:extLst>
            </c:dLbl>
            <c:dLbl>
              <c:idx val="9"/>
              <c:layout>
                <c:manualLayout>
                  <c:x val="-5.6094853230076883E-3"/>
                  <c:y val="-9.183545989623724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BC-4FBB-919C-522833DE09C7}"/>
                </c:ext>
              </c:extLst>
            </c:dLbl>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chat'!$D$2:$D$11</c:f>
              <c:numCache>
                <c:formatCode>General</c:formatCode>
                <c:ptCount val="10"/>
                <c:pt idx="0">
                  <c:v>81.966120000000004</c:v>
                </c:pt>
                <c:pt idx="1">
                  <c:v>82.29871</c:v>
                </c:pt>
                <c:pt idx="2">
                  <c:v>82.190889999999996</c:v>
                </c:pt>
                <c:pt idx="3">
                  <c:v>82.280919999999995</c:v>
                </c:pt>
                <c:pt idx="4">
                  <c:v>82.371200000000002</c:v>
                </c:pt>
                <c:pt idx="5">
                  <c:v>82.388189999999994</c:v>
                </c:pt>
                <c:pt idx="6">
                  <c:v>82.347710000000006</c:v>
                </c:pt>
                <c:pt idx="7">
                  <c:v>82.15</c:v>
                </c:pt>
                <c:pt idx="8">
                  <c:v>81.97</c:v>
                </c:pt>
                <c:pt idx="9">
                  <c:v>81.5</c:v>
                </c:pt>
              </c:numCache>
            </c:numRef>
          </c:val>
          <c:smooth val="0"/>
          <c:extLst>
            <c:ext xmlns:c16="http://schemas.microsoft.com/office/drawing/2014/chart" uri="{C3380CC4-5D6E-409C-BE32-E72D297353CC}">
              <c16:uniqueId val="{00000003-D4BC-4FBB-919C-522833DE09C7}"/>
            </c:ext>
          </c:extLst>
        </c:ser>
        <c:ser>
          <c:idx val="0"/>
          <c:order val="1"/>
          <c:tx>
            <c:strRef>
              <c:f>'Female Life Expectancy w chat'!$A$12</c:f>
              <c:strCache>
                <c:ptCount val="1"/>
                <c:pt idx="0">
                  <c:v>North Warwickshire</c:v>
                </c:pt>
              </c:strCache>
            </c:strRef>
          </c:tx>
          <c:spPr>
            <a:ln w="28575" cap="rnd">
              <a:solidFill>
                <a:schemeClr val="accent5"/>
              </a:solidFill>
              <a:round/>
            </a:ln>
            <a:effectLst/>
          </c:spPr>
          <c:marker>
            <c:symbol val="none"/>
          </c:marker>
          <c:dPt>
            <c:idx val="9"/>
            <c:bubble3D val="0"/>
            <c:spPr>
              <a:ln w="28575" cap="rnd">
                <a:solidFill>
                  <a:schemeClr val="accent5"/>
                </a:solidFill>
                <a:prstDash val="sysDash"/>
                <a:round/>
              </a:ln>
              <a:effectLst/>
            </c:spPr>
            <c:extLst>
              <c:ext xmlns:c16="http://schemas.microsoft.com/office/drawing/2014/chart" uri="{C3380CC4-5D6E-409C-BE32-E72D297353CC}">
                <c16:uniqueId val="{00000005-D4BC-4FBB-919C-522833DE09C7}"/>
              </c:ext>
            </c:extLst>
          </c:dPt>
          <c:dLbls>
            <c:dLbl>
              <c:idx val="8"/>
              <c:layout>
                <c:manualLayout>
                  <c:x val="-2.9657266828407389E-2"/>
                  <c:y val="1.5623103093266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BC-4FBB-919C-522833DE09C7}"/>
                </c:ext>
              </c:extLst>
            </c:dLbl>
            <c:dLbl>
              <c:idx val="9"/>
              <c:layout>
                <c:manualLayout>
                  <c:x val="-3.5813201229375831E-3"/>
                  <c:y val="-1.50510210094829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BC-4FBB-919C-522833DE09C7}"/>
                </c:ext>
              </c:extLst>
            </c:dLbl>
            <c:spPr>
              <a:solidFill>
                <a:schemeClr val="accent5"/>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chat'!$D$12:$D$21</c:f>
              <c:numCache>
                <c:formatCode>General</c:formatCode>
                <c:ptCount val="10"/>
                <c:pt idx="0">
                  <c:v>82.204769999999996</c:v>
                </c:pt>
                <c:pt idx="1">
                  <c:v>82.150810000000007</c:v>
                </c:pt>
                <c:pt idx="2">
                  <c:v>82.546149999999997</c:v>
                </c:pt>
                <c:pt idx="3">
                  <c:v>82.244339999999994</c:v>
                </c:pt>
                <c:pt idx="4">
                  <c:v>82.319069999999996</c:v>
                </c:pt>
                <c:pt idx="5">
                  <c:v>82.9251</c:v>
                </c:pt>
                <c:pt idx="6">
                  <c:v>82.629549999999995</c:v>
                </c:pt>
                <c:pt idx="7">
                  <c:v>82.66</c:v>
                </c:pt>
                <c:pt idx="8">
                  <c:v>81.95</c:v>
                </c:pt>
                <c:pt idx="9">
                  <c:v>82</c:v>
                </c:pt>
              </c:numCache>
            </c:numRef>
          </c:val>
          <c:smooth val="0"/>
          <c:extLst>
            <c:ext xmlns:c16="http://schemas.microsoft.com/office/drawing/2014/chart" uri="{C3380CC4-5D6E-409C-BE32-E72D297353CC}">
              <c16:uniqueId val="{00000007-D4BC-4FBB-919C-522833DE09C7}"/>
            </c:ext>
          </c:extLst>
        </c:ser>
        <c:ser>
          <c:idx val="2"/>
          <c:order val="2"/>
          <c:tx>
            <c:strRef>
              <c:f>'Female Life Expectancy w chat'!$A$22</c:f>
              <c:strCache>
                <c:ptCount val="1"/>
                <c:pt idx="0">
                  <c:v>Nuneaton and Bedworth</c:v>
                </c:pt>
              </c:strCache>
            </c:strRef>
          </c:tx>
          <c:spPr>
            <a:ln w="28575" cap="rnd">
              <a:solidFill>
                <a:schemeClr val="accent1"/>
              </a:solidFill>
              <a:round/>
            </a:ln>
            <a:effectLst/>
          </c:spPr>
          <c:marker>
            <c:symbol val="none"/>
          </c:marker>
          <c:dPt>
            <c:idx val="9"/>
            <c:bubble3D val="0"/>
            <c:spPr>
              <a:ln w="28575" cap="rnd">
                <a:solidFill>
                  <a:schemeClr val="accent1"/>
                </a:solidFill>
                <a:prstDash val="sysDash"/>
                <a:round/>
              </a:ln>
              <a:effectLst/>
            </c:spPr>
            <c:extLst>
              <c:ext xmlns:c16="http://schemas.microsoft.com/office/drawing/2014/chart" uri="{C3380CC4-5D6E-409C-BE32-E72D297353CC}">
                <c16:uniqueId val="{00000009-D4BC-4FBB-919C-522833DE09C7}"/>
              </c:ext>
            </c:extLst>
          </c:dPt>
          <c:dLbls>
            <c:dLbl>
              <c:idx val="8"/>
              <c:layout>
                <c:manualLayout>
                  <c:x val="-2.9740313153734259E-2"/>
                  <c:y val="4.5493738236190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BC-4FBB-919C-522833DE09C7}"/>
                </c:ext>
              </c:extLst>
            </c:dLbl>
            <c:dLbl>
              <c:idx val="9"/>
              <c:layout>
                <c:manualLayout>
                  <c:x val="-5.7783125917307649E-3"/>
                  <c:y val="2.662733330661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BC-4FBB-919C-522833DE09C7}"/>
                </c:ext>
              </c:extLst>
            </c:dLbl>
            <c:spPr>
              <a:solidFill>
                <a:schemeClr val="accent1"/>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chat'!$D$22:$D$31</c:f>
              <c:numCache>
                <c:formatCode>General</c:formatCode>
                <c:ptCount val="10"/>
                <c:pt idx="0">
                  <c:v>82.396839999999997</c:v>
                </c:pt>
                <c:pt idx="1">
                  <c:v>82.348200000000006</c:v>
                </c:pt>
                <c:pt idx="2">
                  <c:v>82.671599999999998</c:v>
                </c:pt>
                <c:pt idx="3">
                  <c:v>82.092799999999997</c:v>
                </c:pt>
                <c:pt idx="4">
                  <c:v>82.42877</c:v>
                </c:pt>
                <c:pt idx="5">
                  <c:v>82.378020000000006</c:v>
                </c:pt>
                <c:pt idx="6">
                  <c:v>82.631349999999998</c:v>
                </c:pt>
                <c:pt idx="7">
                  <c:v>82.34</c:v>
                </c:pt>
                <c:pt idx="8">
                  <c:v>81.67</c:v>
                </c:pt>
                <c:pt idx="9">
                  <c:v>81.2</c:v>
                </c:pt>
              </c:numCache>
            </c:numRef>
          </c:val>
          <c:smooth val="0"/>
          <c:extLst>
            <c:ext xmlns:c16="http://schemas.microsoft.com/office/drawing/2014/chart" uri="{C3380CC4-5D6E-409C-BE32-E72D297353CC}">
              <c16:uniqueId val="{0000000B-D4BC-4FBB-919C-522833DE09C7}"/>
            </c:ext>
          </c:extLst>
        </c:ser>
        <c:ser>
          <c:idx val="3"/>
          <c:order val="3"/>
          <c:tx>
            <c:strRef>
              <c:f>'Female Life Expectancy w chat'!$A$32</c:f>
              <c:strCache>
                <c:ptCount val="1"/>
                <c:pt idx="0">
                  <c:v>Rugby</c:v>
                </c:pt>
              </c:strCache>
            </c:strRef>
          </c:tx>
          <c:spPr>
            <a:ln w="28575" cap="rnd">
              <a:solidFill>
                <a:schemeClr val="accent3"/>
              </a:solidFill>
              <a:round/>
            </a:ln>
            <a:effectLst/>
          </c:spPr>
          <c:marker>
            <c:symbol val="none"/>
          </c:marker>
          <c:dPt>
            <c:idx val="9"/>
            <c:bubble3D val="0"/>
            <c:spPr>
              <a:ln w="28575" cap="rnd">
                <a:solidFill>
                  <a:schemeClr val="accent3"/>
                </a:solidFill>
                <a:prstDash val="sysDash"/>
                <a:round/>
              </a:ln>
              <a:effectLst/>
            </c:spPr>
            <c:extLst>
              <c:ext xmlns:c16="http://schemas.microsoft.com/office/drawing/2014/chart" uri="{C3380CC4-5D6E-409C-BE32-E72D297353CC}">
                <c16:uniqueId val="{0000000D-D4BC-4FBB-919C-522833DE09C7}"/>
              </c:ext>
            </c:extLst>
          </c:dPt>
          <c:dLbls>
            <c:dLbl>
              <c:idx val="8"/>
              <c:layout>
                <c:manualLayout>
                  <c:x val="-3.1963781102035564E-2"/>
                  <c:y val="9.855930101019403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4BC-4FBB-919C-522833DE09C7}"/>
                </c:ext>
              </c:extLst>
            </c:dLbl>
            <c:dLbl>
              <c:idx val="9"/>
              <c:layout>
                <c:manualLayout>
                  <c:x val="-3.5527859366746581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4BC-4FBB-919C-522833DE09C7}"/>
                </c:ext>
              </c:extLst>
            </c:dLbl>
            <c:spPr>
              <a:solidFill>
                <a:schemeClr val="accent3"/>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chat'!$D$32:$D$41</c:f>
              <c:numCache>
                <c:formatCode>General</c:formatCode>
                <c:ptCount val="10"/>
                <c:pt idx="0">
                  <c:v>83.454430000000002</c:v>
                </c:pt>
                <c:pt idx="1">
                  <c:v>83.933149999999998</c:v>
                </c:pt>
                <c:pt idx="2">
                  <c:v>84.057910000000007</c:v>
                </c:pt>
                <c:pt idx="3">
                  <c:v>83.985309999999998</c:v>
                </c:pt>
                <c:pt idx="4">
                  <c:v>83.610079999999996</c:v>
                </c:pt>
                <c:pt idx="5">
                  <c:v>83.498850000000004</c:v>
                </c:pt>
                <c:pt idx="6">
                  <c:v>83.490160000000003</c:v>
                </c:pt>
                <c:pt idx="7">
                  <c:v>83.51</c:v>
                </c:pt>
                <c:pt idx="8">
                  <c:v>83.61</c:v>
                </c:pt>
                <c:pt idx="9">
                  <c:v>83.8</c:v>
                </c:pt>
              </c:numCache>
            </c:numRef>
          </c:val>
          <c:smooth val="0"/>
          <c:extLst>
            <c:ext xmlns:c16="http://schemas.microsoft.com/office/drawing/2014/chart" uri="{C3380CC4-5D6E-409C-BE32-E72D297353CC}">
              <c16:uniqueId val="{0000000F-D4BC-4FBB-919C-522833DE09C7}"/>
            </c:ext>
          </c:extLst>
        </c:ser>
        <c:ser>
          <c:idx val="4"/>
          <c:order val="4"/>
          <c:tx>
            <c:strRef>
              <c:f>'Female Life Expectancy w chat'!$A$42</c:f>
              <c:strCache>
                <c:ptCount val="1"/>
                <c:pt idx="0">
                  <c:v>Stratford-on-Avon</c:v>
                </c:pt>
              </c:strCache>
            </c:strRef>
          </c:tx>
          <c:spPr>
            <a:ln w="28575" cap="rnd">
              <a:solidFill>
                <a:schemeClr val="accent2"/>
              </a:solidFill>
              <a:round/>
            </a:ln>
            <a:effectLst/>
          </c:spPr>
          <c:marker>
            <c:symbol val="none"/>
          </c:marker>
          <c:dPt>
            <c:idx val="9"/>
            <c:bubble3D val="0"/>
            <c:spPr>
              <a:ln w="28575" cap="rnd">
                <a:solidFill>
                  <a:schemeClr val="accent2"/>
                </a:solidFill>
                <a:prstDash val="sysDash"/>
                <a:round/>
              </a:ln>
              <a:effectLst/>
            </c:spPr>
            <c:extLst>
              <c:ext xmlns:c16="http://schemas.microsoft.com/office/drawing/2014/chart" uri="{C3380CC4-5D6E-409C-BE32-E72D297353CC}">
                <c16:uniqueId val="{00000011-D4BC-4FBB-919C-522833DE09C7}"/>
              </c:ext>
            </c:extLst>
          </c:dPt>
          <c:dLbls>
            <c:dLbl>
              <c:idx val="8"/>
              <c:layout>
                <c:manualLayout>
                  <c:x val="-3.1963743679642775E-2"/>
                  <c:y val="-1.0654421938680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4BC-4FBB-919C-522833DE09C7}"/>
                </c:ext>
              </c:extLst>
            </c:dLbl>
            <c:dLbl>
              <c:idx val="9"/>
              <c:layout>
                <c:manualLayout>
                  <c:x val="-3.5527859366746581E-3"/>
                  <c:y val="-2.7441105284766489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4BC-4FBB-919C-522833DE09C7}"/>
                </c:ext>
              </c:extLst>
            </c:dLbl>
            <c:spPr>
              <a:solidFill>
                <a:schemeClr val="accent2"/>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chat'!$D$42:$D$51</c:f>
              <c:numCache>
                <c:formatCode>General</c:formatCode>
                <c:ptCount val="10"/>
                <c:pt idx="0">
                  <c:v>84.722189999999998</c:v>
                </c:pt>
                <c:pt idx="1">
                  <c:v>85.006379999999993</c:v>
                </c:pt>
                <c:pt idx="2">
                  <c:v>84.596010000000007</c:v>
                </c:pt>
                <c:pt idx="3">
                  <c:v>84.651120000000006</c:v>
                </c:pt>
                <c:pt idx="4">
                  <c:v>84.475049999999996</c:v>
                </c:pt>
                <c:pt idx="5">
                  <c:v>84.732889999999998</c:v>
                </c:pt>
                <c:pt idx="6">
                  <c:v>84.642330000000001</c:v>
                </c:pt>
                <c:pt idx="7">
                  <c:v>85.15</c:v>
                </c:pt>
                <c:pt idx="8">
                  <c:v>85.01</c:v>
                </c:pt>
                <c:pt idx="9">
                  <c:v>84.5</c:v>
                </c:pt>
              </c:numCache>
            </c:numRef>
          </c:val>
          <c:smooth val="0"/>
          <c:extLst>
            <c:ext xmlns:c16="http://schemas.microsoft.com/office/drawing/2014/chart" uri="{C3380CC4-5D6E-409C-BE32-E72D297353CC}">
              <c16:uniqueId val="{00000013-D4BC-4FBB-919C-522833DE09C7}"/>
            </c:ext>
          </c:extLst>
        </c:ser>
        <c:ser>
          <c:idx val="5"/>
          <c:order val="5"/>
          <c:tx>
            <c:strRef>
              <c:f>'Female Life Expectancy w chat'!$A$52</c:f>
              <c:strCache>
                <c:ptCount val="1"/>
                <c:pt idx="0">
                  <c:v>Warwick</c:v>
                </c:pt>
              </c:strCache>
            </c:strRef>
          </c:tx>
          <c:spPr>
            <a:ln w="28575" cap="rnd">
              <a:solidFill>
                <a:schemeClr val="accent4"/>
              </a:solidFill>
              <a:round/>
            </a:ln>
            <a:effectLst/>
          </c:spPr>
          <c:marker>
            <c:symbol val="none"/>
          </c:marker>
          <c:dPt>
            <c:idx val="9"/>
            <c:bubble3D val="0"/>
            <c:spPr>
              <a:ln w="28575" cap="rnd">
                <a:solidFill>
                  <a:schemeClr val="accent4"/>
                </a:solidFill>
                <a:prstDash val="sysDash"/>
                <a:round/>
              </a:ln>
              <a:effectLst/>
            </c:spPr>
            <c:extLst>
              <c:ext xmlns:c16="http://schemas.microsoft.com/office/drawing/2014/chart" uri="{C3380CC4-5D6E-409C-BE32-E72D297353CC}">
                <c16:uniqueId val="{00000015-D4BC-4FBB-919C-522833DE09C7}"/>
              </c:ext>
            </c:extLst>
          </c:dPt>
          <c:dLbls>
            <c:dLbl>
              <c:idx val="8"/>
              <c:layout>
                <c:manualLayout>
                  <c:x val="-3.1963781102035564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4BC-4FBB-919C-522833DE09C7}"/>
                </c:ext>
              </c:extLst>
            </c:dLbl>
            <c:dLbl>
              <c:idx val="9"/>
              <c:layout>
                <c:manualLayout>
                  <c:x val="-3.5527859366746581E-3"/>
                  <c:y val="6.070191897453546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4BC-4FBB-919C-522833DE09C7}"/>
                </c:ext>
              </c:extLst>
            </c:dLbl>
            <c:spPr>
              <a:solidFill>
                <a:schemeClr val="accent4"/>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chat'!$D$52:$D$61</c:f>
              <c:numCache>
                <c:formatCode>General</c:formatCode>
                <c:ptCount val="10"/>
                <c:pt idx="0">
                  <c:v>84.382450000000006</c:v>
                </c:pt>
                <c:pt idx="1">
                  <c:v>84.182770000000005</c:v>
                </c:pt>
                <c:pt idx="2">
                  <c:v>84.319329999999994</c:v>
                </c:pt>
                <c:pt idx="3">
                  <c:v>84.374210000000005</c:v>
                </c:pt>
                <c:pt idx="4">
                  <c:v>84.304559999999995</c:v>
                </c:pt>
                <c:pt idx="5">
                  <c:v>84.351200000000006</c:v>
                </c:pt>
                <c:pt idx="6">
                  <c:v>84.242429999999999</c:v>
                </c:pt>
                <c:pt idx="7">
                  <c:v>84.82</c:v>
                </c:pt>
                <c:pt idx="8">
                  <c:v>84.22</c:v>
                </c:pt>
                <c:pt idx="9">
                  <c:v>83.2</c:v>
                </c:pt>
              </c:numCache>
            </c:numRef>
          </c:val>
          <c:smooth val="0"/>
          <c:extLst>
            <c:ext xmlns:c16="http://schemas.microsoft.com/office/drawing/2014/chart" uri="{C3380CC4-5D6E-409C-BE32-E72D297353CC}">
              <c16:uniqueId val="{00000017-D4BC-4FBB-919C-522833DE09C7}"/>
            </c:ext>
          </c:extLst>
        </c:ser>
        <c:ser>
          <c:idx val="6"/>
          <c:order val="6"/>
          <c:tx>
            <c:strRef>
              <c:f>'Female Life Expectancy w chat'!$J$2</c:f>
              <c:strCache>
                <c:ptCount val="1"/>
              </c:strCache>
            </c:strRef>
          </c:tx>
          <c:spPr>
            <a:ln w="28575" cap="rnd">
              <a:solidFill>
                <a:schemeClr val="tx1">
                  <a:lumMod val="85000"/>
                  <a:lumOff val="15000"/>
                </a:schemeClr>
              </a:solidFill>
              <a:round/>
            </a:ln>
            <a:effectLst/>
          </c:spPr>
          <c:marker>
            <c:symbol val="picture"/>
            <c:spPr>
              <a:blipFill>
                <a:blip xmlns:r="http://schemas.openxmlformats.org/officeDocument/2006/relationships" r:embed="rId2"/>
                <a:stretch>
                  <a:fillRect/>
                </a:stretch>
              </a:blipFill>
              <a:ln w="25400">
                <a:noFill/>
              </a:ln>
              <a:effectLst/>
            </c:spPr>
          </c:marker>
          <c:cat>
            <c:multiLvlStrRef>
              <c:f>'Female Life Expectancy w chat'!$B$2:$C$11</c:f>
              <c:multiLvlStrCache>
                <c:ptCount val="10"/>
                <c:lvl>
                  <c:pt idx="0">
                    <c:v>2010 - 12</c:v>
                  </c:pt>
                  <c:pt idx="1">
                    <c:v>2011 - 13</c:v>
                  </c:pt>
                  <c:pt idx="2">
                    <c:v>2012 - 14</c:v>
                  </c:pt>
                  <c:pt idx="3">
                    <c:v>2013 - 15</c:v>
                  </c:pt>
                  <c:pt idx="4">
                    <c:v>2014 - 16</c:v>
                  </c:pt>
                  <c:pt idx="5">
                    <c:v>2015 - 17</c:v>
                  </c:pt>
                  <c:pt idx="6">
                    <c:v>2016 - 18</c:v>
                  </c:pt>
                  <c:pt idx="7">
                    <c:v>2017 - 19</c:v>
                  </c:pt>
                  <c:pt idx="8">
                    <c:v>2018 - 20</c:v>
                  </c:pt>
                  <c:pt idx="9">
                    <c:v>2020</c:v>
                  </c:pt>
                </c:lvl>
                <c:lvl>
                  <c:pt idx="0">
                    <c:v>3 Year Range</c:v>
                  </c:pt>
                  <c:pt idx="9">
                    <c:v>1 Year Range</c:v>
                  </c:pt>
                </c:lvl>
              </c:multiLvlStrCache>
            </c:multiLvlStrRef>
          </c:cat>
          <c:val>
            <c:numRef>
              <c:f>'Female Life Expectancy w chat'!$J$3:$J$11</c:f>
              <c:numCache>
                <c:formatCode>General</c:formatCode>
                <c:ptCount val="9"/>
                <c:pt idx="0">
                  <c:v>#N/A</c:v>
                </c:pt>
                <c:pt idx="1">
                  <c:v>#N/A</c:v>
                </c:pt>
                <c:pt idx="2">
                  <c:v>#N/A</c:v>
                </c:pt>
                <c:pt idx="3">
                  <c:v>#N/A</c:v>
                </c:pt>
                <c:pt idx="4">
                  <c:v>#N/A</c:v>
                </c:pt>
                <c:pt idx="5">
                  <c:v>#N/A</c:v>
                </c:pt>
                <c:pt idx="6">
                  <c:v>#N/A</c:v>
                </c:pt>
                <c:pt idx="7">
                  <c:v>#N/A</c:v>
                </c:pt>
                <c:pt idx="8">
                  <c:v>83.234732000000022</c:v>
                </c:pt>
              </c:numCache>
            </c:numRef>
          </c:val>
          <c:smooth val="0"/>
          <c:extLst>
            <c:ext xmlns:c16="http://schemas.microsoft.com/office/drawing/2014/chart" uri="{C3380CC4-5D6E-409C-BE32-E72D297353CC}">
              <c16:uniqueId val="{00000018-D4BC-4FBB-919C-522833DE09C7}"/>
            </c:ext>
          </c:extLst>
        </c:ser>
        <c:dLbls>
          <c:showLegendKey val="0"/>
          <c:showVal val="0"/>
          <c:showCatName val="0"/>
          <c:showSerName val="0"/>
          <c:showPercent val="0"/>
          <c:showBubbleSize val="0"/>
        </c:dLbls>
        <c:smooth val="0"/>
        <c:axId val="1520597887"/>
        <c:axId val="1520594559"/>
      </c:lineChart>
      <c:catAx>
        <c:axId val="1520597887"/>
        <c:scaling>
          <c:orientation val="minMax"/>
        </c:scaling>
        <c:delete val="0"/>
        <c:axPos val="b"/>
        <c:numFmt formatCode="General" sourceLinked="1"/>
        <c:majorTickMark val="none"/>
        <c:minorTickMark val="none"/>
        <c:tickLblPos val="nextTo"/>
        <c:spPr>
          <a:noFill/>
          <a:ln w="9525" cap="flat" cmpd="sng" algn="ctr">
            <a:noFill/>
            <a:round/>
          </a:ln>
          <a:effectLst/>
        </c:spPr>
        <c:txPr>
          <a:bodyPr rot="-2700000" spcFirstLastPara="1" vertOverflow="ellipsis" wrap="square" anchor="ctr" anchorCtr="0"/>
          <a:lstStyle/>
          <a:p>
            <a:pPr>
              <a:defRPr sz="900" b="1" i="0" u="none" strike="noStrike" kern="1200" baseline="0">
                <a:solidFill>
                  <a:schemeClr val="tx1">
                    <a:lumMod val="65000"/>
                    <a:lumOff val="35000"/>
                  </a:schemeClr>
                </a:solidFill>
                <a:latin typeface="+mn-lt"/>
                <a:ea typeface="+mn-ea"/>
                <a:cs typeface="+mn-cs"/>
              </a:defRPr>
            </a:pPr>
            <a:endParaRPr lang="en-US"/>
          </a:p>
        </c:txPr>
        <c:crossAx val="1520594559"/>
        <c:crosses val="autoZero"/>
        <c:auto val="1"/>
        <c:lblAlgn val="ctr"/>
        <c:lblOffset val="50"/>
        <c:tickMarkSkip val="1"/>
        <c:noMultiLvlLbl val="0"/>
      </c:catAx>
      <c:valAx>
        <c:axId val="1520594559"/>
        <c:scaling>
          <c:orientation val="minMax"/>
          <c:min val="79"/>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0597887"/>
        <c:crosses val="autoZero"/>
        <c:crossBetween val="midCat"/>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600" b="1"/>
              <a:t>Net Housing Completions by Fiscal</a:t>
            </a:r>
            <a:r>
              <a:rPr lang="en-GB" sz="1600" b="1" baseline="0"/>
              <a:t> Year and Local Authority</a:t>
            </a:r>
            <a:endParaRPr lang="en-GB" sz="16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Stratford-on-Avon</c:v>
          </c:tx>
          <c:spPr>
            <a:solidFill>
              <a:schemeClr val="accent2"/>
            </a:solidFill>
            <a:ln>
              <a:noFill/>
            </a:ln>
            <a:effectLst/>
          </c:spPr>
          <c:invertIfNegative val="0"/>
          <c:dLbls>
            <c:numFmt formatCode="#,##0" sourceLinked="0"/>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HousingStats!$C$3:$C$6</c:f>
              <c:numCache>
                <c:formatCode>General</c:formatCode>
                <c:ptCount val="4"/>
                <c:pt idx="0">
                  <c:v>1293</c:v>
                </c:pt>
                <c:pt idx="1">
                  <c:v>1386</c:v>
                </c:pt>
                <c:pt idx="2">
                  <c:v>1458</c:v>
                </c:pt>
                <c:pt idx="3">
                  <c:v>748</c:v>
                </c:pt>
              </c:numCache>
            </c:numRef>
          </c:val>
          <c:extLst>
            <c:ext xmlns:c16="http://schemas.microsoft.com/office/drawing/2014/chart" uri="{C3380CC4-5D6E-409C-BE32-E72D297353CC}">
              <c16:uniqueId val="{00000000-A471-4DDB-B22B-1C61FDA5F163}"/>
            </c:ext>
          </c:extLst>
        </c:ser>
        <c:ser>
          <c:idx val="1"/>
          <c:order val="1"/>
          <c:tx>
            <c:v>Nuneaton and Bedworth</c:v>
          </c:tx>
          <c:spPr>
            <a:solidFill>
              <a:schemeClr val="accent1"/>
            </a:solidFill>
            <a:ln>
              <a:noFill/>
            </a:ln>
            <a:effectLst/>
          </c:spPr>
          <c:invertIfNegative val="0"/>
          <c:dLbls>
            <c:numFmt formatCode="#,##0" sourceLinked="0"/>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HousingStats!$C$7:$C$10</c:f>
              <c:numCache>
                <c:formatCode>General</c:formatCode>
                <c:ptCount val="4"/>
                <c:pt idx="0">
                  <c:v>497</c:v>
                </c:pt>
                <c:pt idx="1">
                  <c:v>641</c:v>
                </c:pt>
                <c:pt idx="2">
                  <c:v>619</c:v>
                </c:pt>
                <c:pt idx="3">
                  <c:v>601</c:v>
                </c:pt>
              </c:numCache>
            </c:numRef>
          </c:val>
          <c:extLst>
            <c:ext xmlns:c16="http://schemas.microsoft.com/office/drawing/2014/chart" uri="{C3380CC4-5D6E-409C-BE32-E72D297353CC}">
              <c16:uniqueId val="{00000001-A471-4DDB-B22B-1C61FDA5F163}"/>
            </c:ext>
          </c:extLst>
        </c:ser>
        <c:ser>
          <c:idx val="2"/>
          <c:order val="2"/>
          <c:tx>
            <c:v>Warwick District</c:v>
          </c:tx>
          <c:spPr>
            <a:solidFill>
              <a:schemeClr val="accent4"/>
            </a:solidFill>
            <a:ln>
              <a:noFill/>
            </a:ln>
            <a:effectLst/>
          </c:spPr>
          <c:invertIfNegative val="0"/>
          <c:dLbls>
            <c:numFmt formatCode="#,##0" sourceLinked="0"/>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HousingStats!$C$11:$C$14</c:f>
              <c:numCache>
                <c:formatCode>General</c:formatCode>
                <c:ptCount val="4"/>
                <c:pt idx="0">
                  <c:v>1031</c:v>
                </c:pt>
                <c:pt idx="1">
                  <c:v>1050</c:v>
                </c:pt>
                <c:pt idx="2">
                  <c:v>1168</c:v>
                </c:pt>
                <c:pt idx="3">
                  <c:v>841</c:v>
                </c:pt>
              </c:numCache>
            </c:numRef>
          </c:val>
          <c:extLst>
            <c:ext xmlns:c16="http://schemas.microsoft.com/office/drawing/2014/chart" uri="{C3380CC4-5D6E-409C-BE32-E72D297353CC}">
              <c16:uniqueId val="{00000002-A471-4DDB-B22B-1C61FDA5F163}"/>
            </c:ext>
          </c:extLst>
        </c:ser>
        <c:ser>
          <c:idx val="3"/>
          <c:order val="3"/>
          <c:tx>
            <c:v>Rugby</c:v>
          </c:tx>
          <c:spPr>
            <a:solidFill>
              <a:schemeClr val="accent3"/>
            </a:solidFill>
            <a:ln>
              <a:noFill/>
            </a:ln>
            <a:effectLst/>
          </c:spPr>
          <c:invertIfNegative val="0"/>
          <c:dLbls>
            <c:numFmt formatCode="#,##0" sourceLinked="0"/>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HousingStats!$C$15:$C$18</c:f>
              <c:numCache>
                <c:formatCode>General</c:formatCode>
                <c:ptCount val="4"/>
                <c:pt idx="0">
                  <c:v>578</c:v>
                </c:pt>
                <c:pt idx="1">
                  <c:v>939</c:v>
                </c:pt>
                <c:pt idx="2">
                  <c:v>859</c:v>
                </c:pt>
                <c:pt idx="3">
                  <c:v>832</c:v>
                </c:pt>
              </c:numCache>
            </c:numRef>
          </c:val>
          <c:extLst>
            <c:ext xmlns:c16="http://schemas.microsoft.com/office/drawing/2014/chart" uri="{C3380CC4-5D6E-409C-BE32-E72D297353CC}">
              <c16:uniqueId val="{00000003-A471-4DDB-B22B-1C61FDA5F163}"/>
            </c:ext>
          </c:extLst>
        </c:ser>
        <c:ser>
          <c:idx val="4"/>
          <c:order val="4"/>
          <c:tx>
            <c:v>North Warwickshire</c:v>
          </c:tx>
          <c:spPr>
            <a:solidFill>
              <a:schemeClr val="accent5"/>
            </a:solidFill>
            <a:ln>
              <a:noFill/>
            </a:ln>
            <a:effectLst/>
          </c:spPr>
          <c:invertIfNegative val="0"/>
          <c:dLbls>
            <c:numFmt formatCode="#,##0" sourceLinked="0"/>
            <c:spPr>
              <a:solidFill>
                <a:schemeClr val="accent6"/>
              </a:solidFill>
              <a:ln>
                <a:noFill/>
              </a:ln>
              <a:effectLst>
                <a:outerShdw blurRad="63500" dist="25400" dir="5400000" algn="t"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HousingStats!$C$19:$C$22</c:f>
              <c:numCache>
                <c:formatCode>General</c:formatCode>
                <c:ptCount val="4"/>
                <c:pt idx="0">
                  <c:v>203</c:v>
                </c:pt>
                <c:pt idx="1">
                  <c:v>298</c:v>
                </c:pt>
                <c:pt idx="2">
                  <c:v>223</c:v>
                </c:pt>
                <c:pt idx="3">
                  <c:v>151</c:v>
                </c:pt>
              </c:numCache>
            </c:numRef>
          </c:val>
          <c:extLst>
            <c:ext xmlns:c16="http://schemas.microsoft.com/office/drawing/2014/chart" uri="{C3380CC4-5D6E-409C-BE32-E72D297353CC}">
              <c16:uniqueId val="{00000004-A471-4DDB-B22B-1C61FDA5F163}"/>
            </c:ext>
          </c:extLst>
        </c:ser>
        <c:ser>
          <c:idx val="5"/>
          <c:order val="5"/>
          <c:tx>
            <c:strRef>
              <c:f>HousingStats!$A$23</c:f>
              <c:strCache>
                <c:ptCount val="1"/>
                <c:pt idx="0">
                  <c:v>Coventry</c:v>
                </c:pt>
              </c:strCache>
            </c:strRef>
          </c:tx>
          <c:spPr>
            <a:solidFill>
              <a:schemeClr val="accent6"/>
            </a:solidFill>
            <a:ln>
              <a:noFill/>
            </a:ln>
            <a:effectLst/>
          </c:spPr>
          <c:invertIfNegative val="0"/>
          <c:dLbls>
            <c:spPr>
              <a:solidFill>
                <a:schemeClr val="accent6"/>
              </a:solidFill>
              <a:ln>
                <a:noFill/>
              </a:ln>
              <a:effectLst>
                <a:outerShdw blurRad="63500" dist="25400" dir="2700000" algn="tl" rotWithShape="0">
                  <a:prstClr val="black">
                    <a:alpha val="3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HousingStats!$B$23:$B$26</c:f>
              <c:strCache>
                <c:ptCount val="4"/>
                <c:pt idx="0">
                  <c:v>17/18</c:v>
                </c:pt>
                <c:pt idx="1">
                  <c:v>18/19</c:v>
                </c:pt>
                <c:pt idx="2">
                  <c:v>19/20</c:v>
                </c:pt>
                <c:pt idx="3">
                  <c:v>20/21</c:v>
                </c:pt>
              </c:strCache>
            </c:strRef>
          </c:cat>
          <c:val>
            <c:numRef>
              <c:f>HousingStats!$C$23:$C$26</c:f>
              <c:numCache>
                <c:formatCode>General</c:formatCode>
                <c:ptCount val="4"/>
                <c:pt idx="0">
                  <c:v>1239</c:v>
                </c:pt>
                <c:pt idx="1">
                  <c:v>1499</c:v>
                </c:pt>
                <c:pt idx="2">
                  <c:v>2295</c:v>
                </c:pt>
                <c:pt idx="3">
                  <c:v>589</c:v>
                </c:pt>
              </c:numCache>
            </c:numRef>
          </c:val>
          <c:extLst>
            <c:ext xmlns:c16="http://schemas.microsoft.com/office/drawing/2014/chart" uri="{C3380CC4-5D6E-409C-BE32-E72D297353CC}">
              <c16:uniqueId val="{00000005-A471-4DDB-B22B-1C61FDA5F163}"/>
            </c:ext>
          </c:extLst>
        </c:ser>
        <c:dLbls>
          <c:dLblPos val="outEnd"/>
          <c:showLegendKey val="0"/>
          <c:showVal val="1"/>
          <c:showCatName val="0"/>
          <c:showSerName val="0"/>
          <c:showPercent val="0"/>
          <c:showBubbleSize val="0"/>
        </c:dLbls>
        <c:gapWidth val="219"/>
        <c:overlap val="-27"/>
        <c:axId val="1771780223"/>
        <c:axId val="1771775231"/>
      </c:barChart>
      <c:catAx>
        <c:axId val="17717802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Fiscal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775231"/>
        <c:crosses val="autoZero"/>
        <c:auto val="1"/>
        <c:lblAlgn val="ctr"/>
        <c:lblOffset val="100"/>
        <c:noMultiLvlLbl val="0"/>
      </c:catAx>
      <c:valAx>
        <c:axId val="1771775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Dwellings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780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Pharmacies per 10,000 population</c:v>
                </c:pt>
              </c:strCache>
            </c:strRef>
          </c:tx>
          <c:spPr>
            <a:solidFill>
              <a:schemeClr val="accent1"/>
            </a:solidFill>
            <a:ln>
              <a:noFill/>
            </a:ln>
            <a:effectLst/>
          </c:spPr>
          <c:invertIfNegative val="0"/>
          <c:dPt>
            <c:idx val="0"/>
            <c:invertIfNegative val="0"/>
            <c:bubble3D val="0"/>
            <c:spPr>
              <a:solidFill>
                <a:srgbClr val="447CBF"/>
              </a:solidFill>
              <a:ln>
                <a:noFill/>
              </a:ln>
              <a:effectLst/>
            </c:spPr>
            <c:extLst>
              <c:ext xmlns:c16="http://schemas.microsoft.com/office/drawing/2014/chart" uri="{C3380CC4-5D6E-409C-BE32-E72D297353CC}">
                <c16:uniqueId val="{00000001-EE0A-4871-86A6-F79E689D6032}"/>
              </c:ext>
            </c:extLst>
          </c:dPt>
          <c:dPt>
            <c:idx val="1"/>
            <c:invertIfNegative val="0"/>
            <c:bubble3D val="0"/>
            <c:spPr>
              <a:solidFill>
                <a:srgbClr val="4B4B4B"/>
              </a:solidFill>
              <a:ln>
                <a:noFill/>
              </a:ln>
              <a:effectLst/>
            </c:spPr>
            <c:extLst>
              <c:ext xmlns:c16="http://schemas.microsoft.com/office/drawing/2014/chart" uri="{C3380CC4-5D6E-409C-BE32-E72D297353CC}">
                <c16:uniqueId val="{00000003-EE0A-4871-86A6-F79E689D6032}"/>
              </c:ext>
            </c:extLst>
          </c:dPt>
          <c:dPt>
            <c:idx val="2"/>
            <c:invertIfNegative val="0"/>
            <c:bubble3D val="0"/>
            <c:spPr>
              <a:solidFill>
                <a:srgbClr val="FCB247"/>
              </a:solidFill>
              <a:ln>
                <a:noFill/>
              </a:ln>
              <a:effectLst/>
            </c:spPr>
            <c:extLst>
              <c:ext xmlns:c16="http://schemas.microsoft.com/office/drawing/2014/chart" uri="{C3380CC4-5D6E-409C-BE32-E72D297353CC}">
                <c16:uniqueId val="{00000005-EE0A-4871-86A6-F79E689D6032}"/>
              </c:ext>
            </c:extLst>
          </c:dPt>
          <c:cat>
            <c:strRef>
              <c:f>Sheet1!$A$2:$A$4</c:f>
              <c:strCache>
                <c:ptCount val="3"/>
                <c:pt idx="0">
                  <c:v>England</c:v>
                </c:pt>
                <c:pt idx="1">
                  <c:v>Coventry</c:v>
                </c:pt>
                <c:pt idx="2">
                  <c:v>Warwickshire</c:v>
                </c:pt>
              </c:strCache>
            </c:strRef>
          </c:cat>
          <c:val>
            <c:numRef>
              <c:f>Sheet1!$B$2:$B$4</c:f>
              <c:numCache>
                <c:formatCode>General</c:formatCode>
                <c:ptCount val="3"/>
                <c:pt idx="0">
                  <c:v>2.1</c:v>
                </c:pt>
                <c:pt idx="1">
                  <c:v>2.6</c:v>
                </c:pt>
                <c:pt idx="2">
                  <c:v>1.8</c:v>
                </c:pt>
              </c:numCache>
            </c:numRef>
          </c:val>
          <c:extLst>
            <c:ext xmlns:c16="http://schemas.microsoft.com/office/drawing/2014/chart" uri="{C3380CC4-5D6E-409C-BE32-E72D297353CC}">
              <c16:uniqueId val="{00000006-EE0A-4871-86A6-F79E689D6032}"/>
            </c:ext>
          </c:extLst>
        </c:ser>
        <c:dLbls>
          <c:showLegendKey val="0"/>
          <c:showVal val="0"/>
          <c:showCatName val="0"/>
          <c:showSerName val="0"/>
          <c:showPercent val="0"/>
          <c:showBubbleSize val="0"/>
        </c:dLbls>
        <c:gapWidth val="150"/>
        <c:overlap val="100"/>
        <c:axId val="237358032"/>
        <c:axId val="237357616"/>
      </c:barChart>
      <c:catAx>
        <c:axId val="23735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57616"/>
        <c:crosses val="autoZero"/>
        <c:auto val="1"/>
        <c:lblAlgn val="ctr"/>
        <c:lblOffset val="100"/>
        <c:noMultiLvlLbl val="0"/>
      </c:catAx>
      <c:valAx>
        <c:axId val="237357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58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Impacts of Business Pressures on Patients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Pt>
            <c:idx val="0"/>
            <c:invertIfNegative val="0"/>
            <c:bubble3D val="0"/>
            <c:spPr>
              <a:solidFill>
                <a:srgbClr val="447CBF"/>
              </a:solidFill>
              <a:ln>
                <a:noFill/>
              </a:ln>
              <a:effectLst/>
            </c:spPr>
            <c:extLst>
              <c:ext xmlns:c16="http://schemas.microsoft.com/office/drawing/2014/chart" uri="{C3380CC4-5D6E-409C-BE32-E72D297353CC}">
                <c16:uniqueId val="{00000001-2ADA-4C1A-836E-B1BE01FC49A5}"/>
              </c:ext>
            </c:extLst>
          </c:dPt>
          <c:dPt>
            <c:idx val="1"/>
            <c:invertIfNegative val="0"/>
            <c:bubble3D val="0"/>
            <c:spPr>
              <a:solidFill>
                <a:srgbClr val="FCB247"/>
              </a:solidFill>
              <a:ln>
                <a:noFill/>
              </a:ln>
              <a:effectLst/>
            </c:spPr>
            <c:extLst>
              <c:ext xmlns:c16="http://schemas.microsoft.com/office/drawing/2014/chart" uri="{C3380CC4-5D6E-409C-BE32-E72D297353CC}">
                <c16:uniqueId val="{00000003-2ADA-4C1A-836E-B1BE01FC49A5}"/>
              </c:ext>
            </c:extLst>
          </c:dPt>
          <c:dPt>
            <c:idx val="2"/>
            <c:invertIfNegative val="0"/>
            <c:bubble3D val="0"/>
            <c:spPr>
              <a:solidFill>
                <a:srgbClr val="E84599"/>
              </a:solidFill>
              <a:ln>
                <a:noFill/>
              </a:ln>
              <a:effectLst/>
            </c:spPr>
            <c:extLst>
              <c:ext xmlns:c16="http://schemas.microsoft.com/office/drawing/2014/chart" uri="{C3380CC4-5D6E-409C-BE32-E72D297353CC}">
                <c16:uniqueId val="{00000005-2ADA-4C1A-836E-B1BE01FC49A5}"/>
              </c:ext>
            </c:extLst>
          </c:dPt>
          <c:dPt>
            <c:idx val="3"/>
            <c:invertIfNegative val="0"/>
            <c:bubble3D val="0"/>
            <c:spPr>
              <a:solidFill>
                <a:srgbClr val="72C48F"/>
              </a:solidFill>
              <a:ln>
                <a:noFill/>
              </a:ln>
              <a:effectLst/>
            </c:spPr>
            <c:extLst>
              <c:ext xmlns:c16="http://schemas.microsoft.com/office/drawing/2014/chart" uri="{C3380CC4-5D6E-409C-BE32-E72D297353CC}">
                <c16:uniqueId val="{00000007-2ADA-4C1A-836E-B1BE01FC49A5}"/>
              </c:ext>
            </c:extLst>
          </c:dPt>
          <c:dPt>
            <c:idx val="4"/>
            <c:invertIfNegative val="0"/>
            <c:bubble3D val="0"/>
            <c:spPr>
              <a:solidFill>
                <a:srgbClr val="AE91C4"/>
              </a:solidFill>
              <a:ln>
                <a:noFill/>
              </a:ln>
              <a:effectLst/>
            </c:spPr>
            <c:extLst>
              <c:ext xmlns:c16="http://schemas.microsoft.com/office/drawing/2014/chart" uri="{C3380CC4-5D6E-409C-BE32-E72D297353CC}">
                <c16:uniqueId val="{00000009-2ADA-4C1A-836E-B1BE01FC49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Unable to spend as much time with patients</c:v>
                </c:pt>
                <c:pt idx="1">
                  <c:v>Taking longer to dispense prescriptions</c:v>
                </c:pt>
                <c:pt idx="2">
                  <c:v>Unable to respond promptly to patient's phone calls/emails</c:v>
                </c:pt>
                <c:pt idx="3">
                  <c:v>Unable to provide some Advanced Services</c:v>
                </c:pt>
                <c:pt idx="4">
                  <c:v>Unable to provide locally commissioned services</c:v>
                </c:pt>
              </c:strCache>
            </c:strRef>
          </c:cat>
          <c:val>
            <c:numRef>
              <c:f>Sheet1!$B$2:$B$6</c:f>
              <c:numCache>
                <c:formatCode>0%</c:formatCode>
                <c:ptCount val="5"/>
                <c:pt idx="0">
                  <c:v>0.9</c:v>
                </c:pt>
                <c:pt idx="1">
                  <c:v>0.87</c:v>
                </c:pt>
                <c:pt idx="2">
                  <c:v>0.81</c:v>
                </c:pt>
                <c:pt idx="3">
                  <c:v>0.69</c:v>
                </c:pt>
                <c:pt idx="4">
                  <c:v>0.51</c:v>
                </c:pt>
              </c:numCache>
            </c:numRef>
          </c:val>
          <c:extLst>
            <c:ext xmlns:c16="http://schemas.microsoft.com/office/drawing/2014/chart" uri="{C3380CC4-5D6E-409C-BE32-E72D297353CC}">
              <c16:uniqueId val="{0000000A-2ADA-4C1A-836E-B1BE01FC49A5}"/>
            </c:ext>
          </c:extLst>
        </c:ser>
        <c:dLbls>
          <c:dLblPos val="outEnd"/>
          <c:showLegendKey val="0"/>
          <c:showVal val="1"/>
          <c:showCatName val="0"/>
          <c:showSerName val="0"/>
          <c:showPercent val="0"/>
          <c:showBubbleSize val="0"/>
        </c:dLbls>
        <c:gapWidth val="219"/>
        <c:overlap val="-27"/>
        <c:axId val="753866368"/>
        <c:axId val="110201584"/>
      </c:barChart>
      <c:catAx>
        <c:axId val="75386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01584"/>
        <c:crosses val="autoZero"/>
        <c:auto val="1"/>
        <c:lblAlgn val="ctr"/>
        <c:lblOffset val="100"/>
        <c:noMultiLvlLbl val="0"/>
      </c:catAx>
      <c:valAx>
        <c:axId val="110201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3866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Sheet1!$B$8</c:f>
              <c:strCache>
                <c:ptCount val="1"/>
                <c:pt idx="0">
                  <c:v>Impacts of Medicine Supply Issues</c:v>
                </c:pt>
              </c:strCache>
            </c:strRef>
          </c:tx>
          <c:spPr>
            <a:solidFill>
              <a:srgbClr val="447CBF"/>
            </a:solidFill>
            <a:ln>
              <a:noFill/>
            </a:ln>
            <a:effectLst/>
          </c:spPr>
          <c:invertIfNegative val="0"/>
          <c:dPt>
            <c:idx val="1"/>
            <c:invertIfNegative val="0"/>
            <c:bubble3D val="0"/>
            <c:spPr>
              <a:solidFill>
                <a:srgbClr val="FCB247"/>
              </a:solidFill>
              <a:ln>
                <a:noFill/>
              </a:ln>
              <a:effectLst/>
            </c:spPr>
            <c:extLst>
              <c:ext xmlns:c16="http://schemas.microsoft.com/office/drawing/2014/chart" uri="{C3380CC4-5D6E-409C-BE32-E72D297353CC}">
                <c16:uniqueId val="{00000001-E4B4-46BD-9930-5B5C5CBB8798}"/>
              </c:ext>
            </c:extLst>
          </c:dPt>
          <c:dPt>
            <c:idx val="2"/>
            <c:invertIfNegative val="0"/>
            <c:bubble3D val="0"/>
            <c:spPr>
              <a:solidFill>
                <a:srgbClr val="E84599"/>
              </a:solidFill>
              <a:ln>
                <a:noFill/>
              </a:ln>
              <a:effectLst/>
            </c:spPr>
            <c:extLst>
              <c:ext xmlns:c16="http://schemas.microsoft.com/office/drawing/2014/chart" uri="{C3380CC4-5D6E-409C-BE32-E72D297353CC}">
                <c16:uniqueId val="{00000003-E4B4-46BD-9930-5B5C5CBB8798}"/>
              </c:ext>
            </c:extLst>
          </c:dPt>
          <c:dPt>
            <c:idx val="3"/>
            <c:invertIfNegative val="0"/>
            <c:bubble3D val="0"/>
            <c:spPr>
              <a:solidFill>
                <a:srgbClr val="72C48F"/>
              </a:solidFill>
              <a:ln>
                <a:noFill/>
              </a:ln>
              <a:effectLst/>
            </c:spPr>
            <c:extLst>
              <c:ext xmlns:c16="http://schemas.microsoft.com/office/drawing/2014/chart" uri="{C3380CC4-5D6E-409C-BE32-E72D297353CC}">
                <c16:uniqueId val="{00000005-E4B4-46BD-9930-5B5C5CBB8798}"/>
              </c:ext>
            </c:extLst>
          </c:dPt>
          <c:dPt>
            <c:idx val="4"/>
            <c:invertIfNegative val="0"/>
            <c:bubble3D val="0"/>
            <c:spPr>
              <a:solidFill>
                <a:srgbClr val="AE91C4"/>
              </a:solidFill>
              <a:ln>
                <a:noFill/>
              </a:ln>
              <a:effectLst/>
            </c:spPr>
            <c:extLst>
              <c:ext xmlns:c16="http://schemas.microsoft.com/office/drawing/2014/chart" uri="{C3380CC4-5D6E-409C-BE32-E72D297353CC}">
                <c16:uniqueId val="{00000007-E4B4-46BD-9930-5B5C5CBB8798}"/>
              </c:ext>
            </c:extLst>
          </c:dPt>
          <c:dPt>
            <c:idx val="5"/>
            <c:invertIfNegative val="0"/>
            <c:bubble3D val="0"/>
            <c:spPr>
              <a:solidFill>
                <a:srgbClr val="4B4B4B"/>
              </a:solidFill>
              <a:ln>
                <a:noFill/>
              </a:ln>
              <a:effectLst/>
            </c:spPr>
            <c:extLst>
              <c:ext xmlns:c16="http://schemas.microsoft.com/office/drawing/2014/chart" uri="{C3380CC4-5D6E-409C-BE32-E72D297353CC}">
                <c16:uniqueId val="{00000009-E4B4-46BD-9930-5B5C5CBB8798}"/>
              </c:ext>
            </c:extLst>
          </c:dPt>
          <c:dPt>
            <c:idx val="6"/>
            <c:invertIfNegative val="0"/>
            <c:bubble3D val="0"/>
            <c:spPr>
              <a:solidFill>
                <a:srgbClr val="AEBCE1"/>
              </a:solidFill>
              <a:ln>
                <a:noFill/>
              </a:ln>
              <a:effectLst/>
            </c:spPr>
            <c:extLst>
              <c:ext xmlns:c16="http://schemas.microsoft.com/office/drawing/2014/chart" uri="{C3380CC4-5D6E-409C-BE32-E72D297353CC}">
                <c16:uniqueId val="{0000000B-E4B4-46BD-9930-5B5C5CBB87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Sheet1!$A$9:$A$15</c:f>
              <c:strCache>
                <c:ptCount val="7"/>
                <c:pt idx="0">
                  <c:v>More patient owings issued</c:v>
                </c:pt>
                <c:pt idx="1">
                  <c:v>Patient frustration</c:v>
                </c:pt>
                <c:pt idx="2">
                  <c:v>Extra staff workload</c:v>
                </c:pt>
                <c:pt idx="3">
                  <c:v>Patients inconvenienced</c:v>
                </c:pt>
                <c:pt idx="4">
                  <c:v>Extra staff stress</c:v>
                </c:pt>
                <c:pt idx="5">
                  <c:v>Need to contact GP to resolve</c:v>
                </c:pt>
                <c:pt idx="6">
                  <c:v>Patient agression</c:v>
                </c:pt>
              </c:strCache>
            </c:strRef>
          </c:cat>
          <c:val>
            <c:numRef>
              <c:f>Sheet1!$B$9:$B$15</c:f>
              <c:numCache>
                <c:formatCode>0%</c:formatCode>
                <c:ptCount val="7"/>
                <c:pt idx="0">
                  <c:v>0.98</c:v>
                </c:pt>
                <c:pt idx="1">
                  <c:v>0.97</c:v>
                </c:pt>
                <c:pt idx="2">
                  <c:v>0.96</c:v>
                </c:pt>
                <c:pt idx="3">
                  <c:v>0.94</c:v>
                </c:pt>
                <c:pt idx="4">
                  <c:v>0.94</c:v>
                </c:pt>
                <c:pt idx="5">
                  <c:v>0.91</c:v>
                </c:pt>
                <c:pt idx="6">
                  <c:v>0.75</c:v>
                </c:pt>
              </c:numCache>
            </c:numRef>
          </c:val>
          <c:extLst>
            <c:ext xmlns:c16="http://schemas.microsoft.com/office/drawing/2014/chart" uri="{C3380CC4-5D6E-409C-BE32-E72D297353CC}">
              <c16:uniqueId val="{0000000C-E4B4-46BD-9930-5B5C5CBB8798}"/>
            </c:ext>
          </c:extLst>
        </c:ser>
        <c:dLbls>
          <c:dLblPos val="outEnd"/>
          <c:showLegendKey val="0"/>
          <c:showVal val="1"/>
          <c:showCatName val="0"/>
          <c:showSerName val="0"/>
          <c:showPercent val="0"/>
          <c:showBubbleSize val="0"/>
        </c:dLbls>
        <c:gapWidth val="219"/>
        <c:overlap val="-27"/>
        <c:axId val="1087986064"/>
        <c:axId val="1087981488"/>
      </c:barChart>
      <c:catAx>
        <c:axId val="108798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981488"/>
        <c:crosses val="autoZero"/>
        <c:auto val="1"/>
        <c:lblAlgn val="ctr"/>
        <c:lblOffset val="100"/>
        <c:noMultiLvlLbl val="0"/>
      </c:catAx>
      <c:valAx>
        <c:axId val="1087981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986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Sheet1!$B$17</c:f>
              <c:strCache>
                <c:ptCount val="1"/>
                <c:pt idx="0">
                  <c:v>Impacts of Staff Shortages</c:v>
                </c:pt>
              </c:strCache>
            </c:strRef>
          </c:tx>
          <c:spPr>
            <a:solidFill>
              <a:schemeClr val="accent1"/>
            </a:solidFill>
            <a:ln>
              <a:noFill/>
            </a:ln>
            <a:effectLst/>
          </c:spPr>
          <c:invertIfNegative val="0"/>
          <c:dPt>
            <c:idx val="0"/>
            <c:invertIfNegative val="0"/>
            <c:bubble3D val="0"/>
            <c:spPr>
              <a:solidFill>
                <a:srgbClr val="447CBF"/>
              </a:solidFill>
              <a:ln>
                <a:noFill/>
              </a:ln>
              <a:effectLst/>
            </c:spPr>
            <c:extLst>
              <c:ext xmlns:c16="http://schemas.microsoft.com/office/drawing/2014/chart" uri="{C3380CC4-5D6E-409C-BE32-E72D297353CC}">
                <c16:uniqueId val="{00000001-31F3-40B0-9193-620BB3DFFD87}"/>
              </c:ext>
            </c:extLst>
          </c:dPt>
          <c:dPt>
            <c:idx val="1"/>
            <c:invertIfNegative val="0"/>
            <c:bubble3D val="0"/>
            <c:spPr>
              <a:solidFill>
                <a:srgbClr val="FCB247"/>
              </a:solidFill>
              <a:ln>
                <a:noFill/>
              </a:ln>
              <a:effectLst/>
            </c:spPr>
            <c:extLst>
              <c:ext xmlns:c16="http://schemas.microsoft.com/office/drawing/2014/chart" uri="{C3380CC4-5D6E-409C-BE32-E72D297353CC}">
                <c16:uniqueId val="{00000003-31F3-40B0-9193-620BB3DFFD87}"/>
              </c:ext>
            </c:extLst>
          </c:dPt>
          <c:dPt>
            <c:idx val="2"/>
            <c:invertIfNegative val="0"/>
            <c:bubble3D val="0"/>
            <c:spPr>
              <a:solidFill>
                <a:srgbClr val="E84599"/>
              </a:solidFill>
              <a:ln>
                <a:noFill/>
              </a:ln>
              <a:effectLst/>
            </c:spPr>
            <c:extLst>
              <c:ext xmlns:c16="http://schemas.microsoft.com/office/drawing/2014/chart" uri="{C3380CC4-5D6E-409C-BE32-E72D297353CC}">
                <c16:uniqueId val="{00000005-31F3-40B0-9193-620BB3DFFD87}"/>
              </c:ext>
            </c:extLst>
          </c:dPt>
          <c:dPt>
            <c:idx val="3"/>
            <c:invertIfNegative val="0"/>
            <c:bubble3D val="0"/>
            <c:spPr>
              <a:solidFill>
                <a:srgbClr val="72C48F"/>
              </a:solidFill>
              <a:ln>
                <a:noFill/>
              </a:ln>
              <a:effectLst/>
            </c:spPr>
            <c:extLst>
              <c:ext xmlns:c16="http://schemas.microsoft.com/office/drawing/2014/chart" uri="{C3380CC4-5D6E-409C-BE32-E72D297353CC}">
                <c16:uniqueId val="{00000007-31F3-40B0-9193-620BB3DFFD87}"/>
              </c:ext>
            </c:extLst>
          </c:dPt>
          <c:dPt>
            <c:idx val="4"/>
            <c:invertIfNegative val="0"/>
            <c:bubble3D val="0"/>
            <c:spPr>
              <a:solidFill>
                <a:srgbClr val="AE91C4"/>
              </a:solidFill>
              <a:ln>
                <a:noFill/>
              </a:ln>
              <a:effectLst/>
            </c:spPr>
            <c:extLst>
              <c:ext xmlns:c16="http://schemas.microsoft.com/office/drawing/2014/chart" uri="{C3380CC4-5D6E-409C-BE32-E72D297353CC}">
                <c16:uniqueId val="{00000009-31F3-40B0-9193-620BB3DFFD87}"/>
              </c:ext>
            </c:extLst>
          </c:dPt>
          <c:dPt>
            <c:idx val="5"/>
            <c:invertIfNegative val="0"/>
            <c:bubble3D val="0"/>
            <c:spPr>
              <a:solidFill>
                <a:srgbClr val="4B4B4B"/>
              </a:solidFill>
              <a:ln>
                <a:noFill/>
              </a:ln>
              <a:effectLst/>
            </c:spPr>
            <c:extLst>
              <c:ext xmlns:c16="http://schemas.microsoft.com/office/drawing/2014/chart" uri="{C3380CC4-5D6E-409C-BE32-E72D297353CC}">
                <c16:uniqueId val="{0000000B-31F3-40B0-9193-620BB3DFFD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Sheet1!$A$18:$A$23</c:f>
              <c:strCache>
                <c:ptCount val="6"/>
                <c:pt idx="0">
                  <c:v>Increased pressures on staff</c:v>
                </c:pt>
                <c:pt idx="1">
                  <c:v>Increased costs</c:v>
                </c:pt>
                <c:pt idx="2">
                  <c:v>Increased working hours for staff</c:v>
                </c:pt>
                <c:pt idx="3">
                  <c:v>Reduction in ability to offer services or provide advice to patients</c:v>
                </c:pt>
                <c:pt idx="4">
                  <c:v>Stopping provision to non-essential services</c:v>
                </c:pt>
                <c:pt idx="5">
                  <c:v>Reduced opening hours</c:v>
                </c:pt>
              </c:strCache>
            </c:strRef>
          </c:cat>
          <c:val>
            <c:numRef>
              <c:f>Sheet1!$B$18:$B$23</c:f>
              <c:numCache>
                <c:formatCode>0%</c:formatCode>
                <c:ptCount val="6"/>
                <c:pt idx="0">
                  <c:v>0.98</c:v>
                </c:pt>
                <c:pt idx="1">
                  <c:v>0.87</c:v>
                </c:pt>
                <c:pt idx="2">
                  <c:v>0.85</c:v>
                </c:pt>
                <c:pt idx="3">
                  <c:v>0.71</c:v>
                </c:pt>
                <c:pt idx="4">
                  <c:v>0.51</c:v>
                </c:pt>
                <c:pt idx="5">
                  <c:v>0.23</c:v>
                </c:pt>
              </c:numCache>
            </c:numRef>
          </c:val>
          <c:extLst>
            <c:ext xmlns:c16="http://schemas.microsoft.com/office/drawing/2014/chart" uri="{C3380CC4-5D6E-409C-BE32-E72D297353CC}">
              <c16:uniqueId val="{0000000C-31F3-40B0-9193-620BB3DFFD87}"/>
            </c:ext>
          </c:extLst>
        </c:ser>
        <c:dLbls>
          <c:dLblPos val="outEnd"/>
          <c:showLegendKey val="0"/>
          <c:showVal val="1"/>
          <c:showCatName val="0"/>
          <c:showSerName val="0"/>
          <c:showPercent val="0"/>
          <c:showBubbleSize val="0"/>
        </c:dLbls>
        <c:gapWidth val="219"/>
        <c:overlap val="-27"/>
        <c:axId val="1147788576"/>
        <c:axId val="1147784000"/>
      </c:barChart>
      <c:catAx>
        <c:axId val="114778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784000"/>
        <c:crosses val="autoZero"/>
        <c:auto val="1"/>
        <c:lblAlgn val="ctr"/>
        <c:lblOffset val="100"/>
        <c:noMultiLvlLbl val="0"/>
      </c:catAx>
      <c:valAx>
        <c:axId val="1147784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7788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Workload Increases Experienced by Pharmacy Teams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Sheet1!$B$25</c:f>
              <c:strCache>
                <c:ptCount val="1"/>
                <c:pt idx="0">
                  <c:v>Significant Increase</c:v>
                </c:pt>
              </c:strCache>
            </c:strRef>
          </c:tx>
          <c:spPr>
            <a:solidFill>
              <a:srgbClr val="447CBF"/>
            </a:solidFill>
            <a:ln>
              <a:noFill/>
            </a:ln>
            <a:effectLst/>
          </c:spPr>
          <c:invertIfNegative val="0"/>
          <c:cat>
            <c:strRef>
              <c:f>Sheet1!$A$26:$A$33</c:f>
              <c:strCache>
                <c:ptCount val="8"/>
                <c:pt idx="0">
                  <c:v>Phone calls from patients about prescriptions</c:v>
                </c:pt>
                <c:pt idx="1">
                  <c:v>Supply chain/medicines delivery issues</c:v>
                </c:pt>
                <c:pt idx="2">
                  <c:v>Requests for healthcare advice</c:v>
                </c:pt>
                <c:pt idx="3">
                  <c:v>Requests for medicines deliveries</c:v>
                </c:pt>
                <c:pt idx="4">
                  <c:v>Delays in prescriptions being issued by GP practices</c:v>
                </c:pt>
                <c:pt idx="5">
                  <c:v>Missed items on prescriptions</c:v>
                </c:pt>
                <c:pt idx="6">
                  <c:v>Informal referrals from GP practices</c:v>
                </c:pt>
                <c:pt idx="7">
                  <c:v>Incorrect information from GP practices to patients</c:v>
                </c:pt>
              </c:strCache>
            </c:strRef>
          </c:cat>
          <c:val>
            <c:numRef>
              <c:f>Sheet1!$B$26:$B$33</c:f>
              <c:numCache>
                <c:formatCode>0%</c:formatCode>
                <c:ptCount val="8"/>
                <c:pt idx="0">
                  <c:v>0.82</c:v>
                </c:pt>
                <c:pt idx="1">
                  <c:v>0.7</c:v>
                </c:pt>
                <c:pt idx="2">
                  <c:v>0.74</c:v>
                </c:pt>
                <c:pt idx="3">
                  <c:v>0.56999999999999995</c:v>
                </c:pt>
                <c:pt idx="4">
                  <c:v>0.56000000000000005</c:v>
                </c:pt>
                <c:pt idx="5">
                  <c:v>0.55000000000000004</c:v>
                </c:pt>
                <c:pt idx="6">
                  <c:v>0.55000000000000004</c:v>
                </c:pt>
                <c:pt idx="7">
                  <c:v>0.5</c:v>
                </c:pt>
              </c:numCache>
            </c:numRef>
          </c:val>
          <c:extLst>
            <c:ext xmlns:c16="http://schemas.microsoft.com/office/drawing/2014/chart" uri="{C3380CC4-5D6E-409C-BE32-E72D297353CC}">
              <c16:uniqueId val="{00000000-6DC9-4AA2-9C05-2E86DF7AF2DF}"/>
            </c:ext>
          </c:extLst>
        </c:ser>
        <c:ser>
          <c:idx val="1"/>
          <c:order val="1"/>
          <c:tx>
            <c:strRef>
              <c:f>Sheet1!$C$25</c:f>
              <c:strCache>
                <c:ptCount val="1"/>
                <c:pt idx="0">
                  <c:v>Small Increase</c:v>
                </c:pt>
              </c:strCache>
            </c:strRef>
          </c:tx>
          <c:spPr>
            <a:solidFill>
              <a:srgbClr val="FCB247"/>
            </a:solidFill>
            <a:ln>
              <a:noFill/>
            </a:ln>
            <a:effectLst/>
          </c:spPr>
          <c:invertIfNegative val="0"/>
          <c:cat>
            <c:strRef>
              <c:f>Sheet1!$A$26:$A$33</c:f>
              <c:strCache>
                <c:ptCount val="8"/>
                <c:pt idx="0">
                  <c:v>Phone calls from patients about prescriptions</c:v>
                </c:pt>
                <c:pt idx="1">
                  <c:v>Supply chain/medicines delivery issues</c:v>
                </c:pt>
                <c:pt idx="2">
                  <c:v>Requests for healthcare advice</c:v>
                </c:pt>
                <c:pt idx="3">
                  <c:v>Requests for medicines deliveries</c:v>
                </c:pt>
                <c:pt idx="4">
                  <c:v>Delays in prescriptions being issued by GP practices</c:v>
                </c:pt>
                <c:pt idx="5">
                  <c:v>Missed items on prescriptions</c:v>
                </c:pt>
                <c:pt idx="6">
                  <c:v>Informal referrals from GP practices</c:v>
                </c:pt>
                <c:pt idx="7">
                  <c:v>Incorrect information from GP practices to patients</c:v>
                </c:pt>
              </c:strCache>
            </c:strRef>
          </c:cat>
          <c:val>
            <c:numRef>
              <c:f>Sheet1!$C$26:$C$33</c:f>
              <c:numCache>
                <c:formatCode>0%</c:formatCode>
                <c:ptCount val="8"/>
                <c:pt idx="0">
                  <c:v>0.16</c:v>
                </c:pt>
                <c:pt idx="1">
                  <c:v>0.28000000000000003</c:v>
                </c:pt>
                <c:pt idx="2">
                  <c:v>0.2</c:v>
                </c:pt>
                <c:pt idx="3">
                  <c:v>0.33</c:v>
                </c:pt>
                <c:pt idx="4">
                  <c:v>0.33</c:v>
                </c:pt>
                <c:pt idx="5">
                  <c:v>0.36</c:v>
                </c:pt>
                <c:pt idx="6">
                  <c:v>0.32</c:v>
                </c:pt>
                <c:pt idx="7">
                  <c:v>0.32</c:v>
                </c:pt>
              </c:numCache>
            </c:numRef>
          </c:val>
          <c:extLst>
            <c:ext xmlns:c16="http://schemas.microsoft.com/office/drawing/2014/chart" uri="{C3380CC4-5D6E-409C-BE32-E72D297353CC}">
              <c16:uniqueId val="{00000001-6DC9-4AA2-9C05-2E86DF7AF2DF}"/>
            </c:ext>
          </c:extLst>
        </c:ser>
        <c:ser>
          <c:idx val="2"/>
          <c:order val="2"/>
          <c:tx>
            <c:strRef>
              <c:f>Sheet1!$D$25</c:f>
              <c:strCache>
                <c:ptCount val="1"/>
                <c:pt idx="0">
                  <c:v>No Increase</c:v>
                </c:pt>
              </c:strCache>
            </c:strRef>
          </c:tx>
          <c:spPr>
            <a:solidFill>
              <a:srgbClr val="E84599"/>
            </a:solidFill>
            <a:ln>
              <a:noFill/>
            </a:ln>
            <a:effectLst/>
          </c:spPr>
          <c:invertIfNegative val="0"/>
          <c:cat>
            <c:strRef>
              <c:f>Sheet1!$A$26:$A$33</c:f>
              <c:strCache>
                <c:ptCount val="8"/>
                <c:pt idx="0">
                  <c:v>Phone calls from patients about prescriptions</c:v>
                </c:pt>
                <c:pt idx="1">
                  <c:v>Supply chain/medicines delivery issues</c:v>
                </c:pt>
                <c:pt idx="2">
                  <c:v>Requests for healthcare advice</c:v>
                </c:pt>
                <c:pt idx="3">
                  <c:v>Requests for medicines deliveries</c:v>
                </c:pt>
                <c:pt idx="4">
                  <c:v>Delays in prescriptions being issued by GP practices</c:v>
                </c:pt>
                <c:pt idx="5">
                  <c:v>Missed items on prescriptions</c:v>
                </c:pt>
                <c:pt idx="6">
                  <c:v>Informal referrals from GP practices</c:v>
                </c:pt>
                <c:pt idx="7">
                  <c:v>Incorrect information from GP practices to patients</c:v>
                </c:pt>
              </c:strCache>
            </c:strRef>
          </c:cat>
          <c:val>
            <c:numRef>
              <c:f>Sheet1!$D$26:$D$33</c:f>
              <c:numCache>
                <c:formatCode>0%</c:formatCode>
                <c:ptCount val="8"/>
                <c:pt idx="0">
                  <c:v>0.02</c:v>
                </c:pt>
                <c:pt idx="1">
                  <c:v>0.02</c:v>
                </c:pt>
                <c:pt idx="2">
                  <c:v>0.06</c:v>
                </c:pt>
                <c:pt idx="3">
                  <c:v>0.1</c:v>
                </c:pt>
                <c:pt idx="4">
                  <c:v>0.11</c:v>
                </c:pt>
                <c:pt idx="5">
                  <c:v>0.09</c:v>
                </c:pt>
                <c:pt idx="6">
                  <c:v>0.13</c:v>
                </c:pt>
                <c:pt idx="7">
                  <c:v>0.18</c:v>
                </c:pt>
              </c:numCache>
            </c:numRef>
          </c:val>
          <c:extLst>
            <c:ext xmlns:c16="http://schemas.microsoft.com/office/drawing/2014/chart" uri="{C3380CC4-5D6E-409C-BE32-E72D297353CC}">
              <c16:uniqueId val="{00000002-6DC9-4AA2-9C05-2E86DF7AF2DF}"/>
            </c:ext>
          </c:extLst>
        </c:ser>
        <c:dLbls>
          <c:showLegendKey val="0"/>
          <c:showVal val="0"/>
          <c:showCatName val="0"/>
          <c:showSerName val="0"/>
          <c:showPercent val="0"/>
          <c:showBubbleSize val="0"/>
        </c:dLbls>
        <c:gapWidth val="219"/>
        <c:overlap val="-27"/>
        <c:axId val="756005872"/>
        <c:axId val="756006288"/>
      </c:barChart>
      <c:catAx>
        <c:axId val="75600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006288"/>
        <c:crosses val="autoZero"/>
        <c:auto val="1"/>
        <c:lblAlgn val="ctr"/>
        <c:lblOffset val="100"/>
        <c:noMultiLvlLbl val="0"/>
      </c:catAx>
      <c:valAx>
        <c:axId val="756006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005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Concerned</a:t>
            </a:r>
            <a:r>
              <a:rPr lang="en-GB" baseline="0"/>
              <a:t> are Pharmacies about the Following Issues?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Sheet1!$B$35</c:f>
              <c:strCache>
                <c:ptCount val="1"/>
                <c:pt idx="0">
                  <c:v>1 to 3</c:v>
                </c:pt>
              </c:strCache>
            </c:strRef>
          </c:tx>
          <c:spPr>
            <a:solidFill>
              <a:srgbClr val="447CBF"/>
            </a:solidFill>
            <a:ln>
              <a:noFill/>
            </a:ln>
            <a:effectLst/>
          </c:spPr>
          <c:invertIfNegative val="0"/>
          <c:cat>
            <c:strRef>
              <c:f>Sheet1!$A$36:$A$43</c:f>
              <c:strCache>
                <c:ptCount val="8"/>
                <c:pt idx="0">
                  <c:v>Pharmacy teams' wellbeing</c:v>
                </c:pt>
                <c:pt idx="1">
                  <c:v>Staffing</c:v>
                </c:pt>
                <c:pt idx="2">
                  <c:v>Finances</c:v>
                </c:pt>
                <c:pt idx="3">
                  <c:v>Medicines supply</c:v>
                </c:pt>
                <c:pt idx="4">
                  <c:v>Ability to deliver non-essential services</c:v>
                </c:pt>
                <c:pt idx="5">
                  <c:v>Ability to help patients</c:v>
                </c:pt>
                <c:pt idx="6">
                  <c:v>Patient safety</c:v>
                </c:pt>
                <c:pt idx="7">
                  <c:v>Ability to keep pharmacies open</c:v>
                </c:pt>
              </c:strCache>
            </c:strRef>
          </c:cat>
          <c:val>
            <c:numRef>
              <c:f>Sheet1!$B$36:$B$43</c:f>
              <c:numCache>
                <c:formatCode>0.0%</c:formatCode>
                <c:ptCount val="8"/>
                <c:pt idx="0">
                  <c:v>1.7000000000000001E-2</c:v>
                </c:pt>
                <c:pt idx="1">
                  <c:v>3.4000000000000002E-2</c:v>
                </c:pt>
                <c:pt idx="2">
                  <c:v>2.4E-2</c:v>
                </c:pt>
                <c:pt idx="3">
                  <c:v>4.2999999999999997E-2</c:v>
                </c:pt>
                <c:pt idx="4">
                  <c:v>7.2999999999999995E-2</c:v>
                </c:pt>
                <c:pt idx="5">
                  <c:v>9.1999999999999998E-2</c:v>
                </c:pt>
                <c:pt idx="6">
                  <c:v>0.14299999999999999</c:v>
                </c:pt>
                <c:pt idx="7">
                  <c:v>0.13500000000000001</c:v>
                </c:pt>
              </c:numCache>
            </c:numRef>
          </c:val>
          <c:extLst>
            <c:ext xmlns:c16="http://schemas.microsoft.com/office/drawing/2014/chart" uri="{C3380CC4-5D6E-409C-BE32-E72D297353CC}">
              <c16:uniqueId val="{00000000-655B-40C8-8B27-23233AED3DC6}"/>
            </c:ext>
          </c:extLst>
        </c:ser>
        <c:ser>
          <c:idx val="1"/>
          <c:order val="1"/>
          <c:tx>
            <c:strRef>
              <c:f>Sheet1!$C$35</c:f>
              <c:strCache>
                <c:ptCount val="1"/>
                <c:pt idx="0">
                  <c:v>4 to 6</c:v>
                </c:pt>
              </c:strCache>
            </c:strRef>
          </c:tx>
          <c:spPr>
            <a:solidFill>
              <a:srgbClr val="FCB247"/>
            </a:solidFill>
            <a:ln>
              <a:noFill/>
            </a:ln>
            <a:effectLst/>
          </c:spPr>
          <c:invertIfNegative val="0"/>
          <c:cat>
            <c:strRef>
              <c:f>Sheet1!$A$36:$A$43</c:f>
              <c:strCache>
                <c:ptCount val="8"/>
                <c:pt idx="0">
                  <c:v>Pharmacy teams' wellbeing</c:v>
                </c:pt>
                <c:pt idx="1">
                  <c:v>Staffing</c:v>
                </c:pt>
                <c:pt idx="2">
                  <c:v>Finances</c:v>
                </c:pt>
                <c:pt idx="3">
                  <c:v>Medicines supply</c:v>
                </c:pt>
                <c:pt idx="4">
                  <c:v>Ability to deliver non-essential services</c:v>
                </c:pt>
                <c:pt idx="5">
                  <c:v>Ability to help patients</c:v>
                </c:pt>
                <c:pt idx="6">
                  <c:v>Patient safety</c:v>
                </c:pt>
                <c:pt idx="7">
                  <c:v>Ability to keep pharmacies open</c:v>
                </c:pt>
              </c:strCache>
            </c:strRef>
          </c:cat>
          <c:val>
            <c:numRef>
              <c:f>Sheet1!$C$36:$C$43</c:f>
              <c:numCache>
                <c:formatCode>0.0%</c:formatCode>
                <c:ptCount val="8"/>
                <c:pt idx="0">
                  <c:v>8.6999999999999994E-2</c:v>
                </c:pt>
                <c:pt idx="1">
                  <c:v>7.6999999999999999E-2</c:v>
                </c:pt>
                <c:pt idx="2">
                  <c:v>0.106</c:v>
                </c:pt>
                <c:pt idx="3">
                  <c:v>0.188</c:v>
                </c:pt>
                <c:pt idx="4">
                  <c:v>0.14799999999999999</c:v>
                </c:pt>
                <c:pt idx="5">
                  <c:v>0.17100000000000001</c:v>
                </c:pt>
                <c:pt idx="6">
                  <c:v>0.23699999999999999</c:v>
                </c:pt>
                <c:pt idx="7">
                  <c:v>0.251</c:v>
                </c:pt>
              </c:numCache>
            </c:numRef>
          </c:val>
          <c:extLst>
            <c:ext xmlns:c16="http://schemas.microsoft.com/office/drawing/2014/chart" uri="{C3380CC4-5D6E-409C-BE32-E72D297353CC}">
              <c16:uniqueId val="{00000001-655B-40C8-8B27-23233AED3DC6}"/>
            </c:ext>
          </c:extLst>
        </c:ser>
        <c:ser>
          <c:idx val="2"/>
          <c:order val="2"/>
          <c:tx>
            <c:strRef>
              <c:f>Sheet1!$D$35</c:f>
              <c:strCache>
                <c:ptCount val="1"/>
                <c:pt idx="0">
                  <c:v>7 to 10</c:v>
                </c:pt>
              </c:strCache>
            </c:strRef>
          </c:tx>
          <c:spPr>
            <a:solidFill>
              <a:srgbClr val="E84599"/>
            </a:solidFill>
            <a:ln>
              <a:noFill/>
            </a:ln>
            <a:effectLst/>
          </c:spPr>
          <c:invertIfNegative val="0"/>
          <c:cat>
            <c:strRef>
              <c:f>Sheet1!$A$36:$A$43</c:f>
              <c:strCache>
                <c:ptCount val="8"/>
                <c:pt idx="0">
                  <c:v>Pharmacy teams' wellbeing</c:v>
                </c:pt>
                <c:pt idx="1">
                  <c:v>Staffing</c:v>
                </c:pt>
                <c:pt idx="2">
                  <c:v>Finances</c:v>
                </c:pt>
                <c:pt idx="3">
                  <c:v>Medicines supply</c:v>
                </c:pt>
                <c:pt idx="4">
                  <c:v>Ability to deliver non-essential services</c:v>
                </c:pt>
                <c:pt idx="5">
                  <c:v>Ability to help patients</c:v>
                </c:pt>
                <c:pt idx="6">
                  <c:v>Patient safety</c:v>
                </c:pt>
                <c:pt idx="7">
                  <c:v>Ability to keep pharmacies open</c:v>
                </c:pt>
              </c:strCache>
            </c:strRef>
          </c:cat>
          <c:val>
            <c:numRef>
              <c:f>Sheet1!$D$36:$D$43</c:f>
              <c:numCache>
                <c:formatCode>0.0%</c:formatCode>
                <c:ptCount val="8"/>
                <c:pt idx="0">
                  <c:v>0.89600000000000002</c:v>
                </c:pt>
                <c:pt idx="1">
                  <c:v>0.88900000000000001</c:v>
                </c:pt>
                <c:pt idx="2">
                  <c:v>0.87</c:v>
                </c:pt>
                <c:pt idx="3">
                  <c:v>0.76900000000000002</c:v>
                </c:pt>
                <c:pt idx="4">
                  <c:v>0.78</c:v>
                </c:pt>
                <c:pt idx="5">
                  <c:v>0.73699999999999999</c:v>
                </c:pt>
                <c:pt idx="6">
                  <c:v>0.621</c:v>
                </c:pt>
                <c:pt idx="7">
                  <c:v>0.61399999999999999</c:v>
                </c:pt>
              </c:numCache>
            </c:numRef>
          </c:val>
          <c:extLst>
            <c:ext xmlns:c16="http://schemas.microsoft.com/office/drawing/2014/chart" uri="{C3380CC4-5D6E-409C-BE32-E72D297353CC}">
              <c16:uniqueId val="{00000002-655B-40C8-8B27-23233AED3DC6}"/>
            </c:ext>
          </c:extLst>
        </c:ser>
        <c:dLbls>
          <c:showLegendKey val="0"/>
          <c:showVal val="0"/>
          <c:showCatName val="0"/>
          <c:showSerName val="0"/>
          <c:showPercent val="0"/>
          <c:showBubbleSize val="0"/>
        </c:dLbls>
        <c:gapWidth val="219"/>
        <c:overlap val="-27"/>
        <c:axId val="1485206416"/>
        <c:axId val="1485210160"/>
      </c:barChart>
      <c:catAx>
        <c:axId val="148520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5210160"/>
        <c:crosses val="autoZero"/>
        <c:auto val="1"/>
        <c:lblAlgn val="ctr"/>
        <c:lblOffset val="100"/>
        <c:noMultiLvlLbl val="0"/>
      </c:catAx>
      <c:valAx>
        <c:axId val="1485210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5206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5ACC5A11CC458FB805EF4495AECAFB"/>
        <w:category>
          <w:name w:val="General"/>
          <w:gallery w:val="placeholder"/>
        </w:category>
        <w:types>
          <w:type w:val="bbPlcHdr"/>
        </w:types>
        <w:behaviors>
          <w:behavior w:val="content"/>
        </w:behaviors>
        <w:guid w:val="{79A02B31-7D42-49A5-8FF1-3B69863BEA39}"/>
      </w:docPartPr>
      <w:docPartBody>
        <w:p w:rsidR="00C909B9" w:rsidRDefault="00C909B9">
          <w:pPr>
            <w:pStyle w:val="B45ACC5A11CC458FB805EF4495AECAFB"/>
          </w:pPr>
          <w:r w:rsidRPr="00206067">
            <w:rPr>
              <w:rStyle w:val="DeveloperControlChar"/>
              <w:color w:val="FF0000"/>
            </w:rPr>
            <w:t>Select published date</w:t>
          </w:r>
        </w:p>
      </w:docPartBody>
    </w:docPart>
    <w:docPart>
      <w:docPartPr>
        <w:name w:val="5BA5461C758B4D729F171B66FA030E6D"/>
        <w:category>
          <w:name w:val="General"/>
          <w:gallery w:val="placeholder"/>
        </w:category>
        <w:types>
          <w:type w:val="bbPlcHdr"/>
        </w:types>
        <w:behaviors>
          <w:behavior w:val="content"/>
        </w:behaviors>
        <w:guid w:val="{4D9F22BA-512B-4856-8335-AD32134E58FB}"/>
      </w:docPartPr>
      <w:docPartBody>
        <w:p w:rsidR="00C909B9" w:rsidRDefault="00C909B9">
          <w:pPr>
            <w:pStyle w:val="5BA5461C758B4D729F171B66FA030E6D"/>
          </w:pPr>
          <w:r w:rsidRPr="000159C8">
            <w:rPr>
              <w:i/>
              <w:color w:val="FF0000"/>
              <w:szCs w:val="20"/>
              <w:lang w:eastAsia="en-US"/>
            </w:rPr>
            <w:t>Version</w:t>
          </w:r>
        </w:p>
      </w:docPartBody>
    </w:docPart>
    <w:docPart>
      <w:docPartPr>
        <w:name w:val="234FD69DCA2847508BC6FF815B22B96A"/>
        <w:category>
          <w:name w:val="General"/>
          <w:gallery w:val="placeholder"/>
        </w:category>
        <w:types>
          <w:type w:val="bbPlcHdr"/>
        </w:types>
        <w:behaviors>
          <w:behavior w:val="content"/>
        </w:behaviors>
        <w:guid w:val="{767BA600-57E3-4EFA-9A3C-DBB7561D8DCB}"/>
      </w:docPartPr>
      <w:docPartBody>
        <w:p w:rsidR="00C909B9" w:rsidRDefault="00C909B9">
          <w:pPr>
            <w:pStyle w:val="234FD69DCA2847508BC6FF815B22B96A"/>
          </w:pPr>
          <w:r w:rsidRPr="00206067">
            <w:rPr>
              <w:rStyle w:val="DeveloperControlChar"/>
              <w:color w:val="FF0000"/>
            </w:rPr>
            <w:t>Enter the name of the author</w:t>
          </w:r>
        </w:p>
      </w:docPartBody>
    </w:docPart>
    <w:docPart>
      <w:docPartPr>
        <w:name w:val="5CC102F1F4D0434A8F25478B52C55AA5"/>
        <w:category>
          <w:name w:val="General"/>
          <w:gallery w:val="placeholder"/>
        </w:category>
        <w:types>
          <w:type w:val="bbPlcHdr"/>
        </w:types>
        <w:behaviors>
          <w:behavior w:val="content"/>
        </w:behaviors>
        <w:guid w:val="{BA67003F-A3DD-402E-8901-731CC43FEA06}"/>
      </w:docPartPr>
      <w:docPartBody>
        <w:p w:rsidR="009577AE" w:rsidRDefault="00C909B9">
          <w:pPr>
            <w:pStyle w:val="5CC102F1F4D0434A8F25478B52C55AA5"/>
          </w:pPr>
          <w:r w:rsidRPr="00206067">
            <w:rPr>
              <w:rStyle w:val="DeveloperControlChar"/>
              <w:color w:val="FF0000"/>
            </w:rPr>
            <w:t>Draft/Final</w:t>
          </w:r>
        </w:p>
      </w:docPartBody>
    </w:docPart>
    <w:docPart>
      <w:docPartPr>
        <w:name w:val="0102A3956DD64BD59C414F08D8D7921E"/>
        <w:category>
          <w:name w:val="General"/>
          <w:gallery w:val="placeholder"/>
        </w:category>
        <w:types>
          <w:type w:val="bbPlcHdr"/>
        </w:types>
        <w:behaviors>
          <w:behavior w:val="content"/>
        </w:behaviors>
        <w:guid w:val="{3CDBCAF4-AEBE-47E8-B86E-419462221CA1}"/>
      </w:docPartPr>
      <w:docPartBody>
        <w:p w:rsidR="009577AE" w:rsidRDefault="0071669D" w:rsidP="0071669D">
          <w:pPr>
            <w:pStyle w:val="0102A3956DD64BD59C414F08D8D7921E"/>
          </w:pPr>
          <w:r w:rsidRPr="00206067">
            <w:rPr>
              <w:rStyle w:val="DeveloperControlChar"/>
              <w:color w:val="FF0000"/>
            </w:rPr>
            <w:t>Enter the project name</w:t>
          </w:r>
        </w:p>
      </w:docPartBody>
    </w:docPart>
    <w:docPart>
      <w:docPartPr>
        <w:name w:val="5079B1B4BCEB4EB1B22F3E94D1463F96"/>
        <w:category>
          <w:name w:val="General"/>
          <w:gallery w:val="placeholder"/>
        </w:category>
        <w:types>
          <w:type w:val="bbPlcHdr"/>
        </w:types>
        <w:behaviors>
          <w:behavior w:val="content"/>
        </w:behaviors>
        <w:guid w:val="{B187B4A3-4F82-46A0-AEDA-E261CEA3013A}"/>
      </w:docPartPr>
      <w:docPartBody>
        <w:p w:rsidR="009577AE" w:rsidRDefault="0071669D" w:rsidP="0071669D">
          <w:pPr>
            <w:pStyle w:val="5079B1B4BCEB4EB1B22F3E94D1463F96"/>
          </w:pPr>
          <w:r w:rsidRPr="00206067">
            <w:rPr>
              <w:rStyle w:val="DeveloperControlChar"/>
              <w:color w:val="FF0000"/>
            </w:rPr>
            <w:t>Enter the name of the document owner i.e. the person who commissioned 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9B9"/>
    <w:rsid w:val="000508A9"/>
    <w:rsid w:val="00080338"/>
    <w:rsid w:val="000E2552"/>
    <w:rsid w:val="000E7629"/>
    <w:rsid w:val="0015784B"/>
    <w:rsid w:val="00175643"/>
    <w:rsid w:val="00240B6F"/>
    <w:rsid w:val="00270AC5"/>
    <w:rsid w:val="002D087C"/>
    <w:rsid w:val="00342103"/>
    <w:rsid w:val="0053112C"/>
    <w:rsid w:val="00605106"/>
    <w:rsid w:val="00607C30"/>
    <w:rsid w:val="00680262"/>
    <w:rsid w:val="00683E25"/>
    <w:rsid w:val="006D1BC5"/>
    <w:rsid w:val="0071669D"/>
    <w:rsid w:val="00730226"/>
    <w:rsid w:val="00775878"/>
    <w:rsid w:val="00901010"/>
    <w:rsid w:val="00930B9E"/>
    <w:rsid w:val="009577AE"/>
    <w:rsid w:val="009F384F"/>
    <w:rsid w:val="00A0286E"/>
    <w:rsid w:val="00A73C6E"/>
    <w:rsid w:val="00A82224"/>
    <w:rsid w:val="00AD18DD"/>
    <w:rsid w:val="00C909B9"/>
    <w:rsid w:val="00CD3E9B"/>
    <w:rsid w:val="00D3517F"/>
    <w:rsid w:val="00D53B43"/>
    <w:rsid w:val="00E97923"/>
    <w:rsid w:val="00EC4838"/>
    <w:rsid w:val="00EF62FC"/>
    <w:rsid w:val="00FB23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00AC89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veloperControl">
    <w:name w:val="Developer Control"/>
    <w:basedOn w:val="Normal"/>
    <w:link w:val="DeveloperControlChar"/>
    <w:qFormat/>
    <w:rsid w:val="0071669D"/>
    <w:pPr>
      <w:spacing w:after="0" w:line="240" w:lineRule="auto"/>
    </w:pPr>
    <w:rPr>
      <w:rFonts w:ascii="Arial" w:eastAsia="Calibri" w:hAnsi="Arial" w:cs="Times New Roman"/>
      <w:i/>
      <w:color w:val="7F7F7F" w:themeColor="text1" w:themeTint="80"/>
      <w:sz w:val="20"/>
    </w:rPr>
  </w:style>
  <w:style w:type="character" w:customStyle="1" w:styleId="DeveloperControlChar">
    <w:name w:val="Developer Control Char"/>
    <w:basedOn w:val="DefaultParagraphFont"/>
    <w:link w:val="DeveloperControl"/>
    <w:rsid w:val="0071669D"/>
    <w:rPr>
      <w:rFonts w:ascii="Arial" w:eastAsia="Calibri" w:hAnsi="Arial" w:cs="Times New Roman"/>
      <w:i/>
      <w:color w:val="7F7F7F" w:themeColor="text1" w:themeTint="80"/>
      <w:sz w:val="20"/>
    </w:rPr>
  </w:style>
  <w:style w:type="paragraph" w:customStyle="1" w:styleId="B45ACC5A11CC458FB805EF4495AECAFB">
    <w:name w:val="B45ACC5A11CC458FB805EF4495AECAFB"/>
  </w:style>
  <w:style w:type="paragraph" w:customStyle="1" w:styleId="5BA5461C758B4D729F171B66FA030E6D">
    <w:name w:val="5BA5461C758B4D729F171B66FA030E6D"/>
  </w:style>
  <w:style w:type="paragraph" w:customStyle="1" w:styleId="234FD69DCA2847508BC6FF815B22B96A">
    <w:name w:val="234FD69DCA2847508BC6FF815B22B96A"/>
  </w:style>
  <w:style w:type="paragraph" w:customStyle="1" w:styleId="0C65A422D2ED482883A04020388978AD">
    <w:name w:val="0C65A422D2ED482883A04020388978AD"/>
  </w:style>
  <w:style w:type="paragraph" w:customStyle="1" w:styleId="5CC102F1F4D0434A8F25478B52C55AA5">
    <w:name w:val="5CC102F1F4D0434A8F25478B52C55AA5"/>
    <w:pPr>
      <w:spacing w:after="160" w:line="259" w:lineRule="auto"/>
    </w:pPr>
  </w:style>
  <w:style w:type="paragraph" w:customStyle="1" w:styleId="0102A3956DD64BD59C414F08D8D7921E">
    <w:name w:val="0102A3956DD64BD59C414F08D8D7921E"/>
    <w:rsid w:val="0071669D"/>
    <w:pPr>
      <w:spacing w:after="160" w:line="259" w:lineRule="auto"/>
    </w:pPr>
  </w:style>
  <w:style w:type="paragraph" w:customStyle="1" w:styleId="5079B1B4BCEB4EB1B22F3E94D1463F96">
    <w:name w:val="5079B1B4BCEB4EB1B22F3E94D1463F96"/>
    <w:rsid w:val="0071669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BI COLOURS">
      <a:dk1>
        <a:sysClr val="windowText" lastClr="000000"/>
      </a:dk1>
      <a:lt1>
        <a:sysClr val="window" lastClr="FFFFFF"/>
      </a:lt1>
      <a:dk2>
        <a:srgbClr val="44546A"/>
      </a:dk2>
      <a:lt2>
        <a:srgbClr val="E7E6E6"/>
      </a:lt2>
      <a:accent1>
        <a:srgbClr val="477CBF"/>
      </a:accent1>
      <a:accent2>
        <a:srgbClr val="FCB247"/>
      </a:accent2>
      <a:accent3>
        <a:srgbClr val="E84599"/>
      </a:accent3>
      <a:accent4>
        <a:srgbClr val="72C48F"/>
      </a:accent4>
      <a:accent5>
        <a:srgbClr val="AE91C4"/>
      </a:accent5>
      <a:accent6>
        <a:srgbClr val="4B4B4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I COLOURS">
    <a:dk1>
      <a:sysClr val="windowText" lastClr="000000"/>
    </a:dk1>
    <a:lt1>
      <a:sysClr val="window" lastClr="FFFFFF"/>
    </a:lt1>
    <a:dk2>
      <a:srgbClr val="44546A"/>
    </a:dk2>
    <a:lt2>
      <a:srgbClr val="E7E6E6"/>
    </a:lt2>
    <a:accent1>
      <a:srgbClr val="477CBF"/>
    </a:accent1>
    <a:accent2>
      <a:srgbClr val="FCB247"/>
    </a:accent2>
    <a:accent3>
      <a:srgbClr val="E84599"/>
    </a:accent3>
    <a:accent4>
      <a:srgbClr val="72C48F"/>
    </a:accent4>
    <a:accent5>
      <a:srgbClr val="AE91C4"/>
    </a:accent5>
    <a:accent6>
      <a:srgbClr val="4B4B4B"/>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BI COLOURS">
    <a:dk1>
      <a:sysClr val="windowText" lastClr="000000"/>
    </a:dk1>
    <a:lt1>
      <a:sysClr val="window" lastClr="FFFFFF"/>
    </a:lt1>
    <a:dk2>
      <a:srgbClr val="44546A"/>
    </a:dk2>
    <a:lt2>
      <a:srgbClr val="E7E6E6"/>
    </a:lt2>
    <a:accent1>
      <a:srgbClr val="477CBF"/>
    </a:accent1>
    <a:accent2>
      <a:srgbClr val="FCB247"/>
    </a:accent2>
    <a:accent3>
      <a:srgbClr val="E84599"/>
    </a:accent3>
    <a:accent4>
      <a:srgbClr val="72C48F"/>
    </a:accent4>
    <a:accent5>
      <a:srgbClr val="AE91C4"/>
    </a:accent5>
    <a:accent6>
      <a:srgbClr val="4B4B4B"/>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53CFDACFCDA04594A867A52D8A88E7" ma:contentTypeVersion="7" ma:contentTypeDescription="Create a new document." ma:contentTypeScope="" ma:versionID="3b4400eb9a420481c55412d67a0a194a">
  <xsd:schema xmlns:xsd="http://www.w3.org/2001/XMLSchema" xmlns:xs="http://www.w3.org/2001/XMLSchema" xmlns:p="http://schemas.microsoft.com/office/2006/metadata/properties" xmlns:ns2="f030db69-1d5c-4c1f-887a-00e75fed0d5c" xmlns:ns3="343D23C5-DA98-4897-B7E6-B442759CB9D7" xmlns:ns4="6a450456-32e7-4803-8a72-663c77b3cefc" xmlns:ns5="343d23c5-da98-4897-b7e6-b442759cb9d7" targetNamespace="http://schemas.microsoft.com/office/2006/metadata/properties" ma:root="true" ma:fieldsID="aee586b1ade4bc8ae05d238e4be57873" ns2:_="" ns3:_="" ns4:_="" ns5:_="">
    <xsd:import namespace="f030db69-1d5c-4c1f-887a-00e75fed0d5c"/>
    <xsd:import namespace="343D23C5-DA98-4897-B7E6-B442759CB9D7"/>
    <xsd:import namespace="6a450456-32e7-4803-8a72-663c77b3cefc"/>
    <xsd:import namespace="343d23c5-da98-4897-b7e6-b442759cb9d7"/>
    <xsd:element name="properties">
      <xsd:complexType>
        <xsd:sequence>
          <xsd:element name="documentManagement">
            <xsd:complexType>
              <xsd:all>
                <xsd:element ref="ns2:TaxCatchAll" minOccurs="0"/>
                <xsd:element ref="ns2:TaxCatchAllLabel" minOccurs="0"/>
                <xsd:element ref="ns3:e57398683bf347c4b52c2d09df65a3f7" minOccurs="0"/>
                <xsd:element ref="ns2:TaxKeywordTaxHTField" minOccurs="0"/>
                <xsd:element ref="ns4:SharedWithUsers" minOccurs="0"/>
                <xsd:element ref="ns4:SharedWithDetails" minOccurs="0"/>
                <xsd:element ref="ns3:MediaServiceMetadata" minOccurs="0"/>
                <xsd:element ref="ns3:MediaServiceFastMetadata" minOccurs="0"/>
                <xsd:element ref="ns5:MediaServiceAutoKeyPoints" minOccurs="0"/>
                <xsd:element ref="ns5:MediaServiceKeyPoints" minOccurs="0"/>
                <xsd:element ref="ns5:MediaServiceAutoTags" minOccurs="0"/>
                <xsd:element ref="ns5:MediaServiceGenerationTime" minOccurs="0"/>
                <xsd:element ref="ns5:MediaServiceEventHashCode" minOccurs="0"/>
                <xsd:element ref="ns5:MediaServiceOCR"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04866d9-16cf-4ec7-ba65-01a052170975}" ma:internalName="TaxCatchAll" ma:showField="CatchAllData"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04866d9-16cf-4ec7-ba65-01a052170975}" ma:internalName="TaxCatchAllLabel" ma:readOnly="true" ma:showField="CatchAllDataLabel" ma:web="6a450456-32e7-4803-8a72-663c77b3cefc">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D23C5-DA98-4897-B7E6-B442759CB9D7" elementFormDefault="qualified">
    <xsd:import namespace="http://schemas.microsoft.com/office/2006/documentManagement/types"/>
    <xsd:import namespace="http://schemas.microsoft.com/office/infopath/2007/PartnerControls"/>
    <xsd:element name="e57398683bf347c4b52c2d09df65a3f7" ma:index="11" nillable="true" ma:taxonomy="true" ma:internalName="e57398683bf347c4b52c2d09df65a3f7" ma:taxonomyFieldName="Document_x0020_Group" ma:displayName="Document Group" ma:default="" ma:fieldId="{e5739868-3bf3-47c4-b52c-2d09df65a3f7}" ma:sspId="6ed0261d-8e1d-4a30-b593-96d7f0c84e13" ma:termSetId="5849778a-a74a-4781-b959-cf4756370a27" ma:anchorId="00000000-0000-0000-0000-000000000000"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50456-32e7-4803-8a72-663c77b3ce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d23c5-da98-4897-b7e6-b442759cb9d7" elementFormDefault="qualified">
    <xsd:import namespace="http://schemas.microsoft.com/office/2006/documentManagement/types"/>
    <xsd:import namespace="http://schemas.microsoft.com/office/infopath/2007/PartnerControls"/>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030db69-1d5c-4c1f-887a-00e75fed0d5c" xsi:nil="true"/>
    <TaxKeywordTaxHTField xmlns="f030db69-1d5c-4c1f-887a-00e75fed0d5c">
      <Terms xmlns="http://schemas.microsoft.com/office/infopath/2007/PartnerControls"/>
    </TaxKeywordTaxHTField>
    <e57398683bf347c4b52c2d09df65a3f7 xmlns="343D23C5-DA98-4897-B7E6-B442759CB9D7">
      <Terms xmlns="http://schemas.microsoft.com/office/infopath/2007/PartnerControls"/>
    </e57398683bf347c4b52c2d09df65a3f7>
    <SharedWithUsers xmlns="6a450456-32e7-4803-8a72-663c77b3cefc">
      <UserInfo>
        <DisplayName>de Paeztron, Frances</DisplayName>
        <AccountId>4045</AccountId>
        <AccountType/>
      </UserInfo>
    </SharedWithUsers>
  </documentManagement>
</p:properties>
</file>

<file path=customXml/itemProps1.xml><?xml version="1.0" encoding="utf-8"?>
<ds:datastoreItem xmlns:ds="http://schemas.openxmlformats.org/officeDocument/2006/customXml" ds:itemID="{7CEAFE7A-9A9A-41ED-A05F-0AEE1362B26C}">
  <ds:schemaRefs>
    <ds:schemaRef ds:uri="http://schemas.microsoft.com/sharepoint/v3/contenttype/forms"/>
  </ds:schemaRefs>
</ds:datastoreItem>
</file>

<file path=customXml/itemProps2.xml><?xml version="1.0" encoding="utf-8"?>
<ds:datastoreItem xmlns:ds="http://schemas.openxmlformats.org/officeDocument/2006/customXml" ds:itemID="{30BAEA23-1A3A-459B-BCD1-98791ACA3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343D23C5-DA98-4897-B7E6-B442759CB9D7"/>
    <ds:schemaRef ds:uri="6a450456-32e7-4803-8a72-663c77b3cefc"/>
    <ds:schemaRef ds:uri="343d23c5-da98-4897-b7e6-b442759c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CB145-92F1-4DC8-8EDF-79963D3A7A13}">
  <ds:schemaRefs>
    <ds:schemaRef ds:uri="http://schemas.openxmlformats.org/officeDocument/2006/bibliography"/>
  </ds:schemaRefs>
</ds:datastoreItem>
</file>

<file path=customXml/itemProps4.xml><?xml version="1.0" encoding="utf-8"?>
<ds:datastoreItem xmlns:ds="http://schemas.openxmlformats.org/officeDocument/2006/customXml" ds:itemID="{D6B7E14B-E42E-4C76-B11D-84359BD6374A}">
  <ds:schemaRefs>
    <ds:schemaRef ds:uri="http://schemas.microsoft.com/office/2006/metadata/properties"/>
    <ds:schemaRef ds:uri="http://schemas.microsoft.com/office/infopath/2007/PartnerControls"/>
    <ds:schemaRef ds:uri="f030db69-1d5c-4c1f-887a-00e75fed0d5c"/>
    <ds:schemaRef ds:uri="343D23C5-DA98-4897-B7E6-B442759CB9D7"/>
    <ds:schemaRef ds:uri="6a450456-32e7-4803-8a72-663c77b3cef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148</Pages>
  <Words>30285</Words>
  <Characters>172629</Characters>
  <Application>Microsoft Office Word</Application>
  <DocSecurity>0</DocSecurity>
  <Lines>1438</Lines>
  <Paragraphs>405</Paragraphs>
  <ScaleCrop>false</ScaleCrop>
  <Company>Warwickshire County Council</Company>
  <LinksUpToDate>false</LinksUpToDate>
  <CharactersWithSpaces>202509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Coventry &amp; Warwickshire Pharmaceutical Needs Assessment</dc:title>
  <dc:subject/>
  <dc:creator>Gareth Wrench</dc:creator>
  <cp:keywords/>
  <cp:lastModifiedBy>Aldridge, Catherine</cp:lastModifiedBy>
  <cp:revision>6</cp:revision>
  <cp:lastPrinted>2013-09-10T16:08:00Z</cp:lastPrinted>
  <dcterms:created xsi:type="dcterms:W3CDTF">2022-09-09T06:33:00Z</dcterms:created>
  <dcterms:modified xsi:type="dcterms:W3CDTF">2022-09-23T12:17:00Z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0x0101008A53CFDACFCDA04594A867A52D8A88E7</vt:lpwstr>
  </property>
  <property fmtid="{D5CDD505-2E9C-101B-9397-08002B2CF9AE}" pid="3" name="d95c383c9a774e2b9bd7fdb68c5e0fc7">
    <vt:lpwstr>Warwickshire|ae50136a-0dd2-4024-b418-b2091d7c47d2</vt:lpwstr>
  </property>
  <property fmtid="{D5CDD505-2E9C-101B-9397-08002B2CF9AE}" pid="4" name="_dlc_policyId">
    <vt:lpwstr>0x01010035C89CCD2483A2479FECC59E2E56452D00E53E4C0FE5E82A48A500E89033CFD0E8|-626270482</vt:lpwstr>
  </property>
  <property fmtid="{D5CDD505-2E9C-101B-9397-08002B2CF9AE}" pid="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6" name="_dlc_DocIdItemGuid">
    <vt:lpwstr>668930c7-7143-4c04-9fc0-4784daab5b24</vt:lpwstr>
  </property>
  <property fmtid="{D5CDD505-2E9C-101B-9397-08002B2CF9AE}" pid="7" name="WCCCoverage">
    <vt:lpwstr>2;#Warwickshire|ae50136a-0dd2-4024-b418-b2091d7c47d2</vt:lpwstr>
  </property>
  <property fmtid="{D5CDD505-2E9C-101B-9397-08002B2CF9AE}" pid="8" name="ProtectiveMarking">
    <vt:lpwstr>1;#Public|05e63c81-95b9-45a0-a9c9-9bc316784073</vt:lpwstr>
  </property>
  <property fmtid="{D5CDD505-2E9C-101B-9397-08002B2CF9AE}" pid="9" name="WCCLanguage">
    <vt:lpwstr>3;#English|f4583307-def8-4647-b7db-2a1d8f1f5719</vt:lpwstr>
  </property>
  <property fmtid="{D5CDD505-2E9C-101B-9397-08002B2CF9AE}" pid="10" name="WCCKeywords">
    <vt:lpwstr>707;#JSNA|f9254c4c-8680-450e-a612-18db6d54e693</vt:lpwstr>
  </property>
  <property fmtid="{D5CDD505-2E9C-101B-9397-08002B2CF9AE}" pid="11" name="eb17d457039448a19415618ca7d78093">
    <vt:lpwstr>JSNA|f9254c4c-8680-450e-a612-18db6d54e693</vt:lpwstr>
  </property>
  <property fmtid="{D5CDD505-2E9C-101B-9397-08002B2CF9AE}" pid="12" name="ReviewDate">
    <vt:filetime>2016-05-30T23:00:00Z</vt:filetime>
  </property>
  <property fmtid="{D5CDD505-2E9C-101B-9397-08002B2CF9AE}" pid="13" name="kcda1755ffd5425aafc66d6689a5558d">
    <vt:lpwstr>Strategic Commissioning|1d2cdd58-d2f7-43d0-baab-a7e81887b73e</vt:lpwstr>
  </property>
  <property fmtid="{D5CDD505-2E9C-101B-9397-08002B2CF9AE}" pid="14" name="TeamOwner">
    <vt:lpwstr>276;#Business and Commissioning Intelligence|6675bf10-db6b-46f4-bdf2-dc4adab9eeac</vt:lpwstr>
  </property>
  <property fmtid="{D5CDD505-2E9C-101B-9397-08002B2CF9AE}" pid="15" name="DocSetName">
    <vt:lpwstr>Joint Strategic Needs Assessment</vt:lpwstr>
  </property>
  <property fmtid="{D5CDD505-2E9C-101B-9397-08002B2CF9AE}" pid="16" name="WCCSubject">
    <vt:lpwstr>297;#Strategic Commissioning|1d2cdd58-d2f7-43d0-baab-a7e81887b73e</vt:lpwstr>
  </property>
  <property fmtid="{D5CDD505-2E9C-101B-9397-08002B2CF9AE}" pid="17" name="kf4ca89d09f0480889ccabff7fc6ee9b">
    <vt:lpwstr>Business and Commissioning Intelligence|6675bf10-db6b-46f4-bdf2-dc4adab9eeac</vt:lpwstr>
  </property>
  <property fmtid="{D5CDD505-2E9C-101B-9397-08002B2CF9AE}" pid="18" name="ReviewersEmail">
    <vt:lpwstr>1548;#Jenny Bevan;#426;#Spencer Payne;#464;#Kate Rushall</vt:lpwstr>
  </property>
  <property fmtid="{D5CDD505-2E9C-101B-9397-08002B2CF9AE}" pid="19" name="DocumentType">
    <vt:lpwstr>64;#Template|5b55295d-95c0-4df7-abd4-7cba1d77391c</vt:lpwstr>
  </property>
  <property fmtid="{D5CDD505-2E9C-101B-9397-08002B2CF9AE}" pid="20" name="WorkflowChangePath">
    <vt:lpwstr>a71a3a35-f742-4af5-9b14-9ffe75200e87,5;a71a3a35-f742-4af5-9b14-9ffe75200e87,5;a71a3a35-f742-4af5-9b14-9ffe75200e87,7;a71a3a35-f742-4af5-9b14-9ffe75200e87,7;</vt:lpwstr>
  </property>
  <property fmtid="{D5CDD505-2E9C-101B-9397-08002B2CF9AE}" pid="21" name="MSIP_Label_478af4b5-bfed-4784-9cbe-eeacd1c8ef36_Enabled">
    <vt:lpwstr>true</vt:lpwstr>
  </property>
  <property fmtid="{D5CDD505-2E9C-101B-9397-08002B2CF9AE}" pid="22" name="MSIP_Label_478af4b5-bfed-4784-9cbe-eeacd1c8ef36_SetDate">
    <vt:lpwstr>2022-03-01T16:33:08Z</vt:lpwstr>
  </property>
  <property fmtid="{D5CDD505-2E9C-101B-9397-08002B2CF9AE}" pid="23" name="MSIP_Label_478af4b5-bfed-4784-9cbe-eeacd1c8ef36_Method">
    <vt:lpwstr>Privileged</vt:lpwstr>
  </property>
  <property fmtid="{D5CDD505-2E9C-101B-9397-08002B2CF9AE}" pid="24" name="MSIP_Label_478af4b5-bfed-4784-9cbe-eeacd1c8ef36_Name">
    <vt:lpwstr>Not Protectively Marked</vt:lpwstr>
  </property>
  <property fmtid="{D5CDD505-2E9C-101B-9397-08002B2CF9AE}" pid="25" name="MSIP_Label_478af4b5-bfed-4784-9cbe-eeacd1c8ef36_SiteId">
    <vt:lpwstr>88b0aa06-5927-4bbb-a893-89cc2713ac82</vt:lpwstr>
  </property>
  <property fmtid="{D5CDD505-2E9C-101B-9397-08002B2CF9AE}" pid="26" name="MSIP_Label_478af4b5-bfed-4784-9cbe-eeacd1c8ef36_ActionId">
    <vt:lpwstr>0c62ff7a-22f7-48d0-8bb5-44584611a23d</vt:lpwstr>
  </property>
  <property fmtid="{D5CDD505-2E9C-101B-9397-08002B2CF9AE}" pid="27" name="MSIP_Label_478af4b5-bfed-4784-9cbe-eeacd1c8ef36_ContentBits">
    <vt:lpwstr>0</vt:lpwstr>
  </property>
  <property fmtid="{D5CDD505-2E9C-101B-9397-08002B2CF9AE}" pid="28" name="TaxKeyword">
    <vt:lpwstr/>
  </property>
  <property fmtid="{D5CDD505-2E9C-101B-9397-08002B2CF9AE}" pid="29" name="Document Group">
    <vt:lpwstr/>
  </property>
</Properties>
</file>