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B841E" w14:textId="77777777" w:rsidR="005859BE" w:rsidRPr="00210370" w:rsidRDefault="005859BE" w:rsidP="00A56995">
      <w:pPr>
        <w:pStyle w:val="CoversheetStaticText"/>
      </w:pPr>
      <w:r>
        <w:rPr>
          <w:b/>
        </w:rPr>
        <w:t>DATED</w:t>
      </w:r>
    </w:p>
    <w:p w14:paraId="166828ED" w14:textId="77777777" w:rsidR="005859BE" w:rsidRPr="00210370" w:rsidRDefault="005859BE" w:rsidP="00A56995">
      <w:pPr>
        <w:pStyle w:val="CoversheetStaticText"/>
      </w:pPr>
      <w:r>
        <w:t>------------</w:t>
      </w:r>
    </w:p>
    <w:p w14:paraId="34F6BE27" w14:textId="73D8546E" w:rsidR="005859BE" w:rsidRPr="000C62E0" w:rsidRDefault="005859BE" w:rsidP="00A56995">
      <w:pPr>
        <w:pStyle w:val="CoversheetTitle"/>
        <w:rPr>
          <w:b w:val="0"/>
          <w:color w:val="FF0000"/>
        </w:rPr>
      </w:pPr>
      <w:r>
        <w:t>Overage Deed</w:t>
      </w:r>
      <w:r w:rsidR="000C62E0">
        <w:t xml:space="preserve"> </w:t>
      </w:r>
    </w:p>
    <w:p w14:paraId="78E99E87" w14:textId="77777777" w:rsidR="005859BE" w:rsidRDefault="005859BE" w:rsidP="00A56995">
      <w:pPr>
        <w:pStyle w:val="CoversheetStaticText"/>
      </w:pPr>
      <w:r>
        <w:t>between</w:t>
      </w:r>
    </w:p>
    <w:p w14:paraId="3573A25F" w14:textId="36774266" w:rsidR="005859BE" w:rsidRPr="00210370" w:rsidRDefault="00DA13D4" w:rsidP="00A56995">
      <w:pPr>
        <w:pStyle w:val="CoversheetParty"/>
        <w:rPr>
          <w:b w:val="0"/>
        </w:rPr>
      </w:pPr>
      <w:r>
        <w:t>The Council of the City of Coventry</w:t>
      </w:r>
    </w:p>
    <w:p w14:paraId="3028DDC5" w14:textId="77777777" w:rsidR="005859BE" w:rsidRDefault="005859BE" w:rsidP="00A56995">
      <w:pPr>
        <w:pStyle w:val="CoversheetStaticText"/>
      </w:pPr>
      <w:r>
        <w:t>and</w:t>
      </w:r>
    </w:p>
    <w:p w14:paraId="50E2AF93" w14:textId="77777777" w:rsidR="005859BE" w:rsidRDefault="005859BE" w:rsidP="00A56995">
      <w:pPr>
        <w:pStyle w:val="CoversheetParty"/>
      </w:pPr>
      <w:r>
        <w:t>Party 2</w:t>
      </w:r>
    </w:p>
    <w:p w14:paraId="11F76477" w14:textId="77777777" w:rsidR="00D93695" w:rsidRDefault="00D93695" w:rsidP="00A56995">
      <w:pPr>
        <w:pStyle w:val="CoversheetParty"/>
      </w:pPr>
    </w:p>
    <w:p w14:paraId="1AA07025" w14:textId="77777777" w:rsidR="00D93695" w:rsidRDefault="00D93695" w:rsidP="00A56995">
      <w:pPr>
        <w:pStyle w:val="CoversheetParty"/>
      </w:pPr>
      <w:r>
        <w:t>Land at Hawthorne Lane, Coventry</w:t>
      </w:r>
    </w:p>
    <w:p w14:paraId="13054404" w14:textId="77777777" w:rsidR="00D93695" w:rsidRDefault="00D93695" w:rsidP="00A56995">
      <w:pPr>
        <w:pStyle w:val="CoversheetParty"/>
      </w:pPr>
    </w:p>
    <w:p w14:paraId="79B9F891" w14:textId="77777777" w:rsidR="00D93695" w:rsidRDefault="00D93695" w:rsidP="00A56995">
      <w:pPr>
        <w:pStyle w:val="CoversheetParty"/>
      </w:pPr>
    </w:p>
    <w:p w14:paraId="2AD09E71" w14:textId="156AC492" w:rsidR="00D93695" w:rsidRPr="00857960" w:rsidRDefault="00D93695" w:rsidP="00A56995">
      <w:pPr>
        <w:pStyle w:val="CoversheetParty"/>
        <w:rPr>
          <w:b w:val="0"/>
        </w:rPr>
        <w:sectPr w:rsidR="00D93695" w:rsidRPr="00857960" w:rsidSect="000C43E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sectPr>
      </w:pPr>
      <w:r>
        <w:t>RSL/JDW/4005124</w:t>
      </w:r>
    </w:p>
    <w:p w14:paraId="205B20A8" w14:textId="77777777" w:rsidR="00FE7F15" w:rsidRDefault="00FE7F15">
      <w:pPr>
        <w:sectPr w:rsidR="00FE7F15" w:rsidSect="000C43EF">
          <w:type w:val="continuous"/>
          <w:pgSz w:w="12240" w:h="15840"/>
          <w:pgMar w:top="1440" w:right="1440" w:bottom="1440" w:left="1440" w:header="720" w:footer="720" w:gutter="0"/>
          <w:cols w:space="720"/>
        </w:sectPr>
      </w:pPr>
    </w:p>
    <w:p w14:paraId="63008B12" w14:textId="77777777" w:rsidR="005859BE" w:rsidRDefault="005859BE" w:rsidP="00A56995">
      <w:pPr>
        <w:pStyle w:val="HeadingLevel2"/>
      </w:pPr>
      <w:r>
        <w:t>CONTENTS</w:t>
      </w:r>
    </w:p>
    <w:p w14:paraId="26E41AAA" w14:textId="77777777" w:rsidR="005859BE" w:rsidRDefault="005859BE" w:rsidP="00A56995">
      <w:pPr>
        <w:pStyle w:val="HeadingLevel2"/>
      </w:pPr>
      <w:r>
        <w:t>____________________________________________________________</w:t>
      </w:r>
    </w:p>
    <w:p w14:paraId="17DFBF88" w14:textId="77777777" w:rsidR="005859BE" w:rsidRDefault="005859BE" w:rsidP="00A56995">
      <w:pPr>
        <w:pStyle w:val="HeadingLevel2"/>
      </w:pPr>
      <w:r>
        <w:t>CLAUSE</w:t>
      </w:r>
    </w:p>
    <w:p w14:paraId="177ED1A7" w14:textId="41658E26" w:rsidR="00C461EC" w:rsidRDefault="005859BE">
      <w:pPr>
        <w:pStyle w:val="TOC1"/>
        <w:tabs>
          <w:tab w:val="left" w:pos="440"/>
          <w:tab w:val="right" w:leader="dot" w:pos="9350"/>
        </w:tabs>
        <w:rPr>
          <w:rFonts w:eastAsiaTheme="minorEastAsia"/>
          <w:noProof/>
          <w:lang w:eastAsia="en-GB"/>
        </w:rPr>
      </w:pPr>
      <w:r>
        <w:rPr>
          <w:rFonts w:eastAsia="Arial"/>
          <w:lang w:eastAsia="en-GB"/>
        </w:rPr>
        <w:fldChar w:fldCharType="begin"/>
      </w:r>
      <w:r>
        <w:rPr>
          <w:color w:val="000000"/>
        </w:rPr>
        <w:instrText>TOC \t "Title Clause, 1" \h</w:instrText>
      </w:r>
      <w:r>
        <w:rPr>
          <w:rFonts w:eastAsia="Arial"/>
          <w:lang w:eastAsia="en-GB"/>
        </w:rPr>
        <w:fldChar w:fldCharType="separate"/>
      </w:r>
      <w:hyperlink w:anchor="_Toc157523752" w:history="1">
        <w:r w:rsidR="00C461EC" w:rsidRPr="00DD3A09">
          <w:rPr>
            <w:rStyle w:val="Hyperlink"/>
            <w:noProof/>
          </w:rPr>
          <w:t>1.</w:t>
        </w:r>
        <w:r w:rsidR="00C461EC">
          <w:rPr>
            <w:rFonts w:eastAsiaTheme="minorEastAsia"/>
            <w:noProof/>
            <w:lang w:eastAsia="en-GB"/>
          </w:rPr>
          <w:tab/>
        </w:r>
        <w:r w:rsidR="00C461EC" w:rsidRPr="00DD3A09">
          <w:rPr>
            <w:rStyle w:val="Hyperlink"/>
            <w:noProof/>
          </w:rPr>
          <w:t>Interpretation</w:t>
        </w:r>
        <w:r w:rsidR="00C461EC">
          <w:rPr>
            <w:noProof/>
          </w:rPr>
          <w:tab/>
        </w:r>
        <w:r w:rsidR="00C461EC">
          <w:rPr>
            <w:noProof/>
          </w:rPr>
          <w:fldChar w:fldCharType="begin"/>
        </w:r>
        <w:r w:rsidR="00C461EC">
          <w:rPr>
            <w:noProof/>
          </w:rPr>
          <w:instrText xml:space="preserve"> PAGEREF _Toc157523752 \h </w:instrText>
        </w:r>
        <w:r w:rsidR="00C461EC">
          <w:rPr>
            <w:noProof/>
          </w:rPr>
        </w:r>
        <w:r w:rsidR="00C461EC">
          <w:rPr>
            <w:noProof/>
          </w:rPr>
          <w:fldChar w:fldCharType="separate"/>
        </w:r>
        <w:r w:rsidR="00584228">
          <w:rPr>
            <w:noProof/>
          </w:rPr>
          <w:t>2</w:t>
        </w:r>
        <w:r w:rsidR="00C461EC">
          <w:rPr>
            <w:noProof/>
          </w:rPr>
          <w:fldChar w:fldCharType="end"/>
        </w:r>
      </w:hyperlink>
    </w:p>
    <w:p w14:paraId="773DC124" w14:textId="098A71B0" w:rsidR="00C461EC" w:rsidRDefault="00910111">
      <w:pPr>
        <w:pStyle w:val="TOC1"/>
        <w:tabs>
          <w:tab w:val="left" w:pos="440"/>
          <w:tab w:val="right" w:leader="dot" w:pos="9350"/>
        </w:tabs>
        <w:rPr>
          <w:rFonts w:eastAsiaTheme="minorEastAsia"/>
          <w:noProof/>
          <w:lang w:eastAsia="en-GB"/>
        </w:rPr>
      </w:pPr>
      <w:hyperlink w:anchor="_Toc157523753" w:history="1">
        <w:r w:rsidR="00C461EC" w:rsidRPr="00DD3A09">
          <w:rPr>
            <w:rStyle w:val="Hyperlink"/>
            <w:noProof/>
          </w:rPr>
          <w:t>2.</w:t>
        </w:r>
        <w:r w:rsidR="00C461EC">
          <w:rPr>
            <w:rFonts w:eastAsiaTheme="minorEastAsia"/>
            <w:noProof/>
            <w:lang w:eastAsia="en-GB"/>
          </w:rPr>
          <w:tab/>
        </w:r>
        <w:r w:rsidR="00C461EC" w:rsidRPr="00DD3A09">
          <w:rPr>
            <w:rStyle w:val="Hyperlink"/>
            <w:noProof/>
          </w:rPr>
          <w:t>Overage Payment</w:t>
        </w:r>
        <w:r w:rsidR="00C461EC">
          <w:rPr>
            <w:noProof/>
          </w:rPr>
          <w:tab/>
        </w:r>
        <w:r w:rsidR="00C461EC">
          <w:rPr>
            <w:noProof/>
          </w:rPr>
          <w:fldChar w:fldCharType="begin"/>
        </w:r>
        <w:r w:rsidR="00C461EC">
          <w:rPr>
            <w:noProof/>
          </w:rPr>
          <w:instrText xml:space="preserve"> PAGEREF _Toc157523753 \h </w:instrText>
        </w:r>
        <w:r w:rsidR="00C461EC">
          <w:rPr>
            <w:noProof/>
          </w:rPr>
        </w:r>
        <w:r w:rsidR="00C461EC">
          <w:rPr>
            <w:noProof/>
          </w:rPr>
          <w:fldChar w:fldCharType="separate"/>
        </w:r>
        <w:r w:rsidR="00584228">
          <w:rPr>
            <w:noProof/>
          </w:rPr>
          <w:t>7</w:t>
        </w:r>
        <w:r w:rsidR="00C461EC">
          <w:rPr>
            <w:noProof/>
          </w:rPr>
          <w:fldChar w:fldCharType="end"/>
        </w:r>
      </w:hyperlink>
    </w:p>
    <w:p w14:paraId="17277B3D" w14:textId="4942DD08" w:rsidR="00C461EC" w:rsidRDefault="00910111">
      <w:pPr>
        <w:pStyle w:val="TOC1"/>
        <w:tabs>
          <w:tab w:val="left" w:pos="440"/>
          <w:tab w:val="right" w:leader="dot" w:pos="9350"/>
        </w:tabs>
        <w:rPr>
          <w:rFonts w:eastAsiaTheme="minorEastAsia"/>
          <w:noProof/>
          <w:lang w:eastAsia="en-GB"/>
        </w:rPr>
      </w:pPr>
      <w:hyperlink w:anchor="_Toc157523754" w:history="1">
        <w:r w:rsidR="00C461EC" w:rsidRPr="00DD3A09">
          <w:rPr>
            <w:rStyle w:val="Hyperlink"/>
            <w:noProof/>
          </w:rPr>
          <w:t>3.</w:t>
        </w:r>
        <w:r w:rsidR="00C461EC">
          <w:rPr>
            <w:rFonts w:eastAsiaTheme="minorEastAsia"/>
            <w:noProof/>
            <w:lang w:eastAsia="en-GB"/>
          </w:rPr>
          <w:tab/>
        </w:r>
        <w:r w:rsidR="00C461EC" w:rsidRPr="00DD3A09">
          <w:rPr>
            <w:rStyle w:val="Hyperlink"/>
            <w:noProof/>
          </w:rPr>
          <w:t>Amount of Overage Payment</w:t>
        </w:r>
        <w:r w:rsidR="00C461EC">
          <w:rPr>
            <w:noProof/>
          </w:rPr>
          <w:tab/>
        </w:r>
        <w:r w:rsidR="00C461EC">
          <w:rPr>
            <w:noProof/>
          </w:rPr>
          <w:fldChar w:fldCharType="begin"/>
        </w:r>
        <w:r w:rsidR="00C461EC">
          <w:rPr>
            <w:noProof/>
          </w:rPr>
          <w:instrText xml:space="preserve"> PAGEREF _Toc157523754 \h </w:instrText>
        </w:r>
        <w:r w:rsidR="00C461EC">
          <w:rPr>
            <w:noProof/>
          </w:rPr>
        </w:r>
        <w:r w:rsidR="00C461EC">
          <w:rPr>
            <w:noProof/>
          </w:rPr>
          <w:fldChar w:fldCharType="separate"/>
        </w:r>
        <w:r w:rsidR="00584228">
          <w:rPr>
            <w:noProof/>
          </w:rPr>
          <w:t>8</w:t>
        </w:r>
        <w:r w:rsidR="00C461EC">
          <w:rPr>
            <w:noProof/>
          </w:rPr>
          <w:fldChar w:fldCharType="end"/>
        </w:r>
      </w:hyperlink>
    </w:p>
    <w:p w14:paraId="60AFA20F" w14:textId="4952C1F7" w:rsidR="00C461EC" w:rsidRDefault="00910111">
      <w:pPr>
        <w:pStyle w:val="TOC1"/>
        <w:tabs>
          <w:tab w:val="left" w:pos="440"/>
          <w:tab w:val="right" w:leader="dot" w:pos="9350"/>
        </w:tabs>
        <w:rPr>
          <w:rFonts w:eastAsiaTheme="minorEastAsia"/>
          <w:noProof/>
          <w:lang w:eastAsia="en-GB"/>
        </w:rPr>
      </w:pPr>
      <w:hyperlink w:anchor="_Toc157523755" w:history="1">
        <w:r w:rsidR="00C461EC" w:rsidRPr="00DD3A09">
          <w:rPr>
            <w:rStyle w:val="Hyperlink"/>
            <w:noProof/>
          </w:rPr>
          <w:t>4.</w:t>
        </w:r>
        <w:r w:rsidR="00C461EC">
          <w:rPr>
            <w:rFonts w:eastAsiaTheme="minorEastAsia"/>
            <w:noProof/>
            <w:lang w:eastAsia="en-GB"/>
          </w:rPr>
          <w:tab/>
        </w:r>
        <w:r w:rsidR="00C461EC" w:rsidRPr="00DD3A09">
          <w:rPr>
            <w:rStyle w:val="Hyperlink"/>
            <w:noProof/>
          </w:rPr>
          <w:t>Disposals and restriction</w:t>
        </w:r>
        <w:r w:rsidR="00C461EC">
          <w:rPr>
            <w:noProof/>
          </w:rPr>
          <w:tab/>
        </w:r>
        <w:r w:rsidR="00C461EC">
          <w:rPr>
            <w:noProof/>
          </w:rPr>
          <w:fldChar w:fldCharType="begin"/>
        </w:r>
        <w:r w:rsidR="00C461EC">
          <w:rPr>
            <w:noProof/>
          </w:rPr>
          <w:instrText xml:space="preserve"> PAGEREF _Toc157523755 \h </w:instrText>
        </w:r>
        <w:r w:rsidR="00C461EC">
          <w:rPr>
            <w:noProof/>
          </w:rPr>
        </w:r>
        <w:r w:rsidR="00C461EC">
          <w:rPr>
            <w:noProof/>
          </w:rPr>
          <w:fldChar w:fldCharType="separate"/>
        </w:r>
        <w:r w:rsidR="00584228">
          <w:rPr>
            <w:noProof/>
          </w:rPr>
          <w:t>10</w:t>
        </w:r>
        <w:r w:rsidR="00C461EC">
          <w:rPr>
            <w:noProof/>
          </w:rPr>
          <w:fldChar w:fldCharType="end"/>
        </w:r>
      </w:hyperlink>
    </w:p>
    <w:p w14:paraId="4CE8FD8E" w14:textId="0DAC9765" w:rsidR="00C461EC" w:rsidRDefault="00910111">
      <w:pPr>
        <w:pStyle w:val="TOC1"/>
        <w:tabs>
          <w:tab w:val="left" w:pos="440"/>
          <w:tab w:val="right" w:leader="dot" w:pos="9350"/>
        </w:tabs>
        <w:rPr>
          <w:rFonts w:eastAsiaTheme="minorEastAsia"/>
          <w:noProof/>
          <w:lang w:eastAsia="en-GB"/>
        </w:rPr>
      </w:pPr>
      <w:hyperlink w:anchor="_Toc157523756" w:history="1">
        <w:r w:rsidR="00C461EC" w:rsidRPr="00DD3A09">
          <w:rPr>
            <w:rStyle w:val="Hyperlink"/>
            <w:noProof/>
          </w:rPr>
          <w:t>5.</w:t>
        </w:r>
        <w:r w:rsidR="00C461EC">
          <w:rPr>
            <w:rFonts w:eastAsiaTheme="minorEastAsia"/>
            <w:noProof/>
            <w:lang w:eastAsia="en-GB"/>
          </w:rPr>
          <w:tab/>
        </w:r>
        <w:r w:rsidR="00C461EC" w:rsidRPr="00DD3A09">
          <w:rPr>
            <w:rStyle w:val="Hyperlink"/>
            <w:noProof/>
          </w:rPr>
          <w:t>Unlawful development</w:t>
        </w:r>
        <w:r w:rsidR="00C461EC">
          <w:rPr>
            <w:noProof/>
          </w:rPr>
          <w:tab/>
        </w:r>
        <w:r w:rsidR="00C461EC">
          <w:rPr>
            <w:noProof/>
          </w:rPr>
          <w:fldChar w:fldCharType="begin"/>
        </w:r>
        <w:r w:rsidR="00C461EC">
          <w:rPr>
            <w:noProof/>
          </w:rPr>
          <w:instrText xml:space="preserve"> PAGEREF _Toc157523756 \h </w:instrText>
        </w:r>
        <w:r w:rsidR="00C461EC">
          <w:rPr>
            <w:noProof/>
          </w:rPr>
        </w:r>
        <w:r w:rsidR="00C461EC">
          <w:rPr>
            <w:noProof/>
          </w:rPr>
          <w:fldChar w:fldCharType="separate"/>
        </w:r>
        <w:r w:rsidR="00584228">
          <w:rPr>
            <w:noProof/>
          </w:rPr>
          <w:t>10</w:t>
        </w:r>
        <w:r w:rsidR="00C461EC">
          <w:rPr>
            <w:noProof/>
          </w:rPr>
          <w:fldChar w:fldCharType="end"/>
        </w:r>
      </w:hyperlink>
    </w:p>
    <w:p w14:paraId="2153FDD7" w14:textId="66817556" w:rsidR="00C461EC" w:rsidRDefault="00910111">
      <w:pPr>
        <w:pStyle w:val="TOC1"/>
        <w:tabs>
          <w:tab w:val="left" w:pos="440"/>
          <w:tab w:val="right" w:leader="dot" w:pos="9350"/>
        </w:tabs>
        <w:rPr>
          <w:rFonts w:eastAsiaTheme="minorEastAsia"/>
          <w:noProof/>
          <w:lang w:eastAsia="en-GB"/>
        </w:rPr>
      </w:pPr>
      <w:hyperlink w:anchor="_Toc157523757" w:history="1">
        <w:r w:rsidR="00C461EC" w:rsidRPr="00DD3A09">
          <w:rPr>
            <w:rStyle w:val="Hyperlink"/>
            <w:noProof/>
          </w:rPr>
          <w:t>6.</w:t>
        </w:r>
        <w:r w:rsidR="00C461EC">
          <w:rPr>
            <w:rFonts w:eastAsiaTheme="minorEastAsia"/>
            <w:noProof/>
            <w:lang w:eastAsia="en-GB"/>
          </w:rPr>
          <w:tab/>
        </w:r>
        <w:r w:rsidR="00C461EC" w:rsidRPr="00DD3A09">
          <w:rPr>
            <w:rStyle w:val="Hyperlink"/>
            <w:noProof/>
          </w:rPr>
          <w:t>Seller's obligations</w:t>
        </w:r>
        <w:r w:rsidR="00C461EC">
          <w:rPr>
            <w:noProof/>
          </w:rPr>
          <w:tab/>
        </w:r>
        <w:r w:rsidR="00C461EC">
          <w:rPr>
            <w:noProof/>
          </w:rPr>
          <w:fldChar w:fldCharType="begin"/>
        </w:r>
        <w:r w:rsidR="00C461EC">
          <w:rPr>
            <w:noProof/>
          </w:rPr>
          <w:instrText xml:space="preserve"> PAGEREF _Toc157523757 \h </w:instrText>
        </w:r>
        <w:r w:rsidR="00C461EC">
          <w:rPr>
            <w:noProof/>
          </w:rPr>
        </w:r>
        <w:r w:rsidR="00C461EC">
          <w:rPr>
            <w:noProof/>
          </w:rPr>
          <w:fldChar w:fldCharType="separate"/>
        </w:r>
        <w:r w:rsidR="00584228">
          <w:rPr>
            <w:noProof/>
          </w:rPr>
          <w:t>10</w:t>
        </w:r>
        <w:r w:rsidR="00C461EC">
          <w:rPr>
            <w:noProof/>
          </w:rPr>
          <w:fldChar w:fldCharType="end"/>
        </w:r>
      </w:hyperlink>
    </w:p>
    <w:p w14:paraId="2E3DDEFF" w14:textId="20831189" w:rsidR="00C461EC" w:rsidRDefault="00910111">
      <w:pPr>
        <w:pStyle w:val="TOC1"/>
        <w:tabs>
          <w:tab w:val="left" w:pos="440"/>
          <w:tab w:val="right" w:leader="dot" w:pos="9350"/>
        </w:tabs>
        <w:rPr>
          <w:rFonts w:eastAsiaTheme="minorEastAsia"/>
          <w:noProof/>
          <w:lang w:eastAsia="en-GB"/>
        </w:rPr>
      </w:pPr>
      <w:hyperlink w:anchor="_Toc157523758" w:history="1">
        <w:r w:rsidR="00C461EC" w:rsidRPr="00DD3A09">
          <w:rPr>
            <w:rStyle w:val="Hyperlink"/>
            <w:noProof/>
          </w:rPr>
          <w:t>7.</w:t>
        </w:r>
        <w:r w:rsidR="00C461EC">
          <w:rPr>
            <w:rFonts w:eastAsiaTheme="minorEastAsia"/>
            <w:noProof/>
            <w:lang w:eastAsia="en-GB"/>
          </w:rPr>
          <w:tab/>
        </w:r>
        <w:r w:rsidR="00C461EC" w:rsidRPr="00DD3A09">
          <w:rPr>
            <w:rStyle w:val="Hyperlink"/>
            <w:noProof/>
          </w:rPr>
          <w:t>Seller's costs</w:t>
        </w:r>
        <w:r w:rsidR="00C461EC">
          <w:rPr>
            <w:noProof/>
          </w:rPr>
          <w:tab/>
        </w:r>
        <w:r w:rsidR="00C461EC">
          <w:rPr>
            <w:noProof/>
          </w:rPr>
          <w:fldChar w:fldCharType="begin"/>
        </w:r>
        <w:r w:rsidR="00C461EC">
          <w:rPr>
            <w:noProof/>
          </w:rPr>
          <w:instrText xml:space="preserve"> PAGEREF _Toc157523758 \h </w:instrText>
        </w:r>
        <w:r w:rsidR="00C461EC">
          <w:rPr>
            <w:noProof/>
          </w:rPr>
        </w:r>
        <w:r w:rsidR="00C461EC">
          <w:rPr>
            <w:noProof/>
          </w:rPr>
          <w:fldChar w:fldCharType="separate"/>
        </w:r>
        <w:r w:rsidR="00584228">
          <w:rPr>
            <w:noProof/>
          </w:rPr>
          <w:t>11</w:t>
        </w:r>
        <w:r w:rsidR="00C461EC">
          <w:rPr>
            <w:noProof/>
          </w:rPr>
          <w:fldChar w:fldCharType="end"/>
        </w:r>
      </w:hyperlink>
    </w:p>
    <w:p w14:paraId="16A0B7D4" w14:textId="5F995C76" w:rsidR="00C461EC" w:rsidRDefault="00910111">
      <w:pPr>
        <w:pStyle w:val="TOC1"/>
        <w:tabs>
          <w:tab w:val="left" w:pos="440"/>
          <w:tab w:val="right" w:leader="dot" w:pos="9350"/>
        </w:tabs>
        <w:rPr>
          <w:rFonts w:eastAsiaTheme="minorEastAsia"/>
          <w:noProof/>
          <w:lang w:eastAsia="en-GB"/>
        </w:rPr>
      </w:pPr>
      <w:hyperlink w:anchor="_Toc157523759" w:history="1">
        <w:r w:rsidR="00C461EC" w:rsidRPr="00DD3A09">
          <w:rPr>
            <w:rStyle w:val="Hyperlink"/>
            <w:noProof/>
          </w:rPr>
          <w:t>8.</w:t>
        </w:r>
        <w:r w:rsidR="00C461EC">
          <w:rPr>
            <w:rFonts w:eastAsiaTheme="minorEastAsia"/>
            <w:noProof/>
            <w:lang w:eastAsia="en-GB"/>
          </w:rPr>
          <w:tab/>
        </w:r>
        <w:r w:rsidR="00C461EC" w:rsidRPr="00DD3A09">
          <w:rPr>
            <w:rStyle w:val="Hyperlink"/>
            <w:noProof/>
          </w:rPr>
          <w:t>VAT</w:t>
        </w:r>
        <w:r w:rsidR="00C461EC">
          <w:rPr>
            <w:noProof/>
          </w:rPr>
          <w:tab/>
        </w:r>
        <w:r w:rsidR="00C461EC">
          <w:rPr>
            <w:noProof/>
          </w:rPr>
          <w:fldChar w:fldCharType="begin"/>
        </w:r>
        <w:r w:rsidR="00C461EC">
          <w:rPr>
            <w:noProof/>
          </w:rPr>
          <w:instrText xml:space="preserve"> PAGEREF _Toc157523759 \h </w:instrText>
        </w:r>
        <w:r w:rsidR="00C461EC">
          <w:rPr>
            <w:noProof/>
          </w:rPr>
        </w:r>
        <w:r w:rsidR="00C461EC">
          <w:rPr>
            <w:noProof/>
          </w:rPr>
          <w:fldChar w:fldCharType="separate"/>
        </w:r>
        <w:r w:rsidR="00584228">
          <w:rPr>
            <w:noProof/>
          </w:rPr>
          <w:t>11</w:t>
        </w:r>
        <w:r w:rsidR="00C461EC">
          <w:rPr>
            <w:noProof/>
          </w:rPr>
          <w:fldChar w:fldCharType="end"/>
        </w:r>
      </w:hyperlink>
    </w:p>
    <w:p w14:paraId="2EB8F5AA" w14:textId="6B5FA2EE" w:rsidR="00C461EC" w:rsidRDefault="00910111">
      <w:pPr>
        <w:pStyle w:val="TOC1"/>
        <w:tabs>
          <w:tab w:val="left" w:pos="440"/>
          <w:tab w:val="right" w:leader="dot" w:pos="9350"/>
        </w:tabs>
        <w:rPr>
          <w:rFonts w:eastAsiaTheme="minorEastAsia"/>
          <w:noProof/>
          <w:lang w:eastAsia="en-GB"/>
        </w:rPr>
      </w:pPr>
      <w:hyperlink w:anchor="_Toc157523760" w:history="1">
        <w:r w:rsidR="00C461EC" w:rsidRPr="00DD3A09">
          <w:rPr>
            <w:rStyle w:val="Hyperlink"/>
            <w:noProof/>
          </w:rPr>
          <w:t>9.</w:t>
        </w:r>
        <w:r w:rsidR="00C461EC">
          <w:rPr>
            <w:rFonts w:eastAsiaTheme="minorEastAsia"/>
            <w:noProof/>
            <w:lang w:eastAsia="en-GB"/>
          </w:rPr>
          <w:tab/>
        </w:r>
        <w:r w:rsidR="00C461EC" w:rsidRPr="00DD3A09">
          <w:rPr>
            <w:rStyle w:val="Hyperlink"/>
            <w:noProof/>
          </w:rPr>
          <w:t>Notices</w:t>
        </w:r>
        <w:r w:rsidR="00C461EC">
          <w:rPr>
            <w:noProof/>
          </w:rPr>
          <w:tab/>
        </w:r>
        <w:r w:rsidR="00C461EC">
          <w:rPr>
            <w:noProof/>
          </w:rPr>
          <w:fldChar w:fldCharType="begin"/>
        </w:r>
        <w:r w:rsidR="00C461EC">
          <w:rPr>
            <w:noProof/>
          </w:rPr>
          <w:instrText xml:space="preserve"> PAGEREF _Toc157523760 \h </w:instrText>
        </w:r>
        <w:r w:rsidR="00C461EC">
          <w:rPr>
            <w:noProof/>
          </w:rPr>
        </w:r>
        <w:r w:rsidR="00C461EC">
          <w:rPr>
            <w:noProof/>
          </w:rPr>
          <w:fldChar w:fldCharType="separate"/>
        </w:r>
        <w:r w:rsidR="00584228">
          <w:rPr>
            <w:noProof/>
          </w:rPr>
          <w:t>12</w:t>
        </w:r>
        <w:r w:rsidR="00C461EC">
          <w:rPr>
            <w:noProof/>
          </w:rPr>
          <w:fldChar w:fldCharType="end"/>
        </w:r>
      </w:hyperlink>
    </w:p>
    <w:p w14:paraId="08B556B3" w14:textId="799B3821" w:rsidR="00C461EC" w:rsidRDefault="00910111">
      <w:pPr>
        <w:pStyle w:val="TOC1"/>
        <w:tabs>
          <w:tab w:val="left" w:pos="660"/>
          <w:tab w:val="right" w:leader="dot" w:pos="9350"/>
        </w:tabs>
        <w:rPr>
          <w:rFonts w:eastAsiaTheme="minorEastAsia"/>
          <w:noProof/>
          <w:lang w:eastAsia="en-GB"/>
        </w:rPr>
      </w:pPr>
      <w:hyperlink w:anchor="_Toc157523761" w:history="1">
        <w:r w:rsidR="00C461EC" w:rsidRPr="00DD3A09">
          <w:rPr>
            <w:rStyle w:val="Hyperlink"/>
            <w:noProof/>
          </w:rPr>
          <w:t>10.</w:t>
        </w:r>
        <w:r w:rsidR="00C461EC">
          <w:rPr>
            <w:rFonts w:eastAsiaTheme="minorEastAsia"/>
            <w:noProof/>
            <w:lang w:eastAsia="en-GB"/>
          </w:rPr>
          <w:tab/>
        </w:r>
        <w:r w:rsidR="00C461EC" w:rsidRPr="00DD3A09">
          <w:rPr>
            <w:rStyle w:val="Hyperlink"/>
            <w:noProof/>
          </w:rPr>
          <w:t>Third party rights</w:t>
        </w:r>
        <w:r w:rsidR="00C461EC">
          <w:rPr>
            <w:noProof/>
          </w:rPr>
          <w:tab/>
        </w:r>
        <w:r w:rsidR="00C461EC">
          <w:rPr>
            <w:noProof/>
          </w:rPr>
          <w:fldChar w:fldCharType="begin"/>
        </w:r>
        <w:r w:rsidR="00C461EC">
          <w:rPr>
            <w:noProof/>
          </w:rPr>
          <w:instrText xml:space="preserve"> PAGEREF _Toc157523761 \h </w:instrText>
        </w:r>
        <w:r w:rsidR="00C461EC">
          <w:rPr>
            <w:noProof/>
          </w:rPr>
        </w:r>
        <w:r w:rsidR="00C461EC">
          <w:rPr>
            <w:noProof/>
          </w:rPr>
          <w:fldChar w:fldCharType="separate"/>
        </w:r>
        <w:r w:rsidR="00584228">
          <w:rPr>
            <w:noProof/>
          </w:rPr>
          <w:t>13</w:t>
        </w:r>
        <w:r w:rsidR="00C461EC">
          <w:rPr>
            <w:noProof/>
          </w:rPr>
          <w:fldChar w:fldCharType="end"/>
        </w:r>
      </w:hyperlink>
    </w:p>
    <w:p w14:paraId="2FCBBFA2" w14:textId="72E4CC57" w:rsidR="00C461EC" w:rsidRDefault="00910111">
      <w:pPr>
        <w:pStyle w:val="TOC1"/>
        <w:tabs>
          <w:tab w:val="left" w:pos="660"/>
          <w:tab w:val="right" w:leader="dot" w:pos="9350"/>
        </w:tabs>
        <w:rPr>
          <w:rFonts w:eastAsiaTheme="minorEastAsia"/>
          <w:noProof/>
          <w:lang w:eastAsia="en-GB"/>
        </w:rPr>
      </w:pPr>
      <w:hyperlink w:anchor="_Toc157523762" w:history="1">
        <w:r w:rsidR="00C461EC" w:rsidRPr="00DD3A09">
          <w:rPr>
            <w:rStyle w:val="Hyperlink"/>
            <w:noProof/>
          </w:rPr>
          <w:t>11.</w:t>
        </w:r>
        <w:r w:rsidR="00C461EC">
          <w:rPr>
            <w:rFonts w:eastAsiaTheme="minorEastAsia"/>
            <w:noProof/>
            <w:lang w:eastAsia="en-GB"/>
          </w:rPr>
          <w:tab/>
        </w:r>
        <w:r w:rsidR="00C461EC" w:rsidRPr="00DD3A09">
          <w:rPr>
            <w:rStyle w:val="Hyperlink"/>
            <w:noProof/>
          </w:rPr>
          <w:t>Entire agreement</w:t>
        </w:r>
        <w:r w:rsidR="00C461EC">
          <w:rPr>
            <w:noProof/>
          </w:rPr>
          <w:tab/>
        </w:r>
        <w:r w:rsidR="00C461EC">
          <w:rPr>
            <w:noProof/>
          </w:rPr>
          <w:fldChar w:fldCharType="begin"/>
        </w:r>
        <w:r w:rsidR="00C461EC">
          <w:rPr>
            <w:noProof/>
          </w:rPr>
          <w:instrText xml:space="preserve"> PAGEREF _Toc157523762 \h </w:instrText>
        </w:r>
        <w:r w:rsidR="00C461EC">
          <w:rPr>
            <w:noProof/>
          </w:rPr>
        </w:r>
        <w:r w:rsidR="00C461EC">
          <w:rPr>
            <w:noProof/>
          </w:rPr>
          <w:fldChar w:fldCharType="separate"/>
        </w:r>
        <w:r w:rsidR="00584228">
          <w:rPr>
            <w:noProof/>
          </w:rPr>
          <w:t>13</w:t>
        </w:r>
        <w:r w:rsidR="00C461EC">
          <w:rPr>
            <w:noProof/>
          </w:rPr>
          <w:fldChar w:fldCharType="end"/>
        </w:r>
      </w:hyperlink>
    </w:p>
    <w:p w14:paraId="368382F1" w14:textId="22828731" w:rsidR="00C461EC" w:rsidRDefault="00910111">
      <w:pPr>
        <w:pStyle w:val="TOC1"/>
        <w:tabs>
          <w:tab w:val="left" w:pos="660"/>
          <w:tab w:val="right" w:leader="dot" w:pos="9350"/>
        </w:tabs>
        <w:rPr>
          <w:rFonts w:eastAsiaTheme="minorEastAsia"/>
          <w:noProof/>
          <w:lang w:eastAsia="en-GB"/>
        </w:rPr>
      </w:pPr>
      <w:hyperlink w:anchor="_Toc157523763" w:history="1">
        <w:r w:rsidR="00C461EC" w:rsidRPr="00DD3A09">
          <w:rPr>
            <w:rStyle w:val="Hyperlink"/>
            <w:noProof/>
          </w:rPr>
          <w:t>12.</w:t>
        </w:r>
        <w:r w:rsidR="00C461EC">
          <w:rPr>
            <w:rFonts w:eastAsiaTheme="minorEastAsia"/>
            <w:noProof/>
            <w:lang w:eastAsia="en-GB"/>
          </w:rPr>
          <w:tab/>
        </w:r>
        <w:r w:rsidR="00C461EC" w:rsidRPr="00DD3A09">
          <w:rPr>
            <w:rStyle w:val="Hyperlink"/>
            <w:noProof/>
          </w:rPr>
          <w:t>Joint and several liability</w:t>
        </w:r>
        <w:r w:rsidR="00C461EC">
          <w:rPr>
            <w:noProof/>
          </w:rPr>
          <w:tab/>
        </w:r>
        <w:r w:rsidR="00C461EC">
          <w:rPr>
            <w:noProof/>
          </w:rPr>
          <w:fldChar w:fldCharType="begin"/>
        </w:r>
        <w:r w:rsidR="00C461EC">
          <w:rPr>
            <w:noProof/>
          </w:rPr>
          <w:instrText xml:space="preserve"> PAGEREF _Toc157523763 \h </w:instrText>
        </w:r>
        <w:r w:rsidR="00C461EC">
          <w:rPr>
            <w:noProof/>
          </w:rPr>
        </w:r>
        <w:r w:rsidR="00C461EC">
          <w:rPr>
            <w:noProof/>
          </w:rPr>
          <w:fldChar w:fldCharType="separate"/>
        </w:r>
        <w:r w:rsidR="00584228">
          <w:rPr>
            <w:noProof/>
          </w:rPr>
          <w:t>13</w:t>
        </w:r>
        <w:r w:rsidR="00C461EC">
          <w:rPr>
            <w:noProof/>
          </w:rPr>
          <w:fldChar w:fldCharType="end"/>
        </w:r>
      </w:hyperlink>
    </w:p>
    <w:p w14:paraId="6E433043" w14:textId="1B8A038F" w:rsidR="00C461EC" w:rsidRDefault="00910111">
      <w:pPr>
        <w:pStyle w:val="TOC1"/>
        <w:tabs>
          <w:tab w:val="left" w:pos="660"/>
          <w:tab w:val="right" w:leader="dot" w:pos="9350"/>
        </w:tabs>
        <w:rPr>
          <w:rFonts w:eastAsiaTheme="minorEastAsia"/>
          <w:noProof/>
          <w:lang w:eastAsia="en-GB"/>
        </w:rPr>
      </w:pPr>
      <w:hyperlink w:anchor="_Toc157523764" w:history="1">
        <w:r w:rsidR="00C461EC" w:rsidRPr="00DD3A09">
          <w:rPr>
            <w:rStyle w:val="Hyperlink"/>
            <w:noProof/>
          </w:rPr>
          <w:t>13.</w:t>
        </w:r>
        <w:r w:rsidR="00C461EC">
          <w:rPr>
            <w:rFonts w:eastAsiaTheme="minorEastAsia"/>
            <w:noProof/>
            <w:lang w:eastAsia="en-GB"/>
          </w:rPr>
          <w:tab/>
        </w:r>
        <w:r w:rsidR="00C461EC" w:rsidRPr="00DD3A09">
          <w:rPr>
            <w:rStyle w:val="Hyperlink"/>
            <w:noProof/>
          </w:rPr>
          <w:t>Governing law</w:t>
        </w:r>
        <w:r w:rsidR="00C461EC">
          <w:rPr>
            <w:noProof/>
          </w:rPr>
          <w:tab/>
        </w:r>
        <w:r w:rsidR="00C461EC">
          <w:rPr>
            <w:noProof/>
          </w:rPr>
          <w:fldChar w:fldCharType="begin"/>
        </w:r>
        <w:r w:rsidR="00C461EC">
          <w:rPr>
            <w:noProof/>
          </w:rPr>
          <w:instrText xml:space="preserve"> PAGEREF _Toc157523764 \h </w:instrText>
        </w:r>
        <w:r w:rsidR="00C461EC">
          <w:rPr>
            <w:noProof/>
          </w:rPr>
        </w:r>
        <w:r w:rsidR="00C461EC">
          <w:rPr>
            <w:noProof/>
          </w:rPr>
          <w:fldChar w:fldCharType="separate"/>
        </w:r>
        <w:r w:rsidR="00584228">
          <w:rPr>
            <w:noProof/>
          </w:rPr>
          <w:t>13</w:t>
        </w:r>
        <w:r w:rsidR="00C461EC">
          <w:rPr>
            <w:noProof/>
          </w:rPr>
          <w:fldChar w:fldCharType="end"/>
        </w:r>
      </w:hyperlink>
    </w:p>
    <w:p w14:paraId="229F7CF1" w14:textId="4C71ABED" w:rsidR="00C461EC" w:rsidRDefault="00910111">
      <w:pPr>
        <w:pStyle w:val="TOC1"/>
        <w:tabs>
          <w:tab w:val="left" w:pos="660"/>
          <w:tab w:val="right" w:leader="dot" w:pos="9350"/>
        </w:tabs>
        <w:rPr>
          <w:rFonts w:eastAsiaTheme="minorEastAsia"/>
          <w:noProof/>
          <w:lang w:eastAsia="en-GB"/>
        </w:rPr>
      </w:pPr>
      <w:hyperlink w:anchor="_Toc157523765" w:history="1">
        <w:r w:rsidR="00C461EC" w:rsidRPr="00DD3A09">
          <w:rPr>
            <w:rStyle w:val="Hyperlink"/>
            <w:noProof/>
          </w:rPr>
          <w:t>14.</w:t>
        </w:r>
        <w:r w:rsidR="00C461EC">
          <w:rPr>
            <w:rFonts w:eastAsiaTheme="minorEastAsia"/>
            <w:noProof/>
            <w:lang w:eastAsia="en-GB"/>
          </w:rPr>
          <w:tab/>
        </w:r>
        <w:r w:rsidR="00C461EC" w:rsidRPr="00DD3A09">
          <w:rPr>
            <w:rStyle w:val="Hyperlink"/>
            <w:noProof/>
          </w:rPr>
          <w:t>Jurisdiction</w:t>
        </w:r>
        <w:r w:rsidR="00C461EC">
          <w:rPr>
            <w:noProof/>
          </w:rPr>
          <w:tab/>
        </w:r>
        <w:r w:rsidR="00C461EC">
          <w:rPr>
            <w:noProof/>
          </w:rPr>
          <w:fldChar w:fldCharType="begin"/>
        </w:r>
        <w:r w:rsidR="00C461EC">
          <w:rPr>
            <w:noProof/>
          </w:rPr>
          <w:instrText xml:space="preserve"> PAGEREF _Toc157523765 \h </w:instrText>
        </w:r>
        <w:r w:rsidR="00C461EC">
          <w:rPr>
            <w:noProof/>
          </w:rPr>
        </w:r>
        <w:r w:rsidR="00C461EC">
          <w:rPr>
            <w:noProof/>
          </w:rPr>
          <w:fldChar w:fldCharType="separate"/>
        </w:r>
        <w:r w:rsidR="00584228">
          <w:rPr>
            <w:noProof/>
          </w:rPr>
          <w:t>14</w:t>
        </w:r>
        <w:r w:rsidR="00C461EC">
          <w:rPr>
            <w:noProof/>
          </w:rPr>
          <w:fldChar w:fldCharType="end"/>
        </w:r>
      </w:hyperlink>
    </w:p>
    <w:p w14:paraId="5B88F41A" w14:textId="3105DE3B" w:rsidR="00C461EC" w:rsidRDefault="00910111">
      <w:pPr>
        <w:pStyle w:val="TOC1"/>
        <w:tabs>
          <w:tab w:val="left" w:pos="660"/>
          <w:tab w:val="right" w:leader="dot" w:pos="9350"/>
        </w:tabs>
        <w:rPr>
          <w:rFonts w:eastAsiaTheme="minorEastAsia"/>
          <w:noProof/>
          <w:lang w:eastAsia="en-GB"/>
        </w:rPr>
      </w:pPr>
      <w:hyperlink w:anchor="_Toc157523766" w:history="1">
        <w:r w:rsidR="00C461EC" w:rsidRPr="00DD3A09">
          <w:rPr>
            <w:rStyle w:val="Hyperlink"/>
            <w:noProof/>
          </w:rPr>
          <w:t>15.</w:t>
        </w:r>
        <w:r w:rsidR="00C461EC">
          <w:rPr>
            <w:rFonts w:eastAsiaTheme="minorEastAsia"/>
            <w:noProof/>
            <w:lang w:eastAsia="en-GB"/>
          </w:rPr>
          <w:tab/>
        </w:r>
        <w:r w:rsidR="00C461EC" w:rsidRPr="00DD3A09">
          <w:rPr>
            <w:rStyle w:val="Hyperlink"/>
            <w:noProof/>
          </w:rPr>
          <w:t>Council's statutory powers</w:t>
        </w:r>
        <w:r w:rsidR="00C461EC">
          <w:rPr>
            <w:noProof/>
          </w:rPr>
          <w:tab/>
        </w:r>
        <w:r w:rsidR="00C461EC">
          <w:rPr>
            <w:noProof/>
          </w:rPr>
          <w:fldChar w:fldCharType="begin"/>
        </w:r>
        <w:r w:rsidR="00C461EC">
          <w:rPr>
            <w:noProof/>
          </w:rPr>
          <w:instrText xml:space="preserve"> PAGEREF _Toc157523766 \h </w:instrText>
        </w:r>
        <w:r w:rsidR="00C461EC">
          <w:rPr>
            <w:noProof/>
          </w:rPr>
        </w:r>
        <w:r w:rsidR="00C461EC">
          <w:rPr>
            <w:noProof/>
          </w:rPr>
          <w:fldChar w:fldCharType="separate"/>
        </w:r>
        <w:r w:rsidR="00584228">
          <w:rPr>
            <w:noProof/>
          </w:rPr>
          <w:t>14</w:t>
        </w:r>
        <w:r w:rsidR="00C461EC">
          <w:rPr>
            <w:noProof/>
          </w:rPr>
          <w:fldChar w:fldCharType="end"/>
        </w:r>
      </w:hyperlink>
    </w:p>
    <w:p w14:paraId="1ACE53A9" w14:textId="30097F62" w:rsidR="005859BE" w:rsidRDefault="005859BE" w:rsidP="00A56995">
      <w:pPr>
        <w:pStyle w:val="HeadingLevel2"/>
      </w:pPr>
      <w:r>
        <w:fldChar w:fldCharType="end"/>
      </w:r>
    </w:p>
    <w:p w14:paraId="786C4625" w14:textId="77777777" w:rsidR="005859BE" w:rsidRDefault="005859BE" w:rsidP="00A56995">
      <w:pPr>
        <w:pStyle w:val="HeadingLevel2"/>
        <w:sectPr w:rsidR="005859BE" w:rsidSect="000C43EF">
          <w:footerReference w:type="default" r:id="rId20"/>
          <w:pgSz w:w="12240" w:h="15840"/>
          <w:pgMar w:top="1440" w:right="1440" w:bottom="1440" w:left="1440" w:header="720" w:footer="720" w:gutter="0"/>
          <w:pgNumType w:start="1"/>
          <w:cols w:space="720"/>
        </w:sectPr>
      </w:pPr>
    </w:p>
    <w:p w14:paraId="6CCBEBC8" w14:textId="77777777" w:rsidR="005859BE" w:rsidRDefault="005859BE" w:rsidP="00A56995">
      <w:pPr>
        <w:pStyle w:val="HeadingLevel2"/>
      </w:pPr>
    </w:p>
    <w:p w14:paraId="662138B0" w14:textId="6ED13E0C" w:rsidR="005859BE" w:rsidRDefault="005859BE" w:rsidP="00A56995">
      <w:pPr>
        <w:pStyle w:val="IntroDefault"/>
      </w:pPr>
      <w:r>
        <w:t xml:space="preserve">This deed is </w:t>
      </w:r>
      <w:proofErr w:type="gramStart"/>
      <w:r>
        <w:t>dated</w:t>
      </w:r>
      <w:proofErr w:type="gramEnd"/>
      <w:r>
        <w:t xml:space="preserve"> </w:t>
      </w:r>
    </w:p>
    <w:p w14:paraId="23889A78" w14:textId="77777777" w:rsidR="005859BE" w:rsidRDefault="005859BE" w:rsidP="00A56995">
      <w:pPr>
        <w:pStyle w:val="DescriptiveHeading"/>
      </w:pPr>
      <w:r>
        <w:t>Parties</w:t>
      </w:r>
    </w:p>
    <w:p w14:paraId="4A9AC1F6" w14:textId="25458318" w:rsidR="005859BE" w:rsidRPr="00C90ABE" w:rsidRDefault="00DA13D4" w:rsidP="00A56995">
      <w:pPr>
        <w:pStyle w:val="Parties"/>
        <w:rPr>
          <w:b/>
        </w:rPr>
      </w:pPr>
      <w:r w:rsidRPr="00CA37F5">
        <w:rPr>
          <w:b/>
          <w:bCs/>
        </w:rPr>
        <w:t>T</w:t>
      </w:r>
      <w:r w:rsidR="00CA37F5" w:rsidRPr="00CA37F5">
        <w:rPr>
          <w:b/>
          <w:bCs/>
        </w:rPr>
        <w:t>HE</w:t>
      </w:r>
      <w:r w:rsidRPr="00CA37F5">
        <w:rPr>
          <w:b/>
          <w:bCs/>
        </w:rPr>
        <w:t xml:space="preserve"> COUNCIL OF THE CITY OF COVENTRY</w:t>
      </w:r>
      <w:r>
        <w:t xml:space="preserve"> of</w:t>
      </w:r>
      <w:r w:rsidR="005859BE">
        <w:t xml:space="preserve"> </w:t>
      </w:r>
      <w:r>
        <w:t>Council House, Earl Street, Coventry CV1 5RR</w:t>
      </w:r>
      <w:r w:rsidR="005859BE">
        <w:t xml:space="preserve"> </w:t>
      </w:r>
      <w:r w:rsidR="005859BE">
        <w:rPr>
          <w:rStyle w:val="DefTerm"/>
        </w:rPr>
        <w:t>(Seller)</w:t>
      </w:r>
    </w:p>
    <w:p w14:paraId="2E0FE870" w14:textId="77777777" w:rsidR="005859BE" w:rsidRPr="00C90ABE" w:rsidRDefault="005859BE" w:rsidP="00A56995">
      <w:pPr>
        <w:pStyle w:val="Parties"/>
        <w:rPr>
          <w:b/>
        </w:rPr>
      </w:pPr>
      <w:r>
        <w:t xml:space="preserve">[FULL COMPANY NAME] incorporated and registered in England and Wales with company number [NUMBER] whose registered office is at [REGISTERED OFFICE ADDRESS] OR [INDIVIDUAL NAME] of [INDIVIDUAL ADDRESS] </w:t>
      </w:r>
      <w:r>
        <w:rPr>
          <w:rStyle w:val="DefTerm"/>
        </w:rPr>
        <w:t>(Buyer)</w:t>
      </w:r>
    </w:p>
    <w:p w14:paraId="3354E402" w14:textId="77777777" w:rsidR="005859BE" w:rsidRDefault="005859BE" w:rsidP="00A56995">
      <w:pPr>
        <w:pStyle w:val="DescriptiveHeading"/>
      </w:pPr>
      <w:r>
        <w:t>BACKGROUND</w:t>
      </w:r>
    </w:p>
    <w:p w14:paraId="5ABBF9F7" w14:textId="77777777" w:rsidR="005859BE" w:rsidRDefault="005859BE" w:rsidP="00A56995">
      <w:pPr>
        <w:pStyle w:val="Background"/>
      </w:pPr>
      <w:bookmarkStart w:id="0" w:name="a952393"/>
      <w:r>
        <w:t>By a transfer dated the same date as this deed, the Seller has transferred the Property to the Buyer.</w:t>
      </w:r>
      <w:bookmarkEnd w:id="0"/>
    </w:p>
    <w:p w14:paraId="7A8066FB" w14:textId="453FDADA" w:rsidR="00D93695" w:rsidRDefault="00D93695" w:rsidP="00A56995">
      <w:pPr>
        <w:pStyle w:val="Background"/>
      </w:pPr>
      <w:r>
        <w:t>The Property has been transferred with the benefit of the Initial Planning Permission numbered OUT/2022/0548, permitting the building of 129 residential units.</w:t>
      </w:r>
    </w:p>
    <w:p w14:paraId="78715F61" w14:textId="77777777" w:rsidR="005859BE" w:rsidRDefault="005859BE" w:rsidP="00A56995">
      <w:pPr>
        <w:pStyle w:val="Background"/>
      </w:pPr>
      <w:bookmarkStart w:id="1" w:name="a706722"/>
      <w:r>
        <w:t xml:space="preserve">On the terms of this deed, the Buyer agrees to pay an Overage Payment to the Seller on the earlier of the following events occurring during the Overage Period in relation to each Planning Permission granted during the Overage Period: </w:t>
      </w:r>
      <w:bookmarkEnd w:id="1"/>
    </w:p>
    <w:p w14:paraId="30650699" w14:textId="77777777" w:rsidR="005859BE" w:rsidRDefault="005859BE" w:rsidP="00A56995">
      <w:pPr>
        <w:pStyle w:val="BackgroundSubclause1"/>
      </w:pPr>
      <w:bookmarkStart w:id="2" w:name="a938394"/>
      <w:r>
        <w:t xml:space="preserve">implementation of that Planning Permission; and </w:t>
      </w:r>
      <w:bookmarkEnd w:id="2"/>
    </w:p>
    <w:p w14:paraId="2EBAE6E3" w14:textId="77777777" w:rsidR="005859BE" w:rsidRDefault="005859BE" w:rsidP="00A56995">
      <w:pPr>
        <w:pStyle w:val="BackgroundSubclause1"/>
      </w:pPr>
      <w:bookmarkStart w:id="3" w:name="a860244"/>
      <w:r>
        <w:t>completion of an Overage Disposal where the land disposed of includes the whole or any part(s) of the Property with the benefit of that Planning Permission.</w:t>
      </w:r>
      <w:bookmarkEnd w:id="3"/>
    </w:p>
    <w:p w14:paraId="53385AFF" w14:textId="77777777" w:rsidR="005859BE" w:rsidRDefault="005859BE" w:rsidP="00A56995">
      <w:pPr>
        <w:pStyle w:val="DescriptiveHeading"/>
      </w:pPr>
      <w:r>
        <w:t xml:space="preserve">Agreed </w:t>
      </w:r>
      <w:proofErr w:type="gramStart"/>
      <w:r>
        <w:t>terms</w:t>
      </w:r>
      <w:proofErr w:type="gramEnd"/>
    </w:p>
    <w:p w14:paraId="3407BBE2" w14:textId="77777777" w:rsidR="005859BE" w:rsidRDefault="005859BE" w:rsidP="00A56995">
      <w:pPr>
        <w:pStyle w:val="TitleClause"/>
      </w:pPr>
      <w:r>
        <w:fldChar w:fldCharType="begin"/>
      </w:r>
      <w:r>
        <w:instrText>TC "1. Interpretation" \l 1</w:instrText>
      </w:r>
      <w:r>
        <w:fldChar w:fldCharType="end"/>
      </w:r>
      <w:bookmarkStart w:id="4" w:name="a716443"/>
      <w:bookmarkStart w:id="5" w:name="_Toc157523752"/>
      <w:r>
        <w:t>Interpretation</w:t>
      </w:r>
      <w:bookmarkEnd w:id="4"/>
      <w:bookmarkEnd w:id="5"/>
    </w:p>
    <w:p w14:paraId="27BF9F60" w14:textId="77777777" w:rsidR="005859BE" w:rsidRDefault="005859BE" w:rsidP="00A56995">
      <w:pPr>
        <w:pStyle w:val="ParaClause"/>
      </w:pPr>
      <w:r>
        <w:t>The following definitions and rules of interpretation apply in this deed.</w:t>
      </w:r>
    </w:p>
    <w:p w14:paraId="7D51EA48" w14:textId="77777777" w:rsidR="005859BE" w:rsidRDefault="005859BE" w:rsidP="00A56995">
      <w:pPr>
        <w:pStyle w:val="Untitledsubclause1"/>
      </w:pPr>
      <w:bookmarkStart w:id="6" w:name="a695900"/>
      <w:r>
        <w:t>Definitions:</w:t>
      </w:r>
      <w:bookmarkEnd w:id="6"/>
    </w:p>
    <w:p w14:paraId="4A95C624" w14:textId="77777777" w:rsidR="005859BE" w:rsidRDefault="005859BE" w:rsidP="00A56995">
      <w:pPr>
        <w:pStyle w:val="DefinedTermPara"/>
      </w:pPr>
      <w:bookmarkStart w:id="7" w:name="a531170"/>
      <w:r>
        <w:rPr>
          <w:rStyle w:val="DefTerm"/>
        </w:rPr>
        <w:t>Assignee</w:t>
      </w:r>
      <w:r>
        <w:t>: in relation to each Assignment, the person to whom that Assignment has been made.</w:t>
      </w:r>
      <w:bookmarkEnd w:id="7"/>
    </w:p>
    <w:p w14:paraId="6EDF21D3" w14:textId="77777777" w:rsidR="005859BE" w:rsidRDefault="005859BE" w:rsidP="00A56995">
      <w:pPr>
        <w:pStyle w:val="DefinedTermPara"/>
      </w:pPr>
      <w:bookmarkStart w:id="8" w:name="a775216"/>
      <w:r>
        <w:rPr>
          <w:rStyle w:val="DefTerm"/>
        </w:rPr>
        <w:t>Assignee Deed of Covenant</w:t>
      </w:r>
      <w:r>
        <w:t>: a deed of covenant with the Buyer containing covenants in the same terms as those given by the Seller in this deed with such minor modifications as the Buyer may agree.</w:t>
      </w:r>
      <w:bookmarkEnd w:id="8"/>
    </w:p>
    <w:p w14:paraId="01219830" w14:textId="77777777" w:rsidR="005859BE" w:rsidRDefault="005859BE" w:rsidP="00A56995">
      <w:pPr>
        <w:pStyle w:val="DefinedTermPara"/>
      </w:pPr>
      <w:bookmarkStart w:id="9" w:name="a842466"/>
      <w:r>
        <w:rPr>
          <w:rStyle w:val="DefTerm"/>
        </w:rPr>
        <w:t>Assignment</w:t>
      </w:r>
      <w:r>
        <w:t>: an assignment of the benefit of the Buyer's covenants in relation to any matters contained in this deed.</w:t>
      </w:r>
      <w:bookmarkEnd w:id="9"/>
    </w:p>
    <w:p w14:paraId="00D818B9" w14:textId="62661CE1" w:rsidR="005859BE" w:rsidRDefault="005859BE" w:rsidP="00A56995">
      <w:pPr>
        <w:pStyle w:val="DefinedTermPara"/>
      </w:pPr>
      <w:bookmarkStart w:id="10" w:name="a618587"/>
      <w:r>
        <w:rPr>
          <w:rStyle w:val="DefTerm"/>
        </w:rPr>
        <w:t>Base Value</w:t>
      </w:r>
      <w:r>
        <w:t xml:space="preserve">: where an Overage Payment has become due under </w:t>
      </w:r>
      <w:r>
        <w:fldChar w:fldCharType="begin"/>
      </w:r>
      <w:r>
        <w:instrText>PAGEREF a763311\# "'clause '"  \h</w:instrText>
      </w:r>
      <w:r>
        <w:fldChar w:fldCharType="separate"/>
      </w:r>
      <w:r w:rsidR="00584228">
        <w:rPr>
          <w:noProof/>
        </w:rPr>
        <w:t xml:space="preserve">clause </w:t>
      </w:r>
      <w:r>
        <w:fldChar w:fldCharType="end"/>
      </w:r>
      <w:r>
        <w:fldChar w:fldCharType="begin"/>
      </w:r>
      <w:r>
        <w:rPr>
          <w:highlight w:val="lightGray"/>
        </w:rPr>
        <w:instrText>REF a763311 \h \w</w:instrText>
      </w:r>
      <w:r>
        <w:fldChar w:fldCharType="separate"/>
      </w:r>
      <w:r w:rsidR="00584228">
        <w:rPr>
          <w:highlight w:val="lightGray"/>
        </w:rPr>
        <w:t>2.1</w:t>
      </w:r>
      <w:r>
        <w:fldChar w:fldCharType="end"/>
      </w:r>
      <w:r>
        <w:t xml:space="preserve"> due to the occurrence of a Trigger Date, the Market Value at that Trigger Date of all the Development Land with the benefit of the Relevant Planning Permission in respect of which that Overage Payment has become due:</w:t>
      </w:r>
      <w:bookmarkEnd w:id="10"/>
    </w:p>
    <w:p w14:paraId="7D3915EB" w14:textId="518B3777" w:rsidR="005859BE" w:rsidRDefault="005859BE" w:rsidP="00A56995">
      <w:pPr>
        <w:pStyle w:val="DefinedTermNumber"/>
      </w:pPr>
      <w:r>
        <w:t xml:space="preserve">disregarding any effect on value of that Relevant Planning </w:t>
      </w:r>
      <w:proofErr w:type="gramStart"/>
      <w:r>
        <w:t>Permission;</w:t>
      </w:r>
      <w:proofErr w:type="gramEnd"/>
      <w:r>
        <w:t xml:space="preserve"> </w:t>
      </w:r>
    </w:p>
    <w:p w14:paraId="120AE43A" w14:textId="29EA9658" w:rsidR="005859BE" w:rsidRPr="00D93695" w:rsidRDefault="005859BE" w:rsidP="00A56995">
      <w:pPr>
        <w:pStyle w:val="DefinedTermNumber"/>
      </w:pPr>
      <w:r w:rsidRPr="00D93695">
        <w:t xml:space="preserve">assuming that there </w:t>
      </w:r>
      <w:r w:rsidR="00324EF7" w:rsidRPr="00D93695">
        <w:t>wa</w:t>
      </w:r>
      <w:r w:rsidRPr="00D93695">
        <w:t xml:space="preserve">s no expectation of the grant of any </w:t>
      </w:r>
      <w:r w:rsidR="00DA13D4" w:rsidRPr="00D93695">
        <w:t xml:space="preserve">further </w:t>
      </w:r>
      <w:r w:rsidRPr="00D93695">
        <w:t xml:space="preserve">Planning Permission; </w:t>
      </w:r>
      <w:r w:rsidR="00DA13D4" w:rsidRPr="00D93695">
        <w:t>but</w:t>
      </w:r>
    </w:p>
    <w:p w14:paraId="46E23600" w14:textId="24007F86" w:rsidR="005859BE" w:rsidRPr="001652C1" w:rsidRDefault="00DA13D4" w:rsidP="00A56995">
      <w:pPr>
        <w:pStyle w:val="DefinedTermNumber"/>
      </w:pPr>
      <w:r>
        <w:t>with the benefit of the Initial Planning Permission.</w:t>
      </w:r>
    </w:p>
    <w:p w14:paraId="6F3E68ED" w14:textId="77777777" w:rsidR="005859BE" w:rsidRDefault="005859BE" w:rsidP="00A56995">
      <w:pPr>
        <w:pStyle w:val="DefinedTermPara"/>
        <w:rPr>
          <w:rStyle w:val="DefTerm"/>
        </w:rPr>
      </w:pPr>
      <w:bookmarkStart w:id="11" w:name="a809113"/>
      <w:r>
        <w:rPr>
          <w:rStyle w:val="DefTerm"/>
        </w:rPr>
        <w:t>Deed of Covenant</w:t>
      </w:r>
      <w:r>
        <w:t>: a deed of covenant with the Seller containing covenants in the same terms as those given by the Buyer in this deed with such minor modifications as the Seller may agree.</w:t>
      </w:r>
      <w:bookmarkEnd w:id="11"/>
    </w:p>
    <w:p w14:paraId="484C3E83" w14:textId="3BF3D41A" w:rsidR="005859BE" w:rsidRDefault="005859BE" w:rsidP="00A56995">
      <w:pPr>
        <w:pStyle w:val="DefinedTermPara"/>
        <w:rPr>
          <w:rStyle w:val="DefTerm"/>
        </w:rPr>
      </w:pPr>
      <w:bookmarkStart w:id="12" w:name="a252195"/>
      <w:r>
        <w:rPr>
          <w:rStyle w:val="DefTerm"/>
        </w:rPr>
        <w:t>Default Rate</w:t>
      </w:r>
      <w:r>
        <w:t>: 4% per annum above the Interest Rate.</w:t>
      </w:r>
      <w:bookmarkEnd w:id="12"/>
    </w:p>
    <w:p w14:paraId="30070F84" w14:textId="77777777" w:rsidR="005859BE" w:rsidRDefault="005859BE" w:rsidP="00A56995">
      <w:pPr>
        <w:pStyle w:val="DefinedTermPara"/>
        <w:rPr>
          <w:rStyle w:val="DefTerm"/>
        </w:rPr>
      </w:pPr>
      <w:bookmarkStart w:id="13" w:name="a709251"/>
      <w:r>
        <w:rPr>
          <w:rStyle w:val="DefTerm"/>
        </w:rPr>
        <w:t>Determining Authority</w:t>
      </w:r>
      <w:r>
        <w:t>: the local planning authority or other appropriate determining body or person.</w:t>
      </w:r>
      <w:bookmarkEnd w:id="13"/>
    </w:p>
    <w:p w14:paraId="0AC23242" w14:textId="6E844173" w:rsidR="005859BE" w:rsidRDefault="005859BE" w:rsidP="00A56995">
      <w:pPr>
        <w:pStyle w:val="DefinedTermPara"/>
      </w:pPr>
      <w:bookmarkStart w:id="14" w:name="a927221"/>
      <w:r>
        <w:rPr>
          <w:rStyle w:val="DefTerm"/>
        </w:rPr>
        <w:t>Development</w:t>
      </w:r>
      <w:r>
        <w:t xml:space="preserve">: </w:t>
      </w:r>
      <w:bookmarkEnd w:id="14"/>
      <w:r>
        <w:t xml:space="preserve">any development within the meaning of section 55 of the TCPA 1990 of the whole or any part or parts of the Property, with or without other land. </w:t>
      </w:r>
    </w:p>
    <w:p w14:paraId="293385DE" w14:textId="77777777" w:rsidR="005859BE" w:rsidRDefault="005859BE" w:rsidP="00A56995">
      <w:pPr>
        <w:pStyle w:val="DefinedTermPara"/>
      </w:pPr>
      <w:bookmarkStart w:id="15" w:name="a831730"/>
      <w:r>
        <w:rPr>
          <w:rStyle w:val="DefTerm"/>
        </w:rPr>
        <w:t>Development Land</w:t>
      </w:r>
      <w:r>
        <w:t>: the whole or any part or parts of the Property with the benefit of a Relevant Planning Permission.</w:t>
      </w:r>
      <w:bookmarkEnd w:id="15"/>
    </w:p>
    <w:p w14:paraId="38A36FCA" w14:textId="20E7BE31" w:rsidR="005859BE" w:rsidRDefault="005859BE" w:rsidP="00A56995">
      <w:pPr>
        <w:pStyle w:val="DefinedTermPara"/>
        <w:rPr>
          <w:rStyle w:val="DefTerm"/>
        </w:rPr>
      </w:pPr>
      <w:bookmarkStart w:id="16" w:name="a881015"/>
      <w:r w:rsidRPr="00FE215E">
        <w:rPr>
          <w:rStyle w:val="DefTerm"/>
        </w:rPr>
        <w:t>Disposal</w:t>
      </w:r>
      <w:r w:rsidRPr="00FE215E">
        <w:t>: a disposition within the meaning of section 205(1)(ii) of the Law of Property Act</w:t>
      </w:r>
      <w:r>
        <w:t xml:space="preserve"> 1925 other than a Permitted Disposal.</w:t>
      </w:r>
      <w:bookmarkEnd w:id="16"/>
    </w:p>
    <w:p w14:paraId="71045F90" w14:textId="261F88B5" w:rsidR="005859BE" w:rsidRDefault="005859BE" w:rsidP="00A56995">
      <w:pPr>
        <w:pStyle w:val="DefinedTermPara"/>
      </w:pPr>
      <w:bookmarkStart w:id="17" w:name="a346205"/>
      <w:r>
        <w:rPr>
          <w:rStyle w:val="DefTerm"/>
        </w:rPr>
        <w:t>Enhanced Value</w:t>
      </w:r>
      <w:r>
        <w:t xml:space="preserve">: where an Overage Payment has become due under </w:t>
      </w:r>
      <w:r>
        <w:fldChar w:fldCharType="begin"/>
      </w:r>
      <w:r>
        <w:instrText>PAGEREF a763311\# "'clause '"  \h</w:instrText>
      </w:r>
      <w:r>
        <w:fldChar w:fldCharType="separate"/>
      </w:r>
      <w:r w:rsidR="00584228">
        <w:rPr>
          <w:noProof/>
        </w:rPr>
        <w:t xml:space="preserve">clause </w:t>
      </w:r>
      <w:r>
        <w:fldChar w:fldCharType="end"/>
      </w:r>
      <w:r>
        <w:fldChar w:fldCharType="begin"/>
      </w:r>
      <w:r>
        <w:rPr>
          <w:highlight w:val="lightGray"/>
        </w:rPr>
        <w:instrText>REF a763311 \h \w</w:instrText>
      </w:r>
      <w:r>
        <w:fldChar w:fldCharType="separate"/>
      </w:r>
      <w:r w:rsidR="00584228">
        <w:rPr>
          <w:highlight w:val="lightGray"/>
        </w:rPr>
        <w:t>2.1</w:t>
      </w:r>
      <w:r>
        <w:fldChar w:fldCharType="end"/>
      </w:r>
      <w:r>
        <w:t xml:space="preserve"> due to the occurrence of a Trigger Date, the Market Value at that Trigger Date of all the Development Land with the benefit of the Relevant Planning Permission for which that Overage Payment has become due:</w:t>
      </w:r>
      <w:bookmarkEnd w:id="17"/>
    </w:p>
    <w:p w14:paraId="4FD30695" w14:textId="15EA0F90" w:rsidR="005859BE" w:rsidRPr="00115C6A" w:rsidRDefault="005859BE" w:rsidP="00A56995">
      <w:pPr>
        <w:pStyle w:val="DefinedTermNumber"/>
      </w:pPr>
      <w:r>
        <w:t xml:space="preserve">with the benefit of that Relevant Planning </w:t>
      </w:r>
      <w:proofErr w:type="gramStart"/>
      <w:r>
        <w:t>Permission;</w:t>
      </w:r>
      <w:proofErr w:type="gramEnd"/>
      <w:r>
        <w:t xml:space="preserve"> </w:t>
      </w:r>
    </w:p>
    <w:p w14:paraId="6DB051ED" w14:textId="7BA5F5F4" w:rsidR="005859BE" w:rsidRPr="00384C90" w:rsidRDefault="005859BE" w:rsidP="00A56995">
      <w:pPr>
        <w:pStyle w:val="DefinedTermNumber"/>
      </w:pPr>
      <w:proofErr w:type="gramStart"/>
      <w:r w:rsidRPr="00384C90">
        <w:t>assuming that</w:t>
      </w:r>
      <w:proofErr w:type="gramEnd"/>
      <w:r w:rsidRPr="00384C90">
        <w:t xml:space="preserve"> that Development Land has the benefit of any easements, wayleaves, sight-line covenants and other agreements necessary to provide access, visibility splays or services to or from that Development Land</w:t>
      </w:r>
      <w:r w:rsidR="00944691" w:rsidRPr="00384C90">
        <w:t>;</w:t>
      </w:r>
      <w:r w:rsidR="001826E9" w:rsidRPr="00384C90">
        <w:t xml:space="preserve"> and</w:t>
      </w:r>
    </w:p>
    <w:p w14:paraId="4139891B" w14:textId="06A3CC16" w:rsidR="00944691" w:rsidRPr="00384C90" w:rsidRDefault="00944691" w:rsidP="00A56995">
      <w:pPr>
        <w:pStyle w:val="DefinedTermNumber"/>
      </w:pPr>
      <w:r w:rsidRPr="00384C90">
        <w:t xml:space="preserve">assuming that for each additional residential unit for which permission has been obtained above the number of residential units in the Initial Planning Permission, a minimum of at least £25,000 is paid in </w:t>
      </w:r>
      <w:r w:rsidR="001826E9" w:rsidRPr="00384C90">
        <w:t>the Overage Payment.</w:t>
      </w:r>
    </w:p>
    <w:p w14:paraId="75EECC45" w14:textId="77777777" w:rsidR="005859BE" w:rsidRPr="004D4907" w:rsidRDefault="005859BE" w:rsidP="00A56995">
      <w:pPr>
        <w:pStyle w:val="DefinedTermPara"/>
        <w:rPr>
          <w:b/>
        </w:rPr>
      </w:pPr>
      <w:bookmarkStart w:id="18" w:name="a303974"/>
      <w:r>
        <w:rPr>
          <w:rStyle w:val="DefTerm"/>
        </w:rPr>
        <w:t>Implementation</w:t>
      </w:r>
      <w:r>
        <w:t>: the implementation of a Relevant Planning Permission by the carrying out of a Material Operation provided that, for the purposes of this deed, implementation of a Relevant Planning Permission shall be deemed to have occurred notwithstanding any breach of a condition to that Relevant Planning Permission.</w:t>
      </w:r>
      <w:bookmarkEnd w:id="18"/>
    </w:p>
    <w:p w14:paraId="651F70B8" w14:textId="477FEA65" w:rsidR="005859BE" w:rsidRPr="00DA13D4" w:rsidRDefault="005859BE" w:rsidP="00A56995">
      <w:pPr>
        <w:pStyle w:val="DefinedTermPara"/>
        <w:rPr>
          <w:b/>
        </w:rPr>
      </w:pPr>
      <w:bookmarkStart w:id="19" w:name="a486285"/>
      <w:r>
        <w:rPr>
          <w:rStyle w:val="DefTerm"/>
        </w:rPr>
        <w:t>Independent Surveyor</w:t>
      </w:r>
      <w:r>
        <w:t xml:space="preserve">: a Fellow of the Royal Institution of Chartered Surveyors with at least ten years' experience in valuing properties similar to the Property, for uses similar to the Development and whose usual place of practice is within a </w:t>
      </w:r>
      <w:proofErr w:type="gramStart"/>
      <w:r w:rsidR="00324EF7">
        <w:t>25</w:t>
      </w:r>
      <w:r>
        <w:t xml:space="preserve"> mile</w:t>
      </w:r>
      <w:proofErr w:type="gramEnd"/>
      <w:r>
        <w:t xml:space="preserve"> radius of the Property.</w:t>
      </w:r>
      <w:bookmarkEnd w:id="19"/>
    </w:p>
    <w:p w14:paraId="533DE824" w14:textId="67B2D2E2" w:rsidR="00DA13D4" w:rsidRPr="00384C90" w:rsidRDefault="00DA13D4" w:rsidP="00A56995">
      <w:pPr>
        <w:pStyle w:val="DefinedTermPara"/>
        <w:rPr>
          <w:rStyle w:val="DefTerm"/>
        </w:rPr>
      </w:pPr>
      <w:r w:rsidRPr="00384C90">
        <w:rPr>
          <w:rStyle w:val="DefTerm"/>
        </w:rPr>
        <w:t xml:space="preserve">Initial Planning Permission:  </w:t>
      </w:r>
      <w:r w:rsidRPr="00384C90">
        <w:rPr>
          <w:rStyle w:val="DefTerm"/>
          <w:b w:val="0"/>
          <w:bCs/>
        </w:rPr>
        <w:t xml:space="preserve">the outline planning permission numbered </w:t>
      </w:r>
      <w:r w:rsidR="00FE215E" w:rsidRPr="00384C90">
        <w:rPr>
          <w:rStyle w:val="DefTerm"/>
          <w:b w:val="0"/>
          <w:bCs/>
        </w:rPr>
        <w:t>OUT/2022/0548</w:t>
      </w:r>
      <w:r w:rsidR="001826E9" w:rsidRPr="00384C90">
        <w:rPr>
          <w:rStyle w:val="DefTerm"/>
          <w:b w:val="0"/>
          <w:bCs/>
        </w:rPr>
        <w:t xml:space="preserve"> for 129 residential units.</w:t>
      </w:r>
    </w:p>
    <w:p w14:paraId="02343437" w14:textId="5B8972EF" w:rsidR="005859BE" w:rsidRDefault="005859BE" w:rsidP="00A56995">
      <w:pPr>
        <w:pStyle w:val="DefinedTermPara"/>
        <w:rPr>
          <w:rStyle w:val="DefTerm"/>
        </w:rPr>
      </w:pPr>
      <w:bookmarkStart w:id="20" w:name="a469963"/>
      <w:r>
        <w:rPr>
          <w:rStyle w:val="DefTerm"/>
        </w:rPr>
        <w:t>Interest Rate</w:t>
      </w:r>
      <w:r>
        <w:t xml:space="preserve">: the base rate from time to time of Barclays Bank plc. </w:t>
      </w:r>
      <w:bookmarkEnd w:id="20"/>
    </w:p>
    <w:p w14:paraId="27C3CEA4" w14:textId="77777777" w:rsidR="005859BE" w:rsidRDefault="005859BE" w:rsidP="00A56995">
      <w:pPr>
        <w:pStyle w:val="DefinedTermPara"/>
        <w:rPr>
          <w:rStyle w:val="DefTerm"/>
        </w:rPr>
      </w:pPr>
      <w:bookmarkStart w:id="21" w:name="a955717"/>
      <w:r>
        <w:rPr>
          <w:rStyle w:val="DefTerm"/>
        </w:rPr>
        <w:t>Market Value</w:t>
      </w:r>
      <w:r>
        <w:t>: the estimated amount for which the Development Land in respect of which an Overage Payment is being calculated should exchange between a willing buyer and a willing seller in an arm's length transaction, after proper marketing and where the parties had each acted knowledgeably, prudently and without compulsion, on the basis that:</w:t>
      </w:r>
      <w:bookmarkEnd w:id="21"/>
    </w:p>
    <w:p w14:paraId="1DDB26F3" w14:textId="77777777" w:rsidR="005859BE" w:rsidRDefault="005859BE" w:rsidP="00A56995">
      <w:pPr>
        <w:pStyle w:val="DefinedTermNumber"/>
      </w:pPr>
      <w:r>
        <w:t>it is assessed in accordance with paragraph 4 of VPS 4 of the RICS Valuation – Global Standards (November 2021</w:t>
      </w:r>
      <w:proofErr w:type="gramStart"/>
      <w:r>
        <w:t>);</w:t>
      </w:r>
      <w:proofErr w:type="gramEnd"/>
    </w:p>
    <w:p w14:paraId="7B71F9B0" w14:textId="3530E7A9" w:rsidR="005859BE" w:rsidRDefault="005859BE" w:rsidP="00A56995">
      <w:pPr>
        <w:pStyle w:val="DefinedTermNumber"/>
      </w:pPr>
      <w:r>
        <w:t xml:space="preserve">the provisions of this deed are </w:t>
      </w:r>
      <w:proofErr w:type="gramStart"/>
      <w:r>
        <w:t>disregarded;</w:t>
      </w:r>
      <w:proofErr w:type="gramEnd"/>
    </w:p>
    <w:p w14:paraId="5E84C4BB" w14:textId="1D6700C9" w:rsidR="005859BE" w:rsidRPr="00DB69AB" w:rsidRDefault="005859BE" w:rsidP="00A56995">
      <w:pPr>
        <w:pStyle w:val="DefinedTermNumber"/>
      </w:pPr>
      <w:r>
        <w:t xml:space="preserve">that Development Land has vacant </w:t>
      </w:r>
      <w:proofErr w:type="gramStart"/>
      <w:r>
        <w:t>possession;</w:t>
      </w:r>
      <w:proofErr w:type="gramEnd"/>
    </w:p>
    <w:p w14:paraId="267C1413" w14:textId="204D31EF" w:rsidR="005859BE" w:rsidRDefault="005859BE" w:rsidP="00A56995">
      <w:pPr>
        <w:pStyle w:val="DefinedTermNumber"/>
      </w:pPr>
      <w:r>
        <w:t>that Development Land is assumed to be free from all encumbrances</w:t>
      </w:r>
      <w:r w:rsidR="00DA13D4">
        <w:t xml:space="preserve"> other than any mentioned in the </w:t>
      </w:r>
      <w:proofErr w:type="gramStart"/>
      <w:r w:rsidR="00DA13D4">
        <w:t>Conveyance;</w:t>
      </w:r>
      <w:proofErr w:type="gramEnd"/>
    </w:p>
    <w:p w14:paraId="011AE417" w14:textId="09031801" w:rsidR="005859BE" w:rsidRDefault="005859BE" w:rsidP="00A56995">
      <w:pPr>
        <w:pStyle w:val="DefinedTermNumber"/>
      </w:pPr>
      <w:r>
        <w:t>any damage to or destruction of that Development Land occurring after the date of this deed is assumed to have been fully reinstated</w:t>
      </w:r>
      <w:r w:rsidR="00DA13D4">
        <w:t>.</w:t>
      </w:r>
    </w:p>
    <w:p w14:paraId="276F8F48" w14:textId="56BC8CF8" w:rsidR="005859BE" w:rsidRDefault="005859BE" w:rsidP="00A56995">
      <w:pPr>
        <w:pStyle w:val="DefinedTermPara"/>
        <w:rPr>
          <w:rStyle w:val="DefTerm"/>
        </w:rPr>
      </w:pPr>
      <w:bookmarkStart w:id="22" w:name="a921220"/>
      <w:r>
        <w:rPr>
          <w:rStyle w:val="DefTerm"/>
        </w:rPr>
        <w:t>Material Operation</w:t>
      </w:r>
      <w:r>
        <w:t>: has the same meaning as in section 56 of the TCPA 1990 but disregarding for the purposes of this deed and for no other purpose, the following operations:</w:t>
      </w:r>
      <w:bookmarkEnd w:id="22"/>
    </w:p>
    <w:p w14:paraId="0E8E8A5D" w14:textId="77777777" w:rsidR="005859BE" w:rsidRDefault="005859BE" w:rsidP="00A56995">
      <w:pPr>
        <w:pStyle w:val="DefinedTermNumber"/>
      </w:pPr>
      <w:r>
        <w:t xml:space="preserve">ground </w:t>
      </w:r>
      <w:proofErr w:type="gramStart"/>
      <w:r>
        <w:t>investigations;</w:t>
      </w:r>
      <w:proofErr w:type="gramEnd"/>
      <w:r>
        <w:t xml:space="preserve"> </w:t>
      </w:r>
    </w:p>
    <w:p w14:paraId="0D5ED9A5" w14:textId="77777777" w:rsidR="005859BE" w:rsidRDefault="005859BE" w:rsidP="00A56995">
      <w:pPr>
        <w:pStyle w:val="DefinedTermNumber"/>
      </w:pPr>
      <w:r>
        <w:t xml:space="preserve">site survey </w:t>
      </w:r>
      <w:proofErr w:type="gramStart"/>
      <w:r>
        <w:t>works;</w:t>
      </w:r>
      <w:proofErr w:type="gramEnd"/>
    </w:p>
    <w:p w14:paraId="0AD049D7" w14:textId="77777777" w:rsidR="005859BE" w:rsidRDefault="005859BE" w:rsidP="00A56995">
      <w:pPr>
        <w:pStyle w:val="DefinedTermNumber"/>
      </w:pPr>
      <w:r>
        <w:t xml:space="preserve">temporary access construction </w:t>
      </w:r>
      <w:proofErr w:type="gramStart"/>
      <w:r>
        <w:t>works;</w:t>
      </w:r>
      <w:proofErr w:type="gramEnd"/>
      <w:r>
        <w:t xml:space="preserve"> </w:t>
      </w:r>
    </w:p>
    <w:p w14:paraId="73AD67BD" w14:textId="77777777" w:rsidR="005859BE" w:rsidRDefault="005859BE" w:rsidP="00A56995">
      <w:pPr>
        <w:pStyle w:val="DefinedTermNumber"/>
      </w:pPr>
      <w:r>
        <w:t xml:space="preserve">archaeological investigation; and </w:t>
      </w:r>
    </w:p>
    <w:p w14:paraId="5E71A50F" w14:textId="1A78DF30" w:rsidR="005859BE" w:rsidRDefault="005859BE" w:rsidP="00A56995">
      <w:pPr>
        <w:pStyle w:val="DefinedTermNumber"/>
      </w:pPr>
      <w:r>
        <w:t>erection of any fences and hoardings.</w:t>
      </w:r>
    </w:p>
    <w:p w14:paraId="48D623C3" w14:textId="7D9070A8" w:rsidR="005859BE" w:rsidRDefault="005859BE" w:rsidP="00A56995">
      <w:pPr>
        <w:pStyle w:val="DefinedTermPara"/>
      </w:pPr>
      <w:bookmarkStart w:id="23" w:name="a459888"/>
      <w:r w:rsidRPr="00FE215E">
        <w:rPr>
          <w:rStyle w:val="DefTerm"/>
        </w:rPr>
        <w:t>Overage Disposal</w:t>
      </w:r>
      <w:r w:rsidRPr="00FE215E">
        <w:t>: a Disposal where the land disposed of includes any Development</w:t>
      </w:r>
      <w:r>
        <w:t xml:space="preserve"> Land.</w:t>
      </w:r>
      <w:bookmarkEnd w:id="23"/>
    </w:p>
    <w:p w14:paraId="5A26DE95" w14:textId="77777777" w:rsidR="005859BE" w:rsidRDefault="005859BE" w:rsidP="00A56995">
      <w:pPr>
        <w:pStyle w:val="DefinedTermPara"/>
        <w:rPr>
          <w:rStyle w:val="DefTerm"/>
        </w:rPr>
      </w:pPr>
      <w:bookmarkStart w:id="24" w:name="a463585"/>
      <w:r>
        <w:rPr>
          <w:rStyle w:val="DefTerm"/>
        </w:rPr>
        <w:t>Overage Payment</w:t>
      </w:r>
      <w:r>
        <w:t>: a sum calculated in accordance with the following formula:</w:t>
      </w:r>
      <w:bookmarkEnd w:id="24"/>
    </w:p>
    <w:p w14:paraId="2035E5CE" w14:textId="485EBCEF" w:rsidR="005859BE" w:rsidRPr="00672070" w:rsidRDefault="005859BE" w:rsidP="00A56995">
      <w:pPr>
        <w:pStyle w:val="DefinedTermPara"/>
        <w:rPr>
          <w:b/>
        </w:rPr>
      </w:pPr>
      <w:r>
        <w:rPr>
          <w:b/>
        </w:rPr>
        <w:t>(A - B) x</w:t>
      </w:r>
      <w:r w:rsidR="00DA13D4">
        <w:rPr>
          <w:b/>
        </w:rPr>
        <w:t>50</w:t>
      </w:r>
      <w:r>
        <w:rPr>
          <w:b/>
        </w:rPr>
        <w:t xml:space="preserve">% </w:t>
      </w:r>
    </w:p>
    <w:p w14:paraId="4EBDC3FC" w14:textId="77777777" w:rsidR="005859BE" w:rsidRDefault="005859BE" w:rsidP="00A56995">
      <w:pPr>
        <w:pStyle w:val="DefinedTermPara"/>
      </w:pPr>
      <w:r>
        <w:t>Where:</w:t>
      </w:r>
    </w:p>
    <w:p w14:paraId="61148492" w14:textId="77777777" w:rsidR="005859BE" w:rsidRDefault="005859BE" w:rsidP="00A56995">
      <w:pPr>
        <w:pStyle w:val="DefinedTermPara"/>
        <w:rPr>
          <w:b/>
        </w:rPr>
      </w:pPr>
      <w:r>
        <w:rPr>
          <w:b/>
        </w:rPr>
        <w:t>A</w:t>
      </w:r>
      <w:r>
        <w:t xml:space="preserve"> = Enhanced Value; and</w:t>
      </w:r>
    </w:p>
    <w:p w14:paraId="6B2EAFB3" w14:textId="77777777" w:rsidR="005859BE" w:rsidRDefault="005859BE" w:rsidP="00A56995">
      <w:pPr>
        <w:pStyle w:val="DefinedTermPara"/>
        <w:rPr>
          <w:b/>
        </w:rPr>
      </w:pPr>
      <w:r>
        <w:rPr>
          <w:b/>
        </w:rPr>
        <w:t>B</w:t>
      </w:r>
      <w:r>
        <w:t xml:space="preserve"> = Base Value.</w:t>
      </w:r>
    </w:p>
    <w:p w14:paraId="79175DFC" w14:textId="67A0E68C" w:rsidR="005859BE" w:rsidRDefault="005859BE" w:rsidP="00A56995">
      <w:pPr>
        <w:pStyle w:val="DefinedTermPara"/>
        <w:rPr>
          <w:rStyle w:val="DefTerm"/>
        </w:rPr>
      </w:pPr>
      <w:bookmarkStart w:id="25" w:name="a753708"/>
      <w:r>
        <w:rPr>
          <w:rStyle w:val="DefTerm"/>
        </w:rPr>
        <w:t>Overage Period</w:t>
      </w:r>
      <w:r>
        <w:t xml:space="preserve">: </w:t>
      </w:r>
      <w:r w:rsidR="00DA13D4">
        <w:t>Ten (10)</w:t>
      </w:r>
      <w:r>
        <w:t xml:space="preserve"> years starting on the date of this deed and ending at midnight on </w:t>
      </w:r>
      <w:r w:rsidR="00DA13D4">
        <w:t xml:space="preserve">             </w:t>
      </w:r>
      <w:proofErr w:type="gramStart"/>
      <w:r w:rsidR="00DA13D4">
        <w:t xml:space="preserve">  </w:t>
      </w:r>
      <w:r>
        <w:t>.</w:t>
      </w:r>
      <w:bookmarkEnd w:id="25"/>
      <w:proofErr w:type="gramEnd"/>
    </w:p>
    <w:p w14:paraId="107D8569" w14:textId="77777777" w:rsidR="005859BE" w:rsidRDefault="005859BE" w:rsidP="00A56995">
      <w:pPr>
        <w:pStyle w:val="DefinedTermPara"/>
      </w:pPr>
      <w:bookmarkStart w:id="26" w:name="a635896"/>
      <w:r>
        <w:rPr>
          <w:rStyle w:val="DefTerm"/>
        </w:rPr>
        <w:t>Overage Period Expiry Date</w:t>
      </w:r>
      <w:r>
        <w:t>: the date on which the Overage Period ends.</w:t>
      </w:r>
      <w:bookmarkEnd w:id="26"/>
    </w:p>
    <w:p w14:paraId="3A73C02C" w14:textId="51D875E1" w:rsidR="005859BE" w:rsidRDefault="005859BE" w:rsidP="00A56995">
      <w:pPr>
        <w:pStyle w:val="DefinedTermPara"/>
        <w:rPr>
          <w:rStyle w:val="DefTerm"/>
        </w:rPr>
      </w:pPr>
      <w:bookmarkStart w:id="27" w:name="a690030"/>
      <w:r>
        <w:rPr>
          <w:rStyle w:val="DefTerm"/>
        </w:rPr>
        <w:t>Payment Date</w:t>
      </w:r>
      <w:r>
        <w:t xml:space="preserve">: the date on which an Overage Payment is to be made in accordance with </w:t>
      </w:r>
      <w:r>
        <w:fldChar w:fldCharType="begin"/>
      </w:r>
      <w:r>
        <w:instrText>PAGEREF a297749\# "'clause '"  \h</w:instrText>
      </w:r>
      <w:r>
        <w:fldChar w:fldCharType="separate"/>
      </w:r>
      <w:r w:rsidR="00584228">
        <w:rPr>
          <w:noProof/>
        </w:rPr>
        <w:t xml:space="preserve">clause </w:t>
      </w:r>
      <w:r>
        <w:fldChar w:fldCharType="end"/>
      </w:r>
      <w:r>
        <w:fldChar w:fldCharType="begin"/>
      </w:r>
      <w:r>
        <w:rPr>
          <w:highlight w:val="lightGray"/>
        </w:rPr>
        <w:instrText>REF a297749 \h \w</w:instrText>
      </w:r>
      <w:r>
        <w:fldChar w:fldCharType="separate"/>
      </w:r>
      <w:r w:rsidR="00584228">
        <w:rPr>
          <w:highlight w:val="lightGray"/>
        </w:rPr>
        <w:t>2.2</w:t>
      </w:r>
      <w:r>
        <w:fldChar w:fldCharType="end"/>
      </w:r>
      <w:r>
        <w:t>.</w:t>
      </w:r>
      <w:bookmarkEnd w:id="27"/>
    </w:p>
    <w:p w14:paraId="05A02637" w14:textId="77777777" w:rsidR="005859BE" w:rsidRDefault="005859BE" w:rsidP="00A56995">
      <w:pPr>
        <w:pStyle w:val="DefinedTermPara"/>
      </w:pPr>
      <w:bookmarkStart w:id="28" w:name="a470096"/>
      <w:r>
        <w:rPr>
          <w:rStyle w:val="DefTerm"/>
        </w:rPr>
        <w:t>Permitted Disposal</w:t>
      </w:r>
      <w:r>
        <w:t xml:space="preserve">: any of the following: </w:t>
      </w:r>
      <w:bookmarkEnd w:id="28"/>
    </w:p>
    <w:p w14:paraId="6BE6B15E" w14:textId="77777777" w:rsidR="005859BE" w:rsidRDefault="005859BE" w:rsidP="00A56995">
      <w:pPr>
        <w:pStyle w:val="DefinedTermNumber"/>
      </w:pPr>
      <w:r>
        <w:t xml:space="preserve">the grant of easements or rights, transfer, lease or dedication to a local or other public authority of the whole or any part or parts of the Property pursuant to a requirement in an agreement or unilateral undertaking under section 106 of the TCPA </w:t>
      </w:r>
      <w:proofErr w:type="gramStart"/>
      <w:r>
        <w:t>1990;</w:t>
      </w:r>
      <w:proofErr w:type="gramEnd"/>
      <w:r>
        <w:t xml:space="preserve"> </w:t>
      </w:r>
    </w:p>
    <w:p w14:paraId="0C2F557E" w14:textId="77777777" w:rsidR="005859BE" w:rsidRDefault="005859BE" w:rsidP="00A56995">
      <w:pPr>
        <w:pStyle w:val="DefinedTermNumber"/>
      </w:pPr>
      <w:r>
        <w:t xml:space="preserve">the grant of easements or rights, transfer, lease or dedication to a </w:t>
      </w:r>
      <w:proofErr w:type="gramStart"/>
      <w:r>
        <w:t>highways</w:t>
      </w:r>
      <w:proofErr w:type="gramEnd"/>
      <w:r>
        <w:t xml:space="preserve"> authority of the whole or any part or parts of the Property to comply with highways requirements or in connection with the adoption or dedication of public highway; [or]</w:t>
      </w:r>
    </w:p>
    <w:p w14:paraId="0EEF7D72" w14:textId="540595BB" w:rsidR="005859BE" w:rsidRDefault="005859BE" w:rsidP="00A56995">
      <w:pPr>
        <w:pStyle w:val="DefinedTermNumber"/>
      </w:pPr>
      <w:r>
        <w:t xml:space="preserve">the grant of easements or rights, transfer, </w:t>
      </w:r>
      <w:proofErr w:type="gramStart"/>
      <w:r>
        <w:t>lease</w:t>
      </w:r>
      <w:proofErr w:type="gramEnd"/>
      <w:r>
        <w:t xml:space="preserve"> or dedication to a utilities company of the whole or any part or parts of the Property for an electricity substation, gas governor, sewage or water pumping station, drainage balancing device or other similar matters for the provision of services. </w:t>
      </w:r>
    </w:p>
    <w:p w14:paraId="2E4D5AA1" w14:textId="77777777" w:rsidR="005859BE" w:rsidRPr="00CB2691" w:rsidRDefault="005859BE" w:rsidP="00A56995">
      <w:pPr>
        <w:pStyle w:val="DefinedTermPara"/>
        <w:rPr>
          <w:b/>
        </w:rPr>
      </w:pPr>
      <w:bookmarkStart w:id="29" w:name="a166401"/>
      <w:r>
        <w:rPr>
          <w:rStyle w:val="DefTerm"/>
        </w:rPr>
        <w:t>Planning Permission</w:t>
      </w:r>
      <w:r>
        <w:t>: any of the following which are granted during the Overage Period for the Development by a Determining Authority:</w:t>
      </w:r>
      <w:bookmarkEnd w:id="29"/>
    </w:p>
    <w:p w14:paraId="689A9E50" w14:textId="169D3915" w:rsidR="005859BE" w:rsidRDefault="005859BE" w:rsidP="00A56995">
      <w:pPr>
        <w:pStyle w:val="DefinedTermNumber"/>
      </w:pPr>
      <w:r>
        <w:t xml:space="preserve">an outline planning </w:t>
      </w:r>
      <w:proofErr w:type="gramStart"/>
      <w:r>
        <w:t>permission;</w:t>
      </w:r>
      <w:proofErr w:type="gramEnd"/>
      <w:r>
        <w:t xml:space="preserve"> </w:t>
      </w:r>
    </w:p>
    <w:p w14:paraId="0EB85C60" w14:textId="1D820E0F" w:rsidR="005859BE" w:rsidRDefault="005859BE" w:rsidP="00A56995">
      <w:pPr>
        <w:pStyle w:val="DefinedTermNumber"/>
      </w:pPr>
      <w:r>
        <w:t xml:space="preserve">a detailed planning </w:t>
      </w:r>
      <w:proofErr w:type="gramStart"/>
      <w:r>
        <w:t>permission;</w:t>
      </w:r>
      <w:proofErr w:type="gramEnd"/>
      <w:r>
        <w:t xml:space="preserve"> </w:t>
      </w:r>
    </w:p>
    <w:p w14:paraId="51BC8546" w14:textId="63CC27BD" w:rsidR="005859BE" w:rsidRPr="00CB2691" w:rsidRDefault="005859BE" w:rsidP="00A56995">
      <w:pPr>
        <w:pStyle w:val="DefinedTermNumber"/>
      </w:pPr>
      <w:r>
        <w:t xml:space="preserve">a </w:t>
      </w:r>
      <w:proofErr w:type="gramStart"/>
      <w:r>
        <w:t>technical details</w:t>
      </w:r>
      <w:proofErr w:type="gramEnd"/>
      <w:r>
        <w:t xml:space="preserve"> consent;</w:t>
      </w:r>
    </w:p>
    <w:p w14:paraId="4851A353" w14:textId="45CEF12D" w:rsidR="005859BE" w:rsidRPr="00806E0E" w:rsidRDefault="005859BE" w:rsidP="00A56995">
      <w:pPr>
        <w:pStyle w:val="DefinedTermPara"/>
        <w:rPr>
          <w:rStyle w:val="DefTerm"/>
          <w:b w:val="0"/>
        </w:rPr>
      </w:pPr>
      <w:bookmarkStart w:id="30" w:name="a782402"/>
      <w:r>
        <w:t>including a planning permission issued pursuant to an application under section 73 of the TCPA 1990.</w:t>
      </w:r>
      <w:bookmarkEnd w:id="30"/>
    </w:p>
    <w:p w14:paraId="57A96874" w14:textId="3C94A131" w:rsidR="005859BE" w:rsidRPr="00DA13D4" w:rsidRDefault="005859BE" w:rsidP="00A56995">
      <w:pPr>
        <w:pStyle w:val="DefinedTermPara"/>
        <w:rPr>
          <w:b/>
        </w:rPr>
      </w:pPr>
      <w:bookmarkStart w:id="31" w:name="a293296"/>
      <w:r>
        <w:rPr>
          <w:rStyle w:val="DefTerm"/>
        </w:rPr>
        <w:t>Property</w:t>
      </w:r>
      <w:r>
        <w:t xml:space="preserve">: </w:t>
      </w:r>
      <w:bookmarkEnd w:id="31"/>
      <w:r>
        <w:t xml:space="preserve">the freehold property at </w:t>
      </w:r>
      <w:r w:rsidR="003239B2">
        <w:t xml:space="preserve">Hawthorne Lane, Coventry </w:t>
      </w:r>
      <w:r>
        <w:t xml:space="preserve">shown more particularly delineated in </w:t>
      </w:r>
      <w:r w:rsidR="00DA13D4" w:rsidRPr="003239B2">
        <w:rPr>
          <w:b/>
          <w:bCs/>
        </w:rPr>
        <w:t>edged red</w:t>
      </w:r>
      <w:r>
        <w:t xml:space="preserve"> on the plan attached to this deed and being part of the land comprised in a conveyance dated </w:t>
      </w:r>
      <w:r w:rsidR="00D93695">
        <w:t>24</w:t>
      </w:r>
      <w:r w:rsidR="00D93695" w:rsidRPr="00D93695">
        <w:rPr>
          <w:vertAlign w:val="superscript"/>
        </w:rPr>
        <w:t>th</w:t>
      </w:r>
      <w:r w:rsidR="00D93695">
        <w:t xml:space="preserve"> June 1926</w:t>
      </w:r>
      <w:r>
        <w:t xml:space="preserve"> between </w:t>
      </w:r>
      <w:r w:rsidR="00D93695">
        <w:t xml:space="preserve">the Right Honourable Francis Dudley Leigh (1) and the Mayor Aldermen and Burgesses of the City of Coventry (2) </w:t>
      </w:r>
      <w:r w:rsidR="00DA13D4">
        <w:t xml:space="preserve">(“the </w:t>
      </w:r>
      <w:r w:rsidR="00DA13D4" w:rsidRPr="00D93695">
        <w:rPr>
          <w:b/>
          <w:bCs/>
        </w:rPr>
        <w:t>Conveyance</w:t>
      </w:r>
      <w:r w:rsidR="00DA13D4">
        <w:t xml:space="preserve">”) </w:t>
      </w:r>
    </w:p>
    <w:p w14:paraId="19191DD5" w14:textId="77777777" w:rsidR="005859BE" w:rsidRDefault="005859BE" w:rsidP="00A56995">
      <w:pPr>
        <w:pStyle w:val="DefinedTermPara"/>
      </w:pPr>
      <w:bookmarkStart w:id="32" w:name="a583130"/>
      <w:r>
        <w:rPr>
          <w:rStyle w:val="DefTerm"/>
        </w:rPr>
        <w:t>Relevant Planning Permission</w:t>
      </w:r>
      <w:r>
        <w:t>: a Planning Permission in respect of which an Overage Payment has not previously become due under the terms of this deed.</w:t>
      </w:r>
      <w:bookmarkEnd w:id="32"/>
    </w:p>
    <w:p w14:paraId="739A393C" w14:textId="4ABAE660" w:rsidR="005859BE" w:rsidRDefault="005859BE" w:rsidP="00A56995">
      <w:pPr>
        <w:pStyle w:val="DefinedTermPara"/>
      </w:pPr>
      <w:bookmarkStart w:id="33" w:name="a936900"/>
      <w:r>
        <w:rPr>
          <w:rStyle w:val="DefTerm"/>
        </w:rPr>
        <w:t>Satisfactory Consent</w:t>
      </w:r>
      <w:r>
        <w:t xml:space="preserve">: a consent in accordance with the requirements of the restriction referred to in </w:t>
      </w:r>
      <w:r>
        <w:fldChar w:fldCharType="begin"/>
      </w:r>
      <w:r>
        <w:instrText>PAGEREF a1022440\# "'clause '"  \h</w:instrText>
      </w:r>
      <w:r>
        <w:fldChar w:fldCharType="separate"/>
      </w:r>
      <w:r w:rsidR="00584228">
        <w:rPr>
          <w:noProof/>
        </w:rPr>
        <w:t xml:space="preserve">clause </w:t>
      </w:r>
      <w:r>
        <w:fldChar w:fldCharType="end"/>
      </w:r>
      <w:r>
        <w:fldChar w:fldCharType="begin"/>
      </w:r>
      <w:r>
        <w:rPr>
          <w:highlight w:val="lightGray"/>
        </w:rPr>
        <w:instrText>REF a1022440 \h \w</w:instrText>
      </w:r>
      <w:r>
        <w:fldChar w:fldCharType="separate"/>
      </w:r>
      <w:r w:rsidR="00584228">
        <w:rPr>
          <w:highlight w:val="lightGray"/>
        </w:rPr>
        <w:t>4.2</w:t>
      </w:r>
      <w:r>
        <w:fldChar w:fldCharType="end"/>
      </w:r>
      <w:r>
        <w:t xml:space="preserve"> and the requirements of HM Land Registry from time to time.</w:t>
      </w:r>
      <w:bookmarkEnd w:id="33"/>
    </w:p>
    <w:p w14:paraId="7E92B039" w14:textId="77777777" w:rsidR="005859BE" w:rsidRPr="00AC7037" w:rsidRDefault="005859BE" w:rsidP="00A56995">
      <w:pPr>
        <w:pStyle w:val="DefinedTermPara"/>
      </w:pPr>
      <w:bookmarkStart w:id="34" w:name="a832241"/>
      <w:r>
        <w:rPr>
          <w:rStyle w:val="DefTerm"/>
        </w:rPr>
        <w:t>TCPA 1990</w:t>
      </w:r>
      <w:r>
        <w:t>: Town and Country Planning Act 1990.</w:t>
      </w:r>
      <w:bookmarkEnd w:id="34"/>
    </w:p>
    <w:p w14:paraId="5C7F7D9B" w14:textId="77777777" w:rsidR="005859BE" w:rsidRDefault="005859BE" w:rsidP="00A56995">
      <w:pPr>
        <w:pStyle w:val="DefinedTermPara"/>
      </w:pPr>
      <w:bookmarkStart w:id="35" w:name="a399942"/>
      <w:r>
        <w:rPr>
          <w:rStyle w:val="DefTerm"/>
        </w:rPr>
        <w:t>Trigger Date</w:t>
      </w:r>
      <w:r>
        <w:t>: in respect of each Relevant Planning Permission, the earlier of the date of:</w:t>
      </w:r>
      <w:bookmarkEnd w:id="35"/>
    </w:p>
    <w:p w14:paraId="220289BD" w14:textId="77777777" w:rsidR="005859BE" w:rsidRDefault="005859BE" w:rsidP="00A56995">
      <w:pPr>
        <w:pStyle w:val="DefinedTermNumber"/>
      </w:pPr>
      <w:r>
        <w:t>Implementation of that Relevant Planning Permission; and</w:t>
      </w:r>
    </w:p>
    <w:p w14:paraId="566AD6C0" w14:textId="77777777" w:rsidR="005859BE" w:rsidRPr="00A960EA" w:rsidRDefault="005859BE" w:rsidP="00A56995">
      <w:pPr>
        <w:pStyle w:val="DefinedTermNumber"/>
      </w:pPr>
      <w:r>
        <w:t>completion of an Overage Disposal where the land disposed of includes the whole or any part or parts of the Property with the benefit of that Relevant Planning Permission.</w:t>
      </w:r>
    </w:p>
    <w:p w14:paraId="5BBD5B57" w14:textId="1BF4468B" w:rsidR="005859BE" w:rsidRDefault="005859BE" w:rsidP="00A56995">
      <w:pPr>
        <w:pStyle w:val="DefinedTermPara"/>
        <w:rPr>
          <w:rStyle w:val="DefTerm"/>
        </w:rPr>
      </w:pPr>
      <w:bookmarkStart w:id="36" w:name="a712000"/>
      <w:r>
        <w:rPr>
          <w:rStyle w:val="DefTerm"/>
        </w:rPr>
        <w:t>VAT</w:t>
      </w:r>
      <w:r>
        <w:t>: value added tax or any equivalent tax chargeable in the UK.</w:t>
      </w:r>
      <w:bookmarkEnd w:id="36"/>
    </w:p>
    <w:p w14:paraId="0A65FF69" w14:textId="77777777" w:rsidR="005859BE" w:rsidRPr="00856CF5" w:rsidRDefault="005859BE" w:rsidP="00A56995">
      <w:pPr>
        <w:pStyle w:val="DefinedTermPara"/>
        <w:rPr>
          <w:b/>
        </w:rPr>
      </w:pPr>
      <w:bookmarkStart w:id="37" w:name="a874001"/>
      <w:r>
        <w:rPr>
          <w:rStyle w:val="DefTerm"/>
        </w:rPr>
        <w:t>Working Day</w:t>
      </w:r>
      <w:r>
        <w:t xml:space="preserve">: any day from Monday to Friday (inclusive) which is not Christmas Day, Good </w:t>
      </w:r>
      <w:proofErr w:type="gramStart"/>
      <w:r>
        <w:t>Friday</w:t>
      </w:r>
      <w:proofErr w:type="gramEnd"/>
      <w:r>
        <w:t xml:space="preserve"> or a statutory Bank Holiday.</w:t>
      </w:r>
      <w:bookmarkEnd w:id="37"/>
    </w:p>
    <w:p w14:paraId="06041AB7" w14:textId="77777777" w:rsidR="005859BE" w:rsidRDefault="005859BE" w:rsidP="00A56995">
      <w:pPr>
        <w:pStyle w:val="Untitledsubclause1"/>
      </w:pPr>
      <w:bookmarkStart w:id="38" w:name="a866515"/>
      <w:r>
        <w:t xml:space="preserve">A </w:t>
      </w:r>
      <w:r>
        <w:rPr>
          <w:b/>
        </w:rPr>
        <w:t>person</w:t>
      </w:r>
      <w:r>
        <w:t xml:space="preserve"> includes a natural person, corporate or unincorporated body (</w:t>
      </w:r>
      <w:proofErr w:type="gramStart"/>
      <w:r>
        <w:t>whether or not</w:t>
      </w:r>
      <w:proofErr w:type="gramEnd"/>
      <w:r>
        <w:t xml:space="preserve"> having separate legal personality).</w:t>
      </w:r>
      <w:bookmarkEnd w:id="38"/>
    </w:p>
    <w:p w14:paraId="6681A177" w14:textId="77777777" w:rsidR="005859BE" w:rsidRDefault="005859BE" w:rsidP="00A56995">
      <w:pPr>
        <w:pStyle w:val="Untitledsubclause1"/>
      </w:pPr>
      <w:bookmarkStart w:id="39" w:name="a363139"/>
      <w:r>
        <w:t xml:space="preserve">Unless expressly provided otherwise in this deed, a reference to legislation or a legislative provision is a reference to it as amended, </w:t>
      </w:r>
      <w:proofErr w:type="gramStart"/>
      <w:r>
        <w:t>extended</w:t>
      </w:r>
      <w:proofErr w:type="gramEnd"/>
      <w:r>
        <w:t xml:space="preserve"> or re-enacted from time to time.</w:t>
      </w:r>
      <w:bookmarkEnd w:id="39"/>
    </w:p>
    <w:p w14:paraId="161C3AE8" w14:textId="77777777" w:rsidR="005859BE" w:rsidRDefault="005859BE" w:rsidP="00A56995">
      <w:pPr>
        <w:pStyle w:val="Untitledsubclause1"/>
      </w:pPr>
      <w:bookmarkStart w:id="40" w:name="a171177"/>
      <w:r>
        <w:t>Unless expressly provided otherwise in this deed, a reference to legislation or a legislative provision shall include all subordinate legislation made from time to time under that legislation or legislative provision.</w:t>
      </w:r>
      <w:bookmarkEnd w:id="40"/>
    </w:p>
    <w:p w14:paraId="540CA69A" w14:textId="77777777" w:rsidR="005859BE" w:rsidRDefault="005859BE" w:rsidP="00A56995">
      <w:pPr>
        <w:pStyle w:val="Untitledsubclause1"/>
      </w:pPr>
      <w:bookmarkStart w:id="41" w:name="a820665"/>
      <w:r>
        <w:t xml:space="preserve">Unless the context otherwise requires, references to clauses are to the clauses of this deed. </w:t>
      </w:r>
      <w:bookmarkEnd w:id="41"/>
    </w:p>
    <w:p w14:paraId="0460575D" w14:textId="77777777" w:rsidR="005859BE" w:rsidRDefault="005859BE" w:rsidP="00A56995">
      <w:pPr>
        <w:pStyle w:val="Untitledsubclause1"/>
      </w:pPr>
      <w:bookmarkStart w:id="42" w:name="a635037"/>
      <w:r>
        <w:t>Clause headings shall not affect the interpretation of this deed.</w:t>
      </w:r>
      <w:bookmarkEnd w:id="42"/>
    </w:p>
    <w:p w14:paraId="7F043019" w14:textId="77777777" w:rsidR="005859BE" w:rsidRDefault="005859BE" w:rsidP="00A56995">
      <w:pPr>
        <w:pStyle w:val="Untitledsubclause1"/>
      </w:pPr>
      <w:bookmarkStart w:id="43" w:name="a813100"/>
      <w:r>
        <w:t>Unless the context otherwise requires, a reference to one gender shall include a reference to the other genders.</w:t>
      </w:r>
      <w:bookmarkEnd w:id="43"/>
    </w:p>
    <w:p w14:paraId="5EB61A74" w14:textId="77777777" w:rsidR="005859BE" w:rsidRDefault="005859BE" w:rsidP="00A56995">
      <w:pPr>
        <w:pStyle w:val="Untitledsubclause1"/>
      </w:pPr>
      <w:bookmarkStart w:id="44" w:name="a390529"/>
      <w:r>
        <w:t>Any obligation on a party not to do something includes an obligation not to allow that thing to be done and an obligation to use best endeavours to prevent that thing being done by another person.</w:t>
      </w:r>
      <w:bookmarkEnd w:id="44"/>
    </w:p>
    <w:p w14:paraId="0B21B939" w14:textId="77777777" w:rsidR="005859BE" w:rsidRDefault="005859BE" w:rsidP="00A56995">
      <w:pPr>
        <w:pStyle w:val="Untitledsubclause1"/>
      </w:pPr>
      <w:bookmarkStart w:id="45" w:name="a403858"/>
      <w:r>
        <w:t xml:space="preserve">Unless the context otherwise requires, any words following the terms </w:t>
      </w:r>
      <w:r>
        <w:rPr>
          <w:b/>
          <w:bCs/>
        </w:rPr>
        <w:t>including</w:t>
      </w:r>
      <w:r>
        <w:t xml:space="preserve">, </w:t>
      </w:r>
      <w:r>
        <w:rPr>
          <w:b/>
          <w:bCs/>
        </w:rPr>
        <w:t>include</w:t>
      </w:r>
      <w:proofErr w:type="gramStart"/>
      <w:r>
        <w:t xml:space="preserve">, </w:t>
      </w:r>
      <w:r>
        <w:rPr>
          <w:b/>
          <w:bCs/>
        </w:rPr>
        <w:t>in particular</w:t>
      </w:r>
      <w:r>
        <w:t xml:space="preserve">, </w:t>
      </w:r>
      <w:r>
        <w:rPr>
          <w:b/>
          <w:bCs/>
        </w:rPr>
        <w:t>for</w:t>
      </w:r>
      <w:proofErr w:type="gramEnd"/>
      <w:r>
        <w:rPr>
          <w:b/>
          <w:bCs/>
        </w:rPr>
        <w:t xml:space="preserve"> example</w:t>
      </w:r>
      <w:r>
        <w:t xml:space="preserve"> or any similar expression shall be construed as illustrative and shall not limit the sense of the words, description, definition, phrase or term preceding those terms.</w:t>
      </w:r>
      <w:bookmarkEnd w:id="45"/>
    </w:p>
    <w:p w14:paraId="27CB7475" w14:textId="77777777" w:rsidR="005859BE" w:rsidRDefault="005859BE" w:rsidP="00A56995">
      <w:pPr>
        <w:pStyle w:val="Untitledsubclause1"/>
      </w:pPr>
      <w:bookmarkStart w:id="46" w:name="a239279"/>
      <w:r>
        <w:t xml:space="preserve">Unless the context otherwise requires, words in the singular shall include the plural </w:t>
      </w:r>
      <w:proofErr w:type="gramStart"/>
      <w:r>
        <w:t>and in the plural</w:t>
      </w:r>
      <w:proofErr w:type="gramEnd"/>
      <w:r>
        <w:t xml:space="preserve"> shall include the singular.</w:t>
      </w:r>
      <w:bookmarkEnd w:id="46"/>
    </w:p>
    <w:p w14:paraId="433F818C" w14:textId="77777777" w:rsidR="005859BE" w:rsidRDefault="005859BE" w:rsidP="00A56995">
      <w:pPr>
        <w:pStyle w:val="Untitledsubclause1"/>
      </w:pPr>
      <w:bookmarkStart w:id="47" w:name="a400057"/>
      <w:r>
        <w:t xml:space="preserve">A reference to </w:t>
      </w:r>
      <w:r>
        <w:rPr>
          <w:b/>
          <w:bCs/>
        </w:rPr>
        <w:t>writing</w:t>
      </w:r>
      <w:r>
        <w:t xml:space="preserve"> or </w:t>
      </w:r>
      <w:r>
        <w:rPr>
          <w:b/>
          <w:bCs/>
        </w:rPr>
        <w:t>written</w:t>
      </w:r>
      <w:r>
        <w:t xml:space="preserve"> [includes fax but not email </w:t>
      </w:r>
      <w:r>
        <w:rPr>
          <w:b/>
          <w:bCs/>
        </w:rPr>
        <w:t>OR</w:t>
      </w:r>
      <w:r>
        <w:t xml:space="preserve"> excludes fax and email].</w:t>
      </w:r>
      <w:bookmarkEnd w:id="47"/>
    </w:p>
    <w:p w14:paraId="7659B7EA" w14:textId="77777777" w:rsidR="005859BE" w:rsidRDefault="005859BE" w:rsidP="00A56995">
      <w:pPr>
        <w:pStyle w:val="Untitledsubclause1"/>
      </w:pPr>
      <w:bookmarkStart w:id="48" w:name="a829163"/>
      <w:r>
        <w:t>In this deed, a reference to:</w:t>
      </w:r>
      <w:bookmarkEnd w:id="48"/>
    </w:p>
    <w:p w14:paraId="6AF186F6" w14:textId="77777777" w:rsidR="005859BE" w:rsidRDefault="005859BE" w:rsidP="00A56995">
      <w:pPr>
        <w:pStyle w:val="Untitledsubclause2"/>
      </w:pPr>
      <w:bookmarkStart w:id="49" w:name="a196025"/>
      <w:r>
        <w:t xml:space="preserve">the Seller includes its personal representatives, heirs and permitted assigns but </w:t>
      </w:r>
      <w:proofErr w:type="spellStart"/>
      <w:r>
        <w:t>not</w:t>
      </w:r>
      <w:proofErr w:type="spellEnd"/>
      <w:r>
        <w:t xml:space="preserve"> other successors; and</w:t>
      </w:r>
      <w:bookmarkEnd w:id="49"/>
    </w:p>
    <w:p w14:paraId="4ED38E6B" w14:textId="77777777" w:rsidR="005859BE" w:rsidRDefault="005859BE" w:rsidP="00A56995">
      <w:pPr>
        <w:pStyle w:val="Untitledsubclause2"/>
      </w:pPr>
      <w:bookmarkStart w:id="50" w:name="a597317"/>
      <w:r>
        <w:t>the Buyer includes its successors in title.</w:t>
      </w:r>
      <w:bookmarkEnd w:id="50"/>
    </w:p>
    <w:p w14:paraId="250B6CE0" w14:textId="77777777" w:rsidR="005859BE" w:rsidRDefault="005859BE" w:rsidP="00A56995">
      <w:pPr>
        <w:pStyle w:val="TitleClause"/>
      </w:pPr>
      <w:r>
        <w:fldChar w:fldCharType="begin"/>
      </w:r>
      <w:r>
        <w:instrText>TC "2. Overage Payment" \l 1</w:instrText>
      </w:r>
      <w:r>
        <w:fldChar w:fldCharType="end"/>
      </w:r>
      <w:bookmarkStart w:id="51" w:name="a684497"/>
      <w:bookmarkStart w:id="52" w:name="_Toc157523753"/>
      <w:r>
        <w:t>Overage Payment</w:t>
      </w:r>
      <w:bookmarkEnd w:id="51"/>
      <w:bookmarkEnd w:id="52"/>
    </w:p>
    <w:p w14:paraId="425C8439" w14:textId="77777777" w:rsidR="005859BE" w:rsidRDefault="005859BE" w:rsidP="00A56995">
      <w:pPr>
        <w:pStyle w:val="Untitledsubclause1"/>
      </w:pPr>
      <w:bookmarkStart w:id="53" w:name="a763311"/>
      <w:r>
        <w:t xml:space="preserve">On each occasion that a Trigger Date occurs during the Overage Period, an Overage Payment shall immediately become due from the Buyer to the Seller. </w:t>
      </w:r>
      <w:bookmarkEnd w:id="53"/>
    </w:p>
    <w:p w14:paraId="7249570B" w14:textId="574D3197" w:rsidR="005859BE" w:rsidRDefault="005859BE" w:rsidP="00A56995">
      <w:pPr>
        <w:pStyle w:val="Untitledsubclause1"/>
      </w:pPr>
      <w:bookmarkStart w:id="54" w:name="a297749"/>
      <w:r>
        <w:t xml:space="preserve">The Buyer covenants that it shall pay each Overage Payment due under </w:t>
      </w:r>
      <w:r>
        <w:fldChar w:fldCharType="begin"/>
      </w:r>
      <w:r>
        <w:instrText>PAGEREF a763311\# "'clause '"  \h</w:instrText>
      </w:r>
      <w:r>
        <w:fldChar w:fldCharType="separate"/>
      </w:r>
      <w:r w:rsidR="00584228">
        <w:rPr>
          <w:noProof/>
        </w:rPr>
        <w:t xml:space="preserve">clause </w:t>
      </w:r>
      <w:r>
        <w:fldChar w:fldCharType="end"/>
      </w:r>
      <w:r>
        <w:fldChar w:fldCharType="begin"/>
      </w:r>
      <w:r>
        <w:rPr>
          <w:highlight w:val="lightGray"/>
        </w:rPr>
        <w:instrText>REF a763311 \h \w</w:instrText>
      </w:r>
      <w:r>
        <w:fldChar w:fldCharType="separate"/>
      </w:r>
      <w:r w:rsidR="00584228">
        <w:rPr>
          <w:highlight w:val="lightGray"/>
        </w:rPr>
        <w:t>2.1</w:t>
      </w:r>
      <w:r>
        <w:fldChar w:fldCharType="end"/>
      </w:r>
      <w:r>
        <w:t xml:space="preserve"> to the Seller on the later of:</w:t>
      </w:r>
      <w:bookmarkEnd w:id="54"/>
    </w:p>
    <w:p w14:paraId="029D471F" w14:textId="1759DF51" w:rsidR="005859BE" w:rsidRDefault="005859BE" w:rsidP="00A56995">
      <w:pPr>
        <w:pStyle w:val="Untitledsubclause2"/>
      </w:pPr>
      <w:bookmarkStart w:id="55" w:name="a261289"/>
      <w:r>
        <w:t xml:space="preserve">the date which is </w:t>
      </w:r>
      <w:r w:rsidR="0082315A">
        <w:t xml:space="preserve">10 </w:t>
      </w:r>
      <w:r>
        <w:t>Working Days from and including the relevant Trigger Date for that Overage Payment; and</w:t>
      </w:r>
      <w:bookmarkEnd w:id="55"/>
    </w:p>
    <w:p w14:paraId="66BE2921" w14:textId="21A0BFC7" w:rsidR="005859BE" w:rsidRDefault="005859BE" w:rsidP="00A56995">
      <w:pPr>
        <w:pStyle w:val="Untitledsubclause2"/>
      </w:pPr>
      <w:bookmarkStart w:id="56" w:name="a1032935"/>
      <w:r>
        <w:t xml:space="preserve">the date which is </w:t>
      </w:r>
      <w:r w:rsidR="0082315A">
        <w:t xml:space="preserve">10 </w:t>
      </w:r>
      <w:r>
        <w:t>Working Days from and including the date on which the amount of that Overage Payment is agreed or determined in accordance with the terms of this deed.</w:t>
      </w:r>
      <w:bookmarkEnd w:id="56"/>
    </w:p>
    <w:p w14:paraId="283CD206" w14:textId="77777777" w:rsidR="005859BE" w:rsidRDefault="005859BE" w:rsidP="00A56995">
      <w:pPr>
        <w:pStyle w:val="Untitledsubclause1"/>
      </w:pPr>
      <w:bookmarkStart w:id="57" w:name="a983574"/>
      <w:r>
        <w:t xml:space="preserve">An Overage Payment shall be due in respect of </w:t>
      </w:r>
      <w:proofErr w:type="gramStart"/>
      <w:r>
        <w:t>each and every</w:t>
      </w:r>
      <w:proofErr w:type="gramEnd"/>
      <w:r>
        <w:t xml:space="preserve"> Trigger Date that occurs during the Overage Period notwithstanding that a Trigger Date may have previously occurred for the Property or any part or parts of it.</w:t>
      </w:r>
      <w:bookmarkEnd w:id="57"/>
    </w:p>
    <w:p w14:paraId="40520466" w14:textId="06867267" w:rsidR="005859BE" w:rsidRDefault="005859BE" w:rsidP="00A56995">
      <w:pPr>
        <w:pStyle w:val="Untitledsubclause1"/>
      </w:pPr>
      <w:bookmarkStart w:id="58" w:name="a501552"/>
      <w:r>
        <w:t xml:space="preserve">The Buyer covenants with the Seller that it shall pay interest at the Interest Rate to the Seller on each Overage Payment that becomes due under </w:t>
      </w:r>
      <w:r>
        <w:fldChar w:fldCharType="begin"/>
      </w:r>
      <w:r>
        <w:instrText>PAGEREF a763311\# "'clause '"  \h</w:instrText>
      </w:r>
      <w:r>
        <w:fldChar w:fldCharType="separate"/>
      </w:r>
      <w:r w:rsidR="00584228">
        <w:rPr>
          <w:noProof/>
        </w:rPr>
        <w:t xml:space="preserve">clause </w:t>
      </w:r>
      <w:r>
        <w:fldChar w:fldCharType="end"/>
      </w:r>
      <w:r>
        <w:fldChar w:fldCharType="begin"/>
      </w:r>
      <w:r>
        <w:rPr>
          <w:highlight w:val="lightGray"/>
        </w:rPr>
        <w:instrText>REF a763311 \h \w</w:instrText>
      </w:r>
      <w:r>
        <w:fldChar w:fldCharType="separate"/>
      </w:r>
      <w:r w:rsidR="00584228">
        <w:rPr>
          <w:highlight w:val="lightGray"/>
        </w:rPr>
        <w:t>2.1</w:t>
      </w:r>
      <w:r>
        <w:fldChar w:fldCharType="end"/>
      </w:r>
      <w:r>
        <w:t xml:space="preserve">. Such interest shall accrue </w:t>
      </w:r>
      <w:proofErr w:type="gramStart"/>
      <w:r>
        <w:t>on a daily basis</w:t>
      </w:r>
      <w:proofErr w:type="gramEnd"/>
      <w:r>
        <w:t xml:space="preserve"> for the period from and including the Trigger Date in respect of that Overage Payment to but excluding the Payment Date in respect of that Overage Payment.</w:t>
      </w:r>
      <w:bookmarkEnd w:id="58"/>
    </w:p>
    <w:p w14:paraId="257F9D31" w14:textId="77777777" w:rsidR="005859BE" w:rsidRDefault="005859BE" w:rsidP="00A56995">
      <w:pPr>
        <w:pStyle w:val="Untitledsubclause1"/>
      </w:pPr>
      <w:bookmarkStart w:id="59" w:name="a866079"/>
      <w:r>
        <w:t xml:space="preserve">The Buyer further covenants with the Seller that it shall pay interest at the Default Rate to the Seller on any Overage Payment that is not paid on its Payment Date. Such interest shall accrue </w:t>
      </w:r>
      <w:proofErr w:type="gramStart"/>
      <w:r>
        <w:t>on a daily basis</w:t>
      </w:r>
      <w:proofErr w:type="gramEnd"/>
      <w:r>
        <w:t xml:space="preserve"> for the period from and including the relevant Payment Date to and including the date of payment (whether before or after any judgment) and shall not affect any other remedy the Seller may have. </w:t>
      </w:r>
      <w:bookmarkEnd w:id="59"/>
    </w:p>
    <w:p w14:paraId="2BBE1600" w14:textId="77777777" w:rsidR="005859BE" w:rsidRDefault="005859BE" w:rsidP="00A56995">
      <w:pPr>
        <w:pStyle w:val="Untitledsubclause1"/>
      </w:pPr>
      <w:bookmarkStart w:id="60" w:name="a457500"/>
      <w:r>
        <w:t xml:space="preserve">The Buyer covenants with the Seller that it shall: </w:t>
      </w:r>
      <w:bookmarkEnd w:id="60"/>
    </w:p>
    <w:p w14:paraId="365ED67E" w14:textId="4215CC18" w:rsidR="005859BE" w:rsidRDefault="005859BE" w:rsidP="00A56995">
      <w:pPr>
        <w:pStyle w:val="Untitledsubclause2"/>
      </w:pPr>
      <w:bookmarkStart w:id="61" w:name="a137064"/>
      <w:r>
        <w:t xml:space="preserve">supply the Seller with a copy of any planning application in relation to the Property submitted by or on behalf of the Buyer during the Overage Period within </w:t>
      </w:r>
      <w:r w:rsidR="0082315A">
        <w:t>10</w:t>
      </w:r>
      <w:r>
        <w:t xml:space="preserve"> Working Days of its submission to the Determining </w:t>
      </w:r>
      <w:proofErr w:type="gramStart"/>
      <w:r>
        <w:t>Authority;</w:t>
      </w:r>
      <w:bookmarkEnd w:id="61"/>
      <w:proofErr w:type="gramEnd"/>
    </w:p>
    <w:p w14:paraId="6F57671A" w14:textId="49506163" w:rsidR="005859BE" w:rsidRDefault="005859BE" w:rsidP="00A56995">
      <w:pPr>
        <w:pStyle w:val="Untitledsubclause2"/>
      </w:pPr>
      <w:bookmarkStart w:id="62" w:name="a780927"/>
      <w:r>
        <w:t xml:space="preserve">supply the Seller with a copy of any Planning Permission within </w:t>
      </w:r>
      <w:r w:rsidR="0082315A">
        <w:t>10</w:t>
      </w:r>
      <w:r>
        <w:t xml:space="preserve"> Working Days of the date of its </w:t>
      </w:r>
      <w:proofErr w:type="gramStart"/>
      <w:r>
        <w:t>grant;</w:t>
      </w:r>
      <w:bookmarkEnd w:id="62"/>
      <w:proofErr w:type="gramEnd"/>
    </w:p>
    <w:p w14:paraId="071B4DA7" w14:textId="495C7FF1" w:rsidR="005859BE" w:rsidRDefault="005859BE" w:rsidP="00A56995">
      <w:pPr>
        <w:pStyle w:val="Untitledsubclause2"/>
      </w:pPr>
      <w:bookmarkStart w:id="63" w:name="a716813"/>
      <w:r>
        <w:t>allow the Seller and its surveyor access to the Property at all reasonable times and on</w:t>
      </w:r>
      <w:r w:rsidR="0082315A">
        <w:t xml:space="preserve"> reasonable </w:t>
      </w:r>
      <w:r>
        <w:t>prior notice to inspect whether Implementation of any Relevant Planning Permission has occurred.</w:t>
      </w:r>
      <w:bookmarkEnd w:id="63"/>
    </w:p>
    <w:p w14:paraId="3D7EC73A" w14:textId="564AB62B" w:rsidR="005859BE" w:rsidRDefault="005859BE" w:rsidP="00A56995">
      <w:pPr>
        <w:pStyle w:val="Untitledsubclause2"/>
      </w:pPr>
      <w:bookmarkStart w:id="64" w:name="a526649"/>
      <w:r>
        <w:t xml:space="preserve">supply the Seller with a copy of any agreement for a Disposal of the whole or any part or parts of the Property or Permitted Disposal that is entered into by the Buyer during the Overage Period within </w:t>
      </w:r>
      <w:r w:rsidR="0082315A">
        <w:t>10</w:t>
      </w:r>
      <w:r>
        <w:t xml:space="preserve"> Working Days of that agreement being entered </w:t>
      </w:r>
      <w:proofErr w:type="gramStart"/>
      <w:r>
        <w:t>into;</w:t>
      </w:r>
      <w:bookmarkEnd w:id="64"/>
      <w:proofErr w:type="gramEnd"/>
    </w:p>
    <w:p w14:paraId="43ADC174" w14:textId="69382CCB" w:rsidR="005859BE" w:rsidRDefault="005859BE" w:rsidP="00A56995">
      <w:pPr>
        <w:pStyle w:val="Untitledsubclause2"/>
      </w:pPr>
      <w:bookmarkStart w:id="65" w:name="a441248"/>
      <w:r>
        <w:t xml:space="preserve">notify the Seller in writing within </w:t>
      </w:r>
      <w:r w:rsidR="0082315A">
        <w:t>10</w:t>
      </w:r>
      <w:r>
        <w:t xml:space="preserve"> Working Days of completion of any Permitted Disposal and at the same time supply the Seller with:</w:t>
      </w:r>
      <w:bookmarkEnd w:id="65"/>
    </w:p>
    <w:p w14:paraId="7BE3609E" w14:textId="77777777" w:rsidR="005859BE" w:rsidRDefault="005859BE" w:rsidP="00A56995">
      <w:pPr>
        <w:pStyle w:val="Untitledsubclause3"/>
      </w:pPr>
      <w:bookmarkStart w:id="66" w:name="a597881"/>
      <w:r>
        <w:t>a copy of the instrument effecting that Permitted Disposal; and</w:t>
      </w:r>
      <w:bookmarkEnd w:id="66"/>
    </w:p>
    <w:p w14:paraId="5CFE99AA" w14:textId="77777777" w:rsidR="005859BE" w:rsidRDefault="005859BE" w:rsidP="00A56995">
      <w:pPr>
        <w:pStyle w:val="Untitledsubclause3"/>
      </w:pPr>
      <w:bookmarkStart w:id="67" w:name="a490249"/>
      <w:r>
        <w:t>appropriate evidence that is satisfactory to the Seller (acting reasonably) that such Permitted Disposal is not a Disposal of the whole or any part or parts of the Property; and</w:t>
      </w:r>
      <w:bookmarkEnd w:id="67"/>
    </w:p>
    <w:p w14:paraId="2E59E9CC" w14:textId="63ECF3F7" w:rsidR="005859BE" w:rsidRDefault="005859BE" w:rsidP="00A56995">
      <w:pPr>
        <w:pStyle w:val="Untitledsubclause2"/>
      </w:pPr>
      <w:bookmarkStart w:id="68" w:name="a523033"/>
      <w:r>
        <w:t xml:space="preserve">notify the Seller in writing within </w:t>
      </w:r>
      <w:r w:rsidR="0082315A">
        <w:t>10</w:t>
      </w:r>
      <w:r>
        <w:t xml:space="preserve"> Working Days of completion of any Disposal of the whole or any part or parts of the Property during the Overage Period that the Buyer considers is not an Overage Disposal and at the same time supply the Seller with:</w:t>
      </w:r>
      <w:bookmarkEnd w:id="68"/>
    </w:p>
    <w:p w14:paraId="4A6B052F" w14:textId="77777777" w:rsidR="005859BE" w:rsidRDefault="005859BE" w:rsidP="00A56995">
      <w:pPr>
        <w:pStyle w:val="Untitledsubclause3"/>
      </w:pPr>
      <w:bookmarkStart w:id="69" w:name="a805716"/>
      <w:r>
        <w:t>a copy of the instrument effecting that Disposal; and</w:t>
      </w:r>
      <w:bookmarkEnd w:id="69"/>
    </w:p>
    <w:p w14:paraId="06B2C042" w14:textId="77777777" w:rsidR="005859BE" w:rsidRDefault="005859BE" w:rsidP="00A56995">
      <w:pPr>
        <w:pStyle w:val="Untitledsubclause3"/>
      </w:pPr>
      <w:bookmarkStart w:id="70" w:name="a596493"/>
      <w:r>
        <w:t>appropriate evidence that is satisfactory to the Seller (acting reasonably) that such Disposal is not an Overage Disposal; and</w:t>
      </w:r>
      <w:bookmarkEnd w:id="70"/>
    </w:p>
    <w:p w14:paraId="128651D6" w14:textId="1DA18118" w:rsidR="005859BE" w:rsidRDefault="005859BE" w:rsidP="00A56995">
      <w:pPr>
        <w:pStyle w:val="Untitledsubclause2"/>
      </w:pPr>
      <w:bookmarkStart w:id="71" w:name="a554182"/>
      <w:r>
        <w:t xml:space="preserve">notify the Seller in writing of the occurrence of any Trigger Date during the Overage Period within </w:t>
      </w:r>
      <w:r w:rsidR="0082315A">
        <w:t>10</w:t>
      </w:r>
      <w:r>
        <w:t xml:space="preserve"> Working Days of that Trigger Date occurring and at the same time supply the Seller with:</w:t>
      </w:r>
      <w:bookmarkEnd w:id="71"/>
    </w:p>
    <w:p w14:paraId="45FE3883" w14:textId="77777777" w:rsidR="005859BE" w:rsidRDefault="005859BE" w:rsidP="00A56995">
      <w:pPr>
        <w:pStyle w:val="Untitledsubclause3"/>
      </w:pPr>
      <w:bookmarkStart w:id="72" w:name="a997950"/>
      <w:r>
        <w:t xml:space="preserve">where that Trigger Date has occurred due to the completion of an Overage Disposal, a copy of the instrument effecting that Overage </w:t>
      </w:r>
      <w:proofErr w:type="gramStart"/>
      <w:r>
        <w:t>Disposal;</w:t>
      </w:r>
      <w:bookmarkEnd w:id="72"/>
      <w:proofErr w:type="gramEnd"/>
    </w:p>
    <w:p w14:paraId="44CAD527" w14:textId="77777777" w:rsidR="005859BE" w:rsidRDefault="005859BE" w:rsidP="00A56995">
      <w:pPr>
        <w:pStyle w:val="Untitledsubclause3"/>
      </w:pPr>
      <w:bookmarkStart w:id="73" w:name="a465366"/>
      <w:r>
        <w:t>a statement of the amount of the Overage Payment that the Buyer considers is due; and</w:t>
      </w:r>
      <w:bookmarkEnd w:id="73"/>
    </w:p>
    <w:p w14:paraId="346011A9" w14:textId="4AF98F31" w:rsidR="005859BE" w:rsidRDefault="005859BE" w:rsidP="00A56995">
      <w:pPr>
        <w:pStyle w:val="Untitledsubclause3"/>
      </w:pPr>
      <w:bookmarkStart w:id="74" w:name="a343788"/>
      <w:r>
        <w:t xml:space="preserve">appropriate evidence that is satisfactory to the Seller (acting reasonably) of how the figure in </w:t>
      </w:r>
      <w:r>
        <w:fldChar w:fldCharType="begin"/>
      </w:r>
      <w:r>
        <w:instrText>PAGEREF a465366\# "'clause '"  \h</w:instrText>
      </w:r>
      <w:r>
        <w:fldChar w:fldCharType="separate"/>
      </w:r>
      <w:r w:rsidR="00584228">
        <w:rPr>
          <w:noProof/>
        </w:rPr>
        <w:t xml:space="preserve">clause </w:t>
      </w:r>
      <w:r>
        <w:fldChar w:fldCharType="end"/>
      </w:r>
      <w:r>
        <w:fldChar w:fldCharType="begin"/>
      </w:r>
      <w:r>
        <w:rPr>
          <w:highlight w:val="lightGray"/>
        </w:rPr>
        <w:instrText>REF a465366 \h \w</w:instrText>
      </w:r>
      <w:r>
        <w:fldChar w:fldCharType="separate"/>
      </w:r>
      <w:r w:rsidR="00944691">
        <w:rPr>
          <w:highlight w:val="lightGray"/>
        </w:rPr>
        <w:t>2.6(g)(ii)</w:t>
      </w:r>
      <w:r>
        <w:fldChar w:fldCharType="end"/>
      </w:r>
      <w:r>
        <w:t xml:space="preserve"> was calculated.</w:t>
      </w:r>
      <w:bookmarkEnd w:id="74"/>
    </w:p>
    <w:p w14:paraId="2CDB6FA7" w14:textId="77777777" w:rsidR="005859BE" w:rsidRDefault="005859BE" w:rsidP="00A56995">
      <w:pPr>
        <w:pStyle w:val="TitleClause"/>
      </w:pPr>
      <w:r>
        <w:fldChar w:fldCharType="begin"/>
      </w:r>
      <w:r>
        <w:instrText>TC "4. Amount of Overage Payment" \l 1</w:instrText>
      </w:r>
      <w:r>
        <w:fldChar w:fldCharType="end"/>
      </w:r>
      <w:bookmarkStart w:id="75" w:name="a82484"/>
      <w:bookmarkStart w:id="76" w:name="_Toc157523754"/>
      <w:r>
        <w:t>Amount of Overage Payment</w:t>
      </w:r>
      <w:bookmarkEnd w:id="75"/>
      <w:bookmarkEnd w:id="76"/>
    </w:p>
    <w:p w14:paraId="795711DC" w14:textId="3BFB13A2" w:rsidR="005859BE" w:rsidRDefault="005859BE" w:rsidP="00A56995">
      <w:pPr>
        <w:pStyle w:val="Untitledsubclause1"/>
      </w:pPr>
      <w:bookmarkStart w:id="77" w:name="a520418"/>
      <w:r>
        <w:t xml:space="preserve">If the parties agree the amount of an Overage Payment at any time after the relevant Trigger Date for that Overage Payment, the Buyer and the Seller shall immediately sign and date a memorandum recording the amount of that Overage Payment and the date of the memorandum shall be the date of agreement for the purposes of </w:t>
      </w:r>
      <w:r>
        <w:fldChar w:fldCharType="begin"/>
      </w:r>
      <w:r>
        <w:instrText>PAGEREF a1032935\# "'clause '"  \h</w:instrText>
      </w:r>
      <w:r>
        <w:fldChar w:fldCharType="separate"/>
      </w:r>
      <w:r w:rsidR="00584228">
        <w:rPr>
          <w:noProof/>
        </w:rPr>
        <w:t xml:space="preserve">clause </w:t>
      </w:r>
      <w:r>
        <w:fldChar w:fldCharType="end"/>
      </w:r>
      <w:r>
        <w:fldChar w:fldCharType="begin"/>
      </w:r>
      <w:r>
        <w:rPr>
          <w:highlight w:val="lightGray"/>
        </w:rPr>
        <w:instrText>REF a1032935 \h \w</w:instrText>
      </w:r>
      <w:r>
        <w:fldChar w:fldCharType="separate"/>
      </w:r>
      <w:r w:rsidR="00944691">
        <w:rPr>
          <w:highlight w:val="lightGray"/>
        </w:rPr>
        <w:t>2.2(b)</w:t>
      </w:r>
      <w:r>
        <w:fldChar w:fldCharType="end"/>
      </w:r>
      <w:r>
        <w:t>.</w:t>
      </w:r>
      <w:bookmarkEnd w:id="77"/>
    </w:p>
    <w:p w14:paraId="1C552DF8" w14:textId="49CBCD89" w:rsidR="005859BE" w:rsidRDefault="005859BE" w:rsidP="00A56995">
      <w:pPr>
        <w:pStyle w:val="Untitledsubclause1"/>
      </w:pPr>
      <w:bookmarkStart w:id="78" w:name="a941034"/>
      <w:r>
        <w:t xml:space="preserve">If the Buyer and the Seller fail to agree on the amount of an Overage Payment within </w:t>
      </w:r>
      <w:proofErr w:type="gramStart"/>
      <w:r w:rsidR="0082315A">
        <w:t xml:space="preserve">4 </w:t>
      </w:r>
      <w:r>
        <w:t xml:space="preserve"> weeks</w:t>
      </w:r>
      <w:proofErr w:type="gramEnd"/>
      <w:r>
        <w:t xml:space="preserve"> from and including the relevant Trigger Date for that Overage Payment, either party may refer the matter for determination by an Independent Surveyor. </w:t>
      </w:r>
      <w:bookmarkEnd w:id="78"/>
    </w:p>
    <w:p w14:paraId="0AD13F1D" w14:textId="77777777" w:rsidR="005859BE" w:rsidRDefault="005859BE" w:rsidP="00A56995">
      <w:pPr>
        <w:pStyle w:val="Untitledsubclause1"/>
      </w:pPr>
      <w:bookmarkStart w:id="79" w:name="a702491"/>
      <w:r>
        <w:t>The parties shall agree on the appointment of the Independent Surveyor and shall agree with the Independent Surveyor the terms of the appointment.</w:t>
      </w:r>
      <w:bookmarkEnd w:id="79"/>
    </w:p>
    <w:p w14:paraId="186F01F8" w14:textId="7D396F92" w:rsidR="005859BE" w:rsidRDefault="005859BE" w:rsidP="00A56995">
      <w:pPr>
        <w:pStyle w:val="Untitledsubclause1"/>
      </w:pPr>
      <w:bookmarkStart w:id="80" w:name="a413605"/>
      <w:r>
        <w:t xml:space="preserve">If the parties are unable to agree on an Independent Surveyor or the terms of the appointment within </w:t>
      </w:r>
      <w:r w:rsidR="0082315A">
        <w:t>4</w:t>
      </w:r>
      <w:r>
        <w:t xml:space="preserve"> weeks from and including the date on which the matter was referred for determination under </w:t>
      </w:r>
      <w:r>
        <w:fldChar w:fldCharType="begin"/>
      </w:r>
      <w:r>
        <w:instrText>PAGEREF a941034\# "'clause '"  \h</w:instrText>
      </w:r>
      <w:r>
        <w:fldChar w:fldCharType="separate"/>
      </w:r>
      <w:r w:rsidR="00584228">
        <w:rPr>
          <w:noProof/>
        </w:rPr>
        <w:t xml:space="preserve">clause </w:t>
      </w:r>
      <w:r>
        <w:fldChar w:fldCharType="end"/>
      </w:r>
      <w:r>
        <w:fldChar w:fldCharType="begin"/>
      </w:r>
      <w:r>
        <w:rPr>
          <w:highlight w:val="lightGray"/>
        </w:rPr>
        <w:instrText>REF a941034 \h \w</w:instrText>
      </w:r>
      <w:r>
        <w:fldChar w:fldCharType="separate"/>
      </w:r>
      <w:r w:rsidR="00584228">
        <w:rPr>
          <w:highlight w:val="lightGray"/>
        </w:rPr>
        <w:t>3.2</w:t>
      </w:r>
      <w:r>
        <w:fldChar w:fldCharType="end"/>
      </w:r>
      <w:r>
        <w:t>, either party shall then be entitled to request the President for the time being of the Royal Institution of Chartered Surveyors to appoint the Independent Surveyor and to agree with the Independent Surveyor the terms of the appointment.</w:t>
      </w:r>
      <w:bookmarkEnd w:id="80"/>
    </w:p>
    <w:p w14:paraId="75AB570A" w14:textId="392F3878" w:rsidR="005859BE" w:rsidRDefault="005859BE" w:rsidP="00A56995">
      <w:pPr>
        <w:pStyle w:val="Untitledsubclause1"/>
      </w:pPr>
      <w:bookmarkStart w:id="81" w:name="a345963"/>
      <w:r>
        <w:t>The Independent Surveyor is required to prepare a written decision and give notice (including a written copy) of the decision on the amount of the Overage Payment to the parties within 20 Working Days from and including the date of the Independent Surveyor's appointment.</w:t>
      </w:r>
      <w:bookmarkEnd w:id="81"/>
    </w:p>
    <w:p w14:paraId="49371391" w14:textId="77777777" w:rsidR="005859BE" w:rsidRDefault="005859BE" w:rsidP="00A56995">
      <w:pPr>
        <w:pStyle w:val="Untitledsubclause1"/>
      </w:pPr>
      <w:bookmarkStart w:id="82" w:name="a979827"/>
      <w:r>
        <w:t>If the Independent Surveyor dies or becomes unwilling or incapable of acting, or does not deliver the decision within the time required by this clause then:</w:t>
      </w:r>
      <w:bookmarkEnd w:id="82"/>
    </w:p>
    <w:p w14:paraId="60F6821B" w14:textId="77777777" w:rsidR="005859BE" w:rsidRDefault="005859BE" w:rsidP="00A56995">
      <w:pPr>
        <w:pStyle w:val="Untitledsubclause2"/>
      </w:pPr>
      <w:bookmarkStart w:id="83" w:name="a681129"/>
      <w:r>
        <w:t xml:space="preserve"> either party may apply to the President of the Royal Institution of Chartered Surveyors to discharge the Independent Surveyor and to appoint a replacement Independent Surveyor; and</w:t>
      </w:r>
      <w:bookmarkEnd w:id="83"/>
    </w:p>
    <w:p w14:paraId="6BEA3D3E" w14:textId="77777777" w:rsidR="005859BE" w:rsidRDefault="005859BE" w:rsidP="00A56995">
      <w:pPr>
        <w:pStyle w:val="Untitledsubclause2"/>
      </w:pPr>
      <w:bookmarkStart w:id="84" w:name="a410051"/>
      <w:r>
        <w:t xml:space="preserve">this clause shall apply to the new Independent Surveyor as if they were the first Independent Surveyor appointed. </w:t>
      </w:r>
      <w:bookmarkEnd w:id="84"/>
    </w:p>
    <w:p w14:paraId="143C61E5" w14:textId="483C67DA" w:rsidR="005859BE" w:rsidRDefault="005859BE" w:rsidP="0082315A">
      <w:pPr>
        <w:pStyle w:val="Untitledsubclause1"/>
      </w:pPr>
      <w:bookmarkStart w:id="85" w:name="a586390"/>
      <w:r>
        <w:t>The parties are entitled to make submissions to the Independent Surveyor including oral submissions and shall provide (or procure that others provide) the Independent Surveyor with such assistance and documents as the Independent Surveyor reasonably requires for the purpose of reaching a decision.</w:t>
      </w:r>
      <w:bookmarkEnd w:id="85"/>
    </w:p>
    <w:p w14:paraId="6B845718" w14:textId="77777777" w:rsidR="005859BE" w:rsidRDefault="005859BE" w:rsidP="00A56995">
      <w:pPr>
        <w:pStyle w:val="Untitledsubclause1"/>
      </w:pPr>
      <w:bookmarkStart w:id="86" w:name="a517437"/>
      <w:r>
        <w:t>The Independent Surveyor shall act as an expert and not as an arbitrator. The Independent Surveyor's written decision shall be final and binding on the parties in the absence of manifest error or fraud.</w:t>
      </w:r>
      <w:bookmarkEnd w:id="86"/>
    </w:p>
    <w:p w14:paraId="4F0E29CE" w14:textId="6EC3F260" w:rsidR="005859BE" w:rsidRDefault="005859BE" w:rsidP="00A56995">
      <w:pPr>
        <w:pStyle w:val="Untitledsubclause1"/>
      </w:pPr>
      <w:bookmarkStart w:id="87" w:name="a707984"/>
      <w:r>
        <w:t xml:space="preserve">The Buyer and the Seller agree to pay the Independent Surveyor's costs in the proportions determined by the Independent Surveyor within </w:t>
      </w:r>
      <w:r w:rsidR="0082315A">
        <w:t>20</w:t>
      </w:r>
      <w:r>
        <w:t xml:space="preserve"> Working Days from and including a demand for payment. If they are not so paid, the party against whom the costs were not awarded shall be entitled to pay the Independent Surveyor the sums due and recover the amount from the other party on demand.</w:t>
      </w:r>
      <w:bookmarkEnd w:id="87"/>
    </w:p>
    <w:p w14:paraId="6D66A7DD" w14:textId="14439B25" w:rsidR="005859BE" w:rsidRDefault="005859BE" w:rsidP="00A56995">
      <w:pPr>
        <w:pStyle w:val="Untitledsubclause1"/>
      </w:pPr>
      <w:bookmarkStart w:id="88" w:name="a452285"/>
      <w:r>
        <w:t xml:space="preserve">In default of agreement pursuant to </w:t>
      </w:r>
      <w:r>
        <w:fldChar w:fldCharType="begin"/>
      </w:r>
      <w:r>
        <w:instrText>PAGEREF a520418\# "'clause '"  \h</w:instrText>
      </w:r>
      <w:r>
        <w:fldChar w:fldCharType="separate"/>
      </w:r>
      <w:r w:rsidR="00584228">
        <w:rPr>
          <w:noProof/>
        </w:rPr>
        <w:t xml:space="preserve">clause </w:t>
      </w:r>
      <w:r>
        <w:fldChar w:fldCharType="end"/>
      </w:r>
      <w:r>
        <w:fldChar w:fldCharType="begin"/>
      </w:r>
      <w:r>
        <w:rPr>
          <w:highlight w:val="lightGray"/>
        </w:rPr>
        <w:instrText>REF a520418 \h \w</w:instrText>
      </w:r>
      <w:r>
        <w:fldChar w:fldCharType="separate"/>
      </w:r>
      <w:r w:rsidR="00584228">
        <w:rPr>
          <w:highlight w:val="lightGray"/>
        </w:rPr>
        <w:t>3.1</w:t>
      </w:r>
      <w:r>
        <w:fldChar w:fldCharType="end"/>
      </w:r>
      <w:r>
        <w:t xml:space="preserve">, the Overage Payment shall be the amount determined by the Independent Surveyor and the date of issue of the Independent Surveyor's written decision shall be taken as the date of determination for the purposes of </w:t>
      </w:r>
      <w:r>
        <w:fldChar w:fldCharType="begin"/>
      </w:r>
      <w:r>
        <w:instrText>PAGEREF a1032935\# "'clause '"  \h</w:instrText>
      </w:r>
      <w:r>
        <w:fldChar w:fldCharType="separate"/>
      </w:r>
      <w:r w:rsidR="00584228">
        <w:rPr>
          <w:noProof/>
        </w:rPr>
        <w:t xml:space="preserve">clause </w:t>
      </w:r>
      <w:r>
        <w:fldChar w:fldCharType="end"/>
      </w:r>
      <w:r>
        <w:fldChar w:fldCharType="begin"/>
      </w:r>
      <w:r>
        <w:rPr>
          <w:highlight w:val="lightGray"/>
        </w:rPr>
        <w:instrText>REF a1032935 \h \w</w:instrText>
      </w:r>
      <w:r>
        <w:fldChar w:fldCharType="separate"/>
      </w:r>
      <w:r w:rsidR="00584228">
        <w:rPr>
          <w:highlight w:val="lightGray"/>
        </w:rPr>
        <w:t>2.2(b)</w:t>
      </w:r>
      <w:r>
        <w:fldChar w:fldCharType="end"/>
      </w:r>
      <w:r>
        <w:t xml:space="preserve">. </w:t>
      </w:r>
      <w:bookmarkEnd w:id="88"/>
    </w:p>
    <w:p w14:paraId="1642B5EF" w14:textId="77777777" w:rsidR="005859BE" w:rsidRDefault="005859BE" w:rsidP="00A56995">
      <w:pPr>
        <w:pStyle w:val="TitleClause"/>
      </w:pPr>
      <w:r>
        <w:fldChar w:fldCharType="begin"/>
      </w:r>
      <w:r>
        <w:instrText>TC "5. Disposals and restriction" \l 1</w:instrText>
      </w:r>
      <w:r>
        <w:fldChar w:fldCharType="end"/>
      </w:r>
      <w:bookmarkStart w:id="89" w:name="a676592"/>
      <w:bookmarkStart w:id="90" w:name="_Toc157523755"/>
      <w:r>
        <w:t>Disposals and restriction</w:t>
      </w:r>
      <w:bookmarkEnd w:id="89"/>
      <w:bookmarkEnd w:id="90"/>
    </w:p>
    <w:p w14:paraId="184A53FD" w14:textId="77777777" w:rsidR="005859BE" w:rsidRDefault="005859BE" w:rsidP="00A56995">
      <w:pPr>
        <w:pStyle w:val="Untitledsubclause1"/>
      </w:pPr>
      <w:bookmarkStart w:id="91" w:name="a738089"/>
      <w:r>
        <w:t xml:space="preserve">The Buyer covenants with the Seller not to make any Disposal of the whole or any part or parts of the Property at any time during the Overage Period without first procuring that the person to whom that Disposal is being made has executed a Deed of Covenant. </w:t>
      </w:r>
      <w:bookmarkEnd w:id="91"/>
    </w:p>
    <w:p w14:paraId="7684D34B" w14:textId="47C5FCE6" w:rsidR="005859BE" w:rsidRDefault="005859BE" w:rsidP="00A56995">
      <w:pPr>
        <w:pStyle w:val="Untitledsubclause1"/>
      </w:pPr>
      <w:bookmarkStart w:id="92" w:name="a1022440"/>
      <w:r>
        <w:t>The Buyer consents to the entry of the following restriction against the Buyer's title to the Property at HM Land Registry following the registration of the transfer of the Property to the Buyer and shall provide the Seller with all necessary assistance and/or documentation to permit entry of the restriction:</w:t>
      </w:r>
      <w:bookmarkEnd w:id="92"/>
    </w:p>
    <w:p w14:paraId="7220A1C1" w14:textId="19987960" w:rsidR="005859BE" w:rsidRDefault="005859BE" w:rsidP="00A56995">
      <w:pPr>
        <w:pStyle w:val="Parasubclause1"/>
      </w:pPr>
      <w:r>
        <w:t xml:space="preserve">"No disposition of the registered estate (other than a charge) by the proprietor of the registered estate, or by the proprietor of any registered charge, not being a charge registered before the entry of this restriction, is to be registered without a written consent signed by </w:t>
      </w:r>
      <w:r w:rsidR="0082315A">
        <w:t>Coventry City Council</w:t>
      </w:r>
      <w:r>
        <w:t xml:space="preserve"> or their conveyancer."</w:t>
      </w:r>
    </w:p>
    <w:p w14:paraId="68EA4CD7" w14:textId="77777777" w:rsidR="005859BE" w:rsidRDefault="005859BE" w:rsidP="00A56995">
      <w:pPr>
        <w:pStyle w:val="TitleClause"/>
      </w:pPr>
      <w:r>
        <w:fldChar w:fldCharType="begin"/>
      </w:r>
      <w:r>
        <w:instrText>TC "6. Unlawful development" \l 1</w:instrText>
      </w:r>
      <w:r>
        <w:fldChar w:fldCharType="end"/>
      </w:r>
      <w:bookmarkStart w:id="93" w:name="a688628"/>
      <w:bookmarkStart w:id="94" w:name="_Toc157523756"/>
      <w:r>
        <w:t>Unlawful development</w:t>
      </w:r>
      <w:bookmarkEnd w:id="93"/>
      <w:bookmarkEnd w:id="94"/>
    </w:p>
    <w:p w14:paraId="7F92CB50" w14:textId="77777777" w:rsidR="005859BE" w:rsidRDefault="005859BE" w:rsidP="00A56995">
      <w:pPr>
        <w:pStyle w:val="NoNumUntitledsubclause1"/>
      </w:pPr>
      <w:bookmarkStart w:id="95" w:name="a937947"/>
      <w:r>
        <w:t>The Buyer covenants with the Seller that, before carrying out any Development during the Overage Period, the Buyer shall comply with the requirements of the TCPA 1990 to apply for and obtain any of the following by way of a grant by a Determining Authority that may be required for that Development:</w:t>
      </w:r>
      <w:bookmarkEnd w:id="95"/>
    </w:p>
    <w:p w14:paraId="3D8EBBE4" w14:textId="0F24BB88" w:rsidR="005859BE" w:rsidRDefault="005859BE" w:rsidP="00A56995">
      <w:pPr>
        <w:pStyle w:val="Untitledsubclause2"/>
      </w:pPr>
      <w:bookmarkStart w:id="96" w:name="a366825"/>
      <w:r>
        <w:t xml:space="preserve">an outline planning </w:t>
      </w:r>
      <w:proofErr w:type="gramStart"/>
      <w:r>
        <w:t>permission;</w:t>
      </w:r>
      <w:proofErr w:type="gramEnd"/>
      <w:r>
        <w:t xml:space="preserve"> </w:t>
      </w:r>
      <w:bookmarkEnd w:id="96"/>
    </w:p>
    <w:p w14:paraId="27CAEF2C" w14:textId="686F4B7C" w:rsidR="005859BE" w:rsidRDefault="005859BE" w:rsidP="00A56995">
      <w:pPr>
        <w:pStyle w:val="Untitledsubclause2"/>
      </w:pPr>
      <w:bookmarkStart w:id="97" w:name="a713385"/>
      <w:r>
        <w:t>a detailed planning permission; or</w:t>
      </w:r>
      <w:bookmarkEnd w:id="97"/>
    </w:p>
    <w:p w14:paraId="2F46408E" w14:textId="04DAD14F" w:rsidR="005859BE" w:rsidRDefault="005859BE" w:rsidP="00A56995">
      <w:pPr>
        <w:pStyle w:val="Untitledsubclause2"/>
      </w:pPr>
      <w:bookmarkStart w:id="98" w:name="a768062"/>
      <w:r>
        <w:t xml:space="preserve">a </w:t>
      </w:r>
      <w:proofErr w:type="gramStart"/>
      <w:r>
        <w:t>technical details</w:t>
      </w:r>
      <w:proofErr w:type="gramEnd"/>
      <w:r>
        <w:t xml:space="preserve"> consent;</w:t>
      </w:r>
      <w:bookmarkEnd w:id="98"/>
    </w:p>
    <w:p w14:paraId="35274BB2" w14:textId="42FD2755" w:rsidR="005859BE" w:rsidRDefault="005859BE" w:rsidP="00A56995">
      <w:pPr>
        <w:pStyle w:val="Parasubclause1"/>
      </w:pPr>
      <w:r>
        <w:t>including a planning permission issued pursuant to an application under section 73 of the TCPA 1990.</w:t>
      </w:r>
    </w:p>
    <w:p w14:paraId="3F8FC9C6" w14:textId="77777777" w:rsidR="005859BE" w:rsidRDefault="005859BE" w:rsidP="00A56995">
      <w:pPr>
        <w:pStyle w:val="TitleClause"/>
      </w:pPr>
      <w:r>
        <w:fldChar w:fldCharType="begin"/>
      </w:r>
      <w:r>
        <w:instrText>TC "7. Seller's obligations" \l 1</w:instrText>
      </w:r>
      <w:r>
        <w:fldChar w:fldCharType="end"/>
      </w:r>
      <w:bookmarkStart w:id="99" w:name="a434967"/>
      <w:bookmarkStart w:id="100" w:name="_Toc157523757"/>
      <w:r>
        <w:t>Seller's obligations</w:t>
      </w:r>
      <w:bookmarkEnd w:id="99"/>
      <w:bookmarkEnd w:id="100"/>
    </w:p>
    <w:p w14:paraId="0A3C902B" w14:textId="77777777" w:rsidR="005859BE" w:rsidRDefault="005859BE" w:rsidP="00A56995">
      <w:pPr>
        <w:pStyle w:val="NoNumUntitledsubclause1"/>
      </w:pPr>
      <w:bookmarkStart w:id="101" w:name="a462966"/>
      <w:r>
        <w:t>The Seller covenants with the Buyer that the Seller shall:</w:t>
      </w:r>
      <w:bookmarkEnd w:id="101"/>
    </w:p>
    <w:p w14:paraId="50736FED" w14:textId="77777777" w:rsidR="005859BE" w:rsidRPr="00804093" w:rsidRDefault="005859BE" w:rsidP="00A56995">
      <w:pPr>
        <w:pStyle w:val="Untitledsubclause2"/>
      </w:pPr>
      <w:bookmarkStart w:id="102" w:name="a724533"/>
      <w:r>
        <w:t xml:space="preserve">provide Satisfactory Consent for the registration of a Permitted Disposal of the whole or any part or parts of the Property at HM Land Registry immediately on receipt of a written request from the </w:t>
      </w:r>
      <w:proofErr w:type="gramStart"/>
      <w:r>
        <w:t>Buyer;</w:t>
      </w:r>
      <w:bookmarkEnd w:id="102"/>
      <w:proofErr w:type="gramEnd"/>
    </w:p>
    <w:p w14:paraId="7799BAAD" w14:textId="7C559EC2" w:rsidR="005859BE" w:rsidRDefault="005859BE" w:rsidP="00A56995">
      <w:pPr>
        <w:pStyle w:val="Untitledsubclause2"/>
      </w:pPr>
      <w:bookmarkStart w:id="103" w:name="a860024"/>
      <w:r>
        <w:t xml:space="preserve">following a Permitted Disposal, if reasonably required by the Buyer in order to ensure that the same restriction (or a new restriction in the same terms) as the restriction referred to in </w:t>
      </w:r>
      <w:r>
        <w:fldChar w:fldCharType="begin"/>
      </w:r>
      <w:r>
        <w:instrText>PAGEREF a1022440\# "'clause '"  \h</w:instrText>
      </w:r>
      <w:r>
        <w:fldChar w:fldCharType="separate"/>
      </w:r>
      <w:r w:rsidR="00584228">
        <w:rPr>
          <w:noProof/>
        </w:rPr>
        <w:t xml:space="preserve">clause </w:t>
      </w:r>
      <w:r>
        <w:fldChar w:fldCharType="end"/>
      </w:r>
      <w:r>
        <w:fldChar w:fldCharType="begin"/>
      </w:r>
      <w:r>
        <w:rPr>
          <w:highlight w:val="lightGray"/>
        </w:rPr>
        <w:instrText>REF a1022440 \h \w</w:instrText>
      </w:r>
      <w:r>
        <w:fldChar w:fldCharType="separate"/>
      </w:r>
      <w:r w:rsidR="00584228">
        <w:rPr>
          <w:highlight w:val="lightGray"/>
        </w:rPr>
        <w:t>4.2</w:t>
      </w:r>
      <w:r>
        <w:fldChar w:fldCharType="end"/>
      </w:r>
      <w:r>
        <w:t xml:space="preserve"> is not entered against the registered title to the Property (or relevant part of the Property in the case of the Permitted Disposal of part of the Property) once the disponee under that Permitted Disposal is registered as the registered proprietor of that title:</w:t>
      </w:r>
      <w:bookmarkEnd w:id="103"/>
    </w:p>
    <w:p w14:paraId="5F9B680C" w14:textId="77777777" w:rsidR="005859BE" w:rsidRDefault="005859BE" w:rsidP="00A56995">
      <w:pPr>
        <w:pStyle w:val="Untitledsubclause3"/>
      </w:pPr>
      <w:bookmarkStart w:id="104" w:name="a211861"/>
      <w:r>
        <w:t>not object to an application by the Buyer or that disponee to cancel that restriction in relation to the Property (or part of the Property) disposed of under that Permitted Disposal; or</w:t>
      </w:r>
      <w:bookmarkEnd w:id="104"/>
    </w:p>
    <w:p w14:paraId="67F36F18" w14:textId="77777777" w:rsidR="005859BE" w:rsidRDefault="005859BE" w:rsidP="00A56995">
      <w:pPr>
        <w:pStyle w:val="Untitledsubclause3"/>
      </w:pPr>
      <w:bookmarkStart w:id="105" w:name="a459074"/>
      <w:r>
        <w:t xml:space="preserve">in relation to any application by the Buyer or that disponee to withdraw that restriction, provide immediately on receipt of a written request from the Buyer or that disponee a consent to that withdrawal in accordance with the requirements of HM Land Registry from time to </w:t>
      </w:r>
      <w:proofErr w:type="gramStart"/>
      <w:r>
        <w:t>time;</w:t>
      </w:r>
      <w:bookmarkEnd w:id="105"/>
      <w:proofErr w:type="gramEnd"/>
    </w:p>
    <w:p w14:paraId="00F9EAA7" w14:textId="40800B28" w:rsidR="005859BE" w:rsidRDefault="005859BE" w:rsidP="00A56995">
      <w:pPr>
        <w:pStyle w:val="Untitledsubclause2"/>
      </w:pPr>
      <w:bookmarkStart w:id="106" w:name="a644548"/>
      <w:r>
        <w:t xml:space="preserve">provide Satisfactory Consent for the registration of a Disposal of the whole or any part or parts of the Property at HM Land Registry immediately on receipt of a Deed of Covenant properly executed by the person to whom that Disposal is being made </w:t>
      </w:r>
      <w:proofErr w:type="gramStart"/>
      <w:r>
        <w:t>provided that</w:t>
      </w:r>
      <w:proofErr w:type="gramEnd"/>
      <w:r>
        <w:t xml:space="preserve"> there are then no outstanding sums due from the Buyer under the terms of this deed; and</w:t>
      </w:r>
      <w:bookmarkEnd w:id="106"/>
    </w:p>
    <w:p w14:paraId="0EABB09C" w14:textId="60E648AA" w:rsidR="005859BE" w:rsidRDefault="005859BE" w:rsidP="00A56995">
      <w:pPr>
        <w:pStyle w:val="Untitledsubclause2"/>
      </w:pPr>
      <w:bookmarkStart w:id="107" w:name="a834221"/>
      <w:r>
        <w:t xml:space="preserve">apply for the withdrawal of the restriction entered against the title to the Property pursuant to </w:t>
      </w:r>
      <w:r>
        <w:fldChar w:fldCharType="begin"/>
      </w:r>
      <w:r>
        <w:instrText>PAGEREF a1022440\# "'clause '"  \h</w:instrText>
      </w:r>
      <w:r>
        <w:fldChar w:fldCharType="separate"/>
      </w:r>
      <w:r w:rsidR="00584228">
        <w:rPr>
          <w:noProof/>
        </w:rPr>
        <w:t xml:space="preserve">clause </w:t>
      </w:r>
      <w:r>
        <w:fldChar w:fldCharType="end"/>
      </w:r>
      <w:r>
        <w:fldChar w:fldCharType="begin"/>
      </w:r>
      <w:r>
        <w:rPr>
          <w:highlight w:val="lightGray"/>
        </w:rPr>
        <w:instrText>REF a1022440 \h \w</w:instrText>
      </w:r>
      <w:r>
        <w:fldChar w:fldCharType="separate"/>
      </w:r>
      <w:r w:rsidR="00584228">
        <w:rPr>
          <w:highlight w:val="lightGray"/>
        </w:rPr>
        <w:t>4.2</w:t>
      </w:r>
      <w:r>
        <w:fldChar w:fldCharType="end"/>
      </w:r>
      <w:r>
        <w:t>:</w:t>
      </w:r>
      <w:bookmarkEnd w:id="107"/>
    </w:p>
    <w:p w14:paraId="6BA2FD07" w14:textId="1E810128" w:rsidR="005859BE" w:rsidRPr="00CA37F5" w:rsidRDefault="005859BE" w:rsidP="00A56995">
      <w:pPr>
        <w:pStyle w:val="Untitledsubclause3"/>
      </w:pPr>
      <w:bookmarkStart w:id="108" w:name="a536191"/>
      <w:r w:rsidRPr="00CA37F5">
        <w:t xml:space="preserve">within </w:t>
      </w:r>
      <w:r w:rsidR="00CA37F5" w:rsidRPr="00CA37F5">
        <w:t>10</w:t>
      </w:r>
      <w:r w:rsidRPr="00CA37F5">
        <w:t xml:space="preserve"> Working Days after the Overage Period Expiry Date if at the Overage Period Expiry Date there are no outstanding sums due from the Buyer under the terms of this </w:t>
      </w:r>
      <w:proofErr w:type="gramStart"/>
      <w:r w:rsidRPr="00CA37F5">
        <w:t>deed;</w:t>
      </w:r>
      <w:proofErr w:type="gramEnd"/>
      <w:r w:rsidRPr="00CA37F5">
        <w:t xml:space="preserve"> or</w:t>
      </w:r>
      <w:bookmarkEnd w:id="108"/>
    </w:p>
    <w:p w14:paraId="66D1EF43" w14:textId="63AB5F17" w:rsidR="005859BE" w:rsidRPr="00CA37F5" w:rsidRDefault="005859BE" w:rsidP="00A56995">
      <w:pPr>
        <w:pStyle w:val="Untitledsubclause3"/>
      </w:pPr>
      <w:bookmarkStart w:id="109" w:name="a859862"/>
      <w:r w:rsidRPr="00CA37F5">
        <w:t xml:space="preserve">within </w:t>
      </w:r>
      <w:r w:rsidR="00CA37F5" w:rsidRPr="00CA37F5">
        <w:t>10</w:t>
      </w:r>
      <w:r w:rsidRPr="00CA37F5">
        <w:t xml:space="preserve"> Working Days after the date on which the Seller receives in cleared funds any sums due from the Buyer under the terms of this deed which are outstanding at the Overage Period Expiry Date].</w:t>
      </w:r>
      <w:bookmarkEnd w:id="109"/>
    </w:p>
    <w:p w14:paraId="1ED4CD5C" w14:textId="77777777" w:rsidR="005859BE" w:rsidRDefault="005859BE" w:rsidP="00A56995">
      <w:pPr>
        <w:pStyle w:val="TitleClause"/>
      </w:pPr>
      <w:r>
        <w:fldChar w:fldCharType="begin"/>
      </w:r>
      <w:r>
        <w:instrText>TC "8. Seller's costs" \l 1</w:instrText>
      </w:r>
      <w:r>
        <w:fldChar w:fldCharType="end"/>
      </w:r>
      <w:bookmarkStart w:id="110" w:name="a923433"/>
      <w:bookmarkStart w:id="111" w:name="_Toc157523758"/>
      <w:r>
        <w:t>Seller's costs</w:t>
      </w:r>
      <w:bookmarkEnd w:id="110"/>
      <w:bookmarkEnd w:id="111"/>
    </w:p>
    <w:p w14:paraId="64D70B1A" w14:textId="1D9AD98B" w:rsidR="005859BE" w:rsidRDefault="005859BE" w:rsidP="00A56995">
      <w:pPr>
        <w:pStyle w:val="NoNumUntitledsubclause1"/>
      </w:pPr>
      <w:bookmarkStart w:id="112" w:name="a592312"/>
      <w:r>
        <w:t xml:space="preserve">The Buyer covenants with the Seller that it shall pay the Seller's reasonable </w:t>
      </w:r>
      <w:proofErr w:type="gramStart"/>
      <w:r>
        <w:t>legal</w:t>
      </w:r>
      <w:proofErr w:type="gramEnd"/>
      <w:r>
        <w:t xml:space="preserve"> and surveyor's costs and disbursements incurred in connection with:</w:t>
      </w:r>
      <w:bookmarkEnd w:id="112"/>
    </w:p>
    <w:p w14:paraId="28D1C5A1" w14:textId="77777777" w:rsidR="005859BE" w:rsidRDefault="005859BE" w:rsidP="00A56995">
      <w:pPr>
        <w:pStyle w:val="Untitledsubclause2"/>
      </w:pPr>
      <w:bookmarkStart w:id="113" w:name="a647993"/>
      <w:r>
        <w:t xml:space="preserve">each Deed of </w:t>
      </w:r>
      <w:proofErr w:type="gramStart"/>
      <w:r>
        <w:t>Covenant;</w:t>
      </w:r>
      <w:bookmarkEnd w:id="113"/>
      <w:proofErr w:type="gramEnd"/>
    </w:p>
    <w:p w14:paraId="12977B85" w14:textId="64BDE8DB" w:rsidR="005859BE" w:rsidRDefault="005859BE" w:rsidP="00A56995">
      <w:pPr>
        <w:pStyle w:val="Untitledsubclause2"/>
      </w:pPr>
      <w:bookmarkStart w:id="114" w:name="a402322"/>
      <w:r>
        <w:t>the entry and withdrawal of each restriction against the title to the Property; and</w:t>
      </w:r>
      <w:bookmarkEnd w:id="114"/>
    </w:p>
    <w:p w14:paraId="586A6279" w14:textId="77777777" w:rsidR="005859BE" w:rsidRDefault="005859BE" w:rsidP="00A56995">
      <w:pPr>
        <w:pStyle w:val="Untitledsubclause2"/>
      </w:pPr>
      <w:bookmarkStart w:id="115" w:name="a139335"/>
      <w:r>
        <w:t>the Seller granting written consent to each Permitted Disposal or Disposal of the whole or any part or parts of the Property.</w:t>
      </w:r>
      <w:bookmarkEnd w:id="115"/>
    </w:p>
    <w:p w14:paraId="0450AEE7" w14:textId="77777777" w:rsidR="005859BE" w:rsidRDefault="005859BE" w:rsidP="00A56995">
      <w:pPr>
        <w:pStyle w:val="TitleClause"/>
      </w:pPr>
      <w:r>
        <w:fldChar w:fldCharType="begin"/>
      </w:r>
      <w:r>
        <w:instrText>TC "9. VAT" \l 1</w:instrText>
      </w:r>
      <w:r>
        <w:fldChar w:fldCharType="end"/>
      </w:r>
      <w:bookmarkStart w:id="116" w:name="a92564"/>
      <w:bookmarkStart w:id="117" w:name="_Toc157523759"/>
      <w:r>
        <w:t>VAT</w:t>
      </w:r>
      <w:bookmarkEnd w:id="116"/>
      <w:bookmarkEnd w:id="117"/>
    </w:p>
    <w:p w14:paraId="26527975" w14:textId="77777777" w:rsidR="005859BE" w:rsidRDefault="005859BE" w:rsidP="00A56995">
      <w:pPr>
        <w:pStyle w:val="Untitledsubclause1"/>
      </w:pPr>
      <w:bookmarkStart w:id="118" w:name="a334189"/>
      <w:r>
        <w:t xml:space="preserve">Each amount stated to be payable by the Buyer to the Seller under or pursuant to this deed is exclusive of VAT (if any). </w:t>
      </w:r>
      <w:bookmarkEnd w:id="118"/>
    </w:p>
    <w:p w14:paraId="450A576B" w14:textId="77777777" w:rsidR="005859BE" w:rsidRDefault="005859BE" w:rsidP="00A56995">
      <w:pPr>
        <w:pStyle w:val="Untitledsubclause1"/>
      </w:pPr>
      <w:bookmarkStart w:id="119" w:name="a609313"/>
      <w:r>
        <w:t>If any VAT is chargeable on any supply made by the Seller under or pursuant to this deed, the Buyer shall on receipt of a valid VAT invoice, pay the Seller an amount equal to that VAT.</w:t>
      </w:r>
      <w:bookmarkEnd w:id="119"/>
    </w:p>
    <w:p w14:paraId="38C87C83" w14:textId="77777777" w:rsidR="005859BE" w:rsidRDefault="005859BE" w:rsidP="00A56995">
      <w:pPr>
        <w:pStyle w:val="TitleClause"/>
      </w:pPr>
      <w:r>
        <w:fldChar w:fldCharType="begin"/>
      </w:r>
      <w:r>
        <w:instrText>TC "10. Notices" \l 1</w:instrText>
      </w:r>
      <w:r>
        <w:fldChar w:fldCharType="end"/>
      </w:r>
      <w:bookmarkStart w:id="120" w:name="a548140"/>
      <w:bookmarkStart w:id="121" w:name="_Toc157523760"/>
      <w:r>
        <w:t>Notices</w:t>
      </w:r>
      <w:bookmarkEnd w:id="120"/>
      <w:bookmarkEnd w:id="121"/>
    </w:p>
    <w:p w14:paraId="7E5D82DB" w14:textId="30281D71" w:rsidR="005859BE" w:rsidRDefault="005859BE" w:rsidP="00A56995">
      <w:pPr>
        <w:pStyle w:val="Untitledsubclause1"/>
      </w:pPr>
      <w:bookmarkStart w:id="122" w:name="a442783"/>
      <w:r>
        <w:t>Any notice given under this deed must be in writing.</w:t>
      </w:r>
      <w:bookmarkEnd w:id="122"/>
    </w:p>
    <w:p w14:paraId="64720085" w14:textId="77777777" w:rsidR="005859BE" w:rsidRDefault="005859BE" w:rsidP="00A56995">
      <w:pPr>
        <w:pStyle w:val="Untitledsubclause1"/>
      </w:pPr>
      <w:bookmarkStart w:id="123" w:name="a296656"/>
      <w:r>
        <w:t>Any notice or document to be given or delivered under this deed must be:</w:t>
      </w:r>
      <w:bookmarkEnd w:id="123"/>
    </w:p>
    <w:p w14:paraId="048ADCFD" w14:textId="705C0C37" w:rsidR="005859BE" w:rsidRDefault="005859BE" w:rsidP="00A56995">
      <w:pPr>
        <w:pStyle w:val="Untitledsubclause2"/>
      </w:pPr>
      <w:bookmarkStart w:id="124" w:name="a510845"/>
      <w:r>
        <w:t>delivered by hand; or</w:t>
      </w:r>
      <w:bookmarkEnd w:id="124"/>
    </w:p>
    <w:p w14:paraId="3AE039E3" w14:textId="35C860CC" w:rsidR="005859BE" w:rsidRDefault="005859BE" w:rsidP="0082315A">
      <w:pPr>
        <w:pStyle w:val="Untitledsubclause2"/>
      </w:pPr>
      <w:bookmarkStart w:id="125" w:name="a710832"/>
      <w:r>
        <w:t xml:space="preserve">sent by pre-paid </w:t>
      </w:r>
      <w:proofErr w:type="gramStart"/>
      <w:r>
        <w:t>first class</w:t>
      </w:r>
      <w:proofErr w:type="gramEnd"/>
      <w:r>
        <w:t xml:space="preserve"> post or other next Working Day delivery service. </w:t>
      </w:r>
      <w:bookmarkEnd w:id="125"/>
    </w:p>
    <w:p w14:paraId="47197CC0" w14:textId="77777777" w:rsidR="005859BE" w:rsidRDefault="005859BE" w:rsidP="00A56995">
      <w:pPr>
        <w:pStyle w:val="Untitledsubclause1"/>
      </w:pPr>
      <w:bookmarkStart w:id="126" w:name="a471090"/>
      <w:r>
        <w:t>Any notice or document to be given or delivered under this deed must be sent to the relevant party as follows:</w:t>
      </w:r>
      <w:bookmarkEnd w:id="126"/>
    </w:p>
    <w:p w14:paraId="37D3AFF0" w14:textId="77777777" w:rsidR="005859BE" w:rsidRDefault="005859BE" w:rsidP="00A56995">
      <w:pPr>
        <w:pStyle w:val="Untitledsubclause2"/>
      </w:pPr>
      <w:bookmarkStart w:id="127" w:name="a150335"/>
      <w:r>
        <w:t>to the Seller at:</w:t>
      </w:r>
      <w:bookmarkEnd w:id="127"/>
    </w:p>
    <w:p w14:paraId="4F114A07" w14:textId="309D4155" w:rsidR="005859BE" w:rsidRDefault="0082315A" w:rsidP="00A56995">
      <w:pPr>
        <w:pStyle w:val="Parasubclause2"/>
      </w:pPr>
      <w:r>
        <w:t>Coventry City Council, Council House, Earl Street, Coventry CV1 5RR</w:t>
      </w:r>
    </w:p>
    <w:p w14:paraId="0C1CB950" w14:textId="748FAF6D" w:rsidR="005859BE" w:rsidRDefault="005859BE" w:rsidP="00A56995">
      <w:pPr>
        <w:pStyle w:val="Parasubclause2"/>
      </w:pPr>
      <w:r>
        <w:t xml:space="preserve">marked for the attention of </w:t>
      </w:r>
      <w:r w:rsidR="0082315A">
        <w:t xml:space="preserve">Paul Beesley, Head of Property </w:t>
      </w:r>
      <w:proofErr w:type="gramStart"/>
      <w:r w:rsidR="0082315A">
        <w:t>Services</w:t>
      </w:r>
      <w:r>
        <w:t>;</w:t>
      </w:r>
      <w:proofErr w:type="gramEnd"/>
    </w:p>
    <w:p w14:paraId="44FDF160" w14:textId="77777777" w:rsidR="005859BE" w:rsidRDefault="005859BE" w:rsidP="00A56995">
      <w:pPr>
        <w:pStyle w:val="Untitledsubclause2"/>
      </w:pPr>
      <w:bookmarkStart w:id="128" w:name="a762882"/>
      <w:r>
        <w:t>to the Buyer at:</w:t>
      </w:r>
      <w:bookmarkEnd w:id="128"/>
    </w:p>
    <w:p w14:paraId="5D21DC5F" w14:textId="77777777" w:rsidR="005859BE" w:rsidRDefault="005859BE" w:rsidP="00A56995">
      <w:pPr>
        <w:pStyle w:val="Parasubclause2"/>
      </w:pPr>
      <w:r>
        <w:t>[ADDRESS]</w:t>
      </w:r>
    </w:p>
    <w:p w14:paraId="3C4E0755" w14:textId="77777777" w:rsidR="005859BE" w:rsidRDefault="005859BE" w:rsidP="00A56995">
      <w:pPr>
        <w:pStyle w:val="Parasubclause2"/>
      </w:pPr>
      <w:r>
        <w:t>marked for the attention of [NAME/POSITION]</w:t>
      </w:r>
    </w:p>
    <w:p w14:paraId="187C26D1" w14:textId="77777777" w:rsidR="005859BE" w:rsidRDefault="005859BE" w:rsidP="00A56995">
      <w:pPr>
        <w:pStyle w:val="Parasubclause1"/>
      </w:pPr>
      <w:r>
        <w:t>or as otherwise specified by the relevant party by notice in writing to the other party.</w:t>
      </w:r>
    </w:p>
    <w:p w14:paraId="6DE9D8B8" w14:textId="012DD43C" w:rsidR="005859BE" w:rsidRDefault="005859BE" w:rsidP="00A56995">
      <w:pPr>
        <w:pStyle w:val="Untitledsubclause1"/>
      </w:pPr>
      <w:bookmarkStart w:id="129" w:name="a538992"/>
      <w:r>
        <w:t xml:space="preserve">Any change of the details in </w:t>
      </w:r>
      <w:r>
        <w:fldChar w:fldCharType="begin"/>
      </w:r>
      <w:r>
        <w:instrText>PAGEREF a471090\# "'clause '"  \h</w:instrText>
      </w:r>
      <w:r>
        <w:fldChar w:fldCharType="separate"/>
      </w:r>
      <w:r w:rsidR="00584228">
        <w:rPr>
          <w:noProof/>
        </w:rPr>
        <w:t xml:space="preserve">clause </w:t>
      </w:r>
      <w:r>
        <w:fldChar w:fldCharType="end"/>
      </w:r>
      <w:r>
        <w:fldChar w:fldCharType="begin"/>
      </w:r>
      <w:r>
        <w:rPr>
          <w:highlight w:val="lightGray"/>
        </w:rPr>
        <w:instrText>REF a471090 \h \w</w:instrText>
      </w:r>
      <w:r>
        <w:fldChar w:fldCharType="separate"/>
      </w:r>
      <w:r w:rsidR="00584228">
        <w:rPr>
          <w:highlight w:val="lightGray"/>
        </w:rPr>
        <w:t>9.3</w:t>
      </w:r>
      <w:r>
        <w:fldChar w:fldCharType="end"/>
      </w:r>
      <w:r>
        <w:t xml:space="preserve"> specified by the relevant party by notice in writing to the other party will take effect for the party notified of the change at 9.00 am on the later of:</w:t>
      </w:r>
      <w:bookmarkEnd w:id="129"/>
    </w:p>
    <w:p w14:paraId="3F2BFEE8" w14:textId="77777777" w:rsidR="005859BE" w:rsidRDefault="005859BE" w:rsidP="00A56995">
      <w:pPr>
        <w:pStyle w:val="Untitledsubclause2"/>
      </w:pPr>
      <w:bookmarkStart w:id="130" w:name="a733169"/>
      <w:r>
        <w:t>the date, if any, specified in the notice as the effective date for the change; or</w:t>
      </w:r>
      <w:bookmarkEnd w:id="130"/>
    </w:p>
    <w:p w14:paraId="15DEF20F" w14:textId="48921DCF" w:rsidR="005859BE" w:rsidRDefault="005859BE" w:rsidP="00A56995">
      <w:pPr>
        <w:pStyle w:val="Untitledsubclause2"/>
      </w:pPr>
      <w:bookmarkStart w:id="131" w:name="a873254"/>
      <w:r>
        <w:t>the date five Working Days after deemed receipt of the notice.</w:t>
      </w:r>
      <w:bookmarkEnd w:id="131"/>
    </w:p>
    <w:p w14:paraId="24F8F2E2" w14:textId="72B76DA3" w:rsidR="005859BE" w:rsidRDefault="005859BE" w:rsidP="00A56995">
      <w:pPr>
        <w:pStyle w:val="Untitledsubclause1"/>
      </w:pPr>
      <w:bookmarkStart w:id="132" w:name="a639472"/>
      <w:r>
        <w:t xml:space="preserve">Any notice or document given or delivered in accordance with </w:t>
      </w:r>
      <w:r>
        <w:fldChar w:fldCharType="begin"/>
      </w:r>
      <w:r>
        <w:instrText>PAGEREF a442783\# "'clause '"  \h</w:instrText>
      </w:r>
      <w:r>
        <w:fldChar w:fldCharType="separate"/>
      </w:r>
      <w:r w:rsidR="00584228">
        <w:rPr>
          <w:noProof/>
        </w:rPr>
        <w:t xml:space="preserve">clause </w:t>
      </w:r>
      <w:r>
        <w:fldChar w:fldCharType="end"/>
      </w:r>
      <w:r>
        <w:fldChar w:fldCharType="begin"/>
      </w:r>
      <w:r>
        <w:rPr>
          <w:highlight w:val="lightGray"/>
        </w:rPr>
        <w:instrText>REF a442783 \h \w</w:instrText>
      </w:r>
      <w:r>
        <w:fldChar w:fldCharType="separate"/>
      </w:r>
      <w:r w:rsidR="00584228">
        <w:rPr>
          <w:highlight w:val="lightGray"/>
        </w:rPr>
        <w:t>9.1</w:t>
      </w:r>
      <w:r>
        <w:fldChar w:fldCharType="end"/>
      </w:r>
      <w:r>
        <w:t xml:space="preserve">, </w:t>
      </w:r>
      <w:r>
        <w:fldChar w:fldCharType="begin"/>
      </w:r>
      <w:r>
        <w:instrText>PAGEREF a296656\# "'clause '"  \h</w:instrText>
      </w:r>
      <w:r>
        <w:fldChar w:fldCharType="separate"/>
      </w:r>
      <w:r w:rsidR="00584228">
        <w:rPr>
          <w:noProof/>
        </w:rPr>
        <w:t xml:space="preserve">clause </w:t>
      </w:r>
      <w:r>
        <w:fldChar w:fldCharType="end"/>
      </w:r>
      <w:r>
        <w:fldChar w:fldCharType="begin"/>
      </w:r>
      <w:r>
        <w:rPr>
          <w:highlight w:val="lightGray"/>
        </w:rPr>
        <w:instrText>REF a296656 \h \w</w:instrText>
      </w:r>
      <w:r>
        <w:fldChar w:fldCharType="separate"/>
      </w:r>
      <w:r w:rsidR="00584228">
        <w:rPr>
          <w:highlight w:val="lightGray"/>
        </w:rPr>
        <w:t>9.2</w:t>
      </w:r>
      <w:r>
        <w:fldChar w:fldCharType="end"/>
      </w:r>
      <w:r>
        <w:t xml:space="preserve"> and </w:t>
      </w:r>
      <w:r>
        <w:fldChar w:fldCharType="begin"/>
      </w:r>
      <w:r>
        <w:instrText>PAGEREF a471090\# "'clause '"  \h</w:instrText>
      </w:r>
      <w:r>
        <w:fldChar w:fldCharType="separate"/>
      </w:r>
      <w:r w:rsidR="00584228">
        <w:rPr>
          <w:noProof/>
        </w:rPr>
        <w:t xml:space="preserve">clause </w:t>
      </w:r>
      <w:r>
        <w:fldChar w:fldCharType="end"/>
      </w:r>
      <w:r>
        <w:fldChar w:fldCharType="begin"/>
      </w:r>
      <w:r>
        <w:rPr>
          <w:highlight w:val="lightGray"/>
        </w:rPr>
        <w:instrText>REF a471090 \h \w</w:instrText>
      </w:r>
      <w:r>
        <w:fldChar w:fldCharType="separate"/>
      </w:r>
      <w:r w:rsidR="00584228">
        <w:rPr>
          <w:highlight w:val="lightGray"/>
        </w:rPr>
        <w:t>9.3</w:t>
      </w:r>
      <w:r>
        <w:fldChar w:fldCharType="end"/>
      </w:r>
      <w:r>
        <w:t xml:space="preserve"> will be deemed to have been received:</w:t>
      </w:r>
      <w:bookmarkEnd w:id="132"/>
    </w:p>
    <w:p w14:paraId="7D8A7BE0" w14:textId="728C799D" w:rsidR="005859BE" w:rsidRDefault="005859BE" w:rsidP="00A56995">
      <w:pPr>
        <w:pStyle w:val="Untitledsubclause2"/>
      </w:pPr>
      <w:bookmarkStart w:id="133" w:name="a722180"/>
      <w:r>
        <w:t>if delivered by hand, on signature of a delivery receipt or at the time the notice or document is left at the address provided that if delivery occurs before 9.00 am on a Working Day, the notice will be deemed to have been received at 9.00 am on that day, and if delivery occurs after 5.00 pm on a Working Day, or on a day which is not a Working Day, the notice will be deemed to have been received at 9.00 am on the next Working Day; or</w:t>
      </w:r>
      <w:bookmarkEnd w:id="133"/>
    </w:p>
    <w:p w14:paraId="44BF2DEC" w14:textId="23FADF24" w:rsidR="005859BE" w:rsidRDefault="005859BE" w:rsidP="00A56995">
      <w:pPr>
        <w:pStyle w:val="Untitledsubclause2"/>
      </w:pPr>
      <w:bookmarkStart w:id="134" w:name="a131230"/>
      <w:r>
        <w:t xml:space="preserve">if sent by pre-paid </w:t>
      </w:r>
      <w:proofErr w:type="gramStart"/>
      <w:r>
        <w:t>first class</w:t>
      </w:r>
      <w:proofErr w:type="gramEnd"/>
      <w:r>
        <w:t xml:space="preserve"> post or other next Working Day delivery service, at 9.00 am on the second Working Day after posting. </w:t>
      </w:r>
      <w:bookmarkEnd w:id="134"/>
    </w:p>
    <w:p w14:paraId="52A0460B" w14:textId="77777777" w:rsidR="005859BE" w:rsidRDefault="005859BE" w:rsidP="00A56995">
      <w:pPr>
        <w:pStyle w:val="Untitledsubclause1"/>
      </w:pPr>
      <w:bookmarkStart w:id="135" w:name="a896653"/>
      <w:r>
        <w:t>In proving delivery of a notice or document, it will be sufficient to prove that:</w:t>
      </w:r>
      <w:bookmarkEnd w:id="135"/>
    </w:p>
    <w:p w14:paraId="69ABEFEE" w14:textId="3C5B9D38" w:rsidR="005859BE" w:rsidRDefault="005859BE" w:rsidP="00A56995">
      <w:pPr>
        <w:pStyle w:val="Untitledsubclause2"/>
      </w:pPr>
      <w:bookmarkStart w:id="136" w:name="a268486"/>
      <w:r>
        <w:t>a delivery receipt was signed or that the notice or document was left at the address; or</w:t>
      </w:r>
      <w:bookmarkEnd w:id="136"/>
    </w:p>
    <w:p w14:paraId="042078CC" w14:textId="6B78D7B8" w:rsidR="005859BE" w:rsidRDefault="005859BE" w:rsidP="00A56995">
      <w:pPr>
        <w:pStyle w:val="Untitledsubclause2"/>
      </w:pPr>
      <w:bookmarkStart w:id="137" w:name="a324980"/>
      <w:r>
        <w:t xml:space="preserve">the envelope containing the notice or document was properly addressed and posted by pre-paid </w:t>
      </w:r>
      <w:proofErr w:type="gramStart"/>
      <w:r>
        <w:t>first class</w:t>
      </w:r>
      <w:proofErr w:type="gramEnd"/>
      <w:r>
        <w:t xml:space="preserve"> post or other next Working Day delivery service. </w:t>
      </w:r>
      <w:bookmarkEnd w:id="137"/>
    </w:p>
    <w:p w14:paraId="2412D676" w14:textId="77777777" w:rsidR="005859BE" w:rsidRDefault="005859BE" w:rsidP="00A56995">
      <w:pPr>
        <w:pStyle w:val="Untitledsubclause1"/>
      </w:pPr>
      <w:bookmarkStart w:id="138" w:name="a484525"/>
      <w:r>
        <w:t>A notice given or document delivered under this deed will not be validly given or delivered if sent by email.</w:t>
      </w:r>
      <w:bookmarkEnd w:id="138"/>
    </w:p>
    <w:p w14:paraId="01BA22BF" w14:textId="05BDEE24" w:rsidR="005859BE" w:rsidRDefault="005859BE" w:rsidP="00A56995">
      <w:pPr>
        <w:pStyle w:val="Untitledsubclause1"/>
      </w:pPr>
      <w:bookmarkStart w:id="139" w:name="a840071"/>
      <w:r>
        <w:t xml:space="preserve">This </w:t>
      </w:r>
      <w:r>
        <w:fldChar w:fldCharType="begin"/>
      </w:r>
      <w:r>
        <w:instrText>PAGEREF a548140\# "'clause '"  \h</w:instrText>
      </w:r>
      <w:r>
        <w:fldChar w:fldCharType="separate"/>
      </w:r>
      <w:r w:rsidR="00584228">
        <w:rPr>
          <w:noProof/>
        </w:rPr>
        <w:t xml:space="preserve">clause </w:t>
      </w:r>
      <w:r>
        <w:fldChar w:fldCharType="end"/>
      </w:r>
      <w:r>
        <w:fldChar w:fldCharType="begin"/>
      </w:r>
      <w:r>
        <w:rPr>
          <w:highlight w:val="lightGray"/>
        </w:rPr>
        <w:instrText>REF a548140 \h \w</w:instrText>
      </w:r>
      <w:r>
        <w:fldChar w:fldCharType="separate"/>
      </w:r>
      <w:r w:rsidR="00584228">
        <w:rPr>
          <w:highlight w:val="lightGray"/>
        </w:rPr>
        <w:t>9</w:t>
      </w:r>
      <w:r>
        <w:fldChar w:fldCharType="end"/>
      </w:r>
      <w:r>
        <w:t xml:space="preserve"> does not apply to the service of any proceedings or other documents in any legal action or, where applicable, any arbitration or other method of dispute resolution.</w:t>
      </w:r>
      <w:bookmarkEnd w:id="139"/>
    </w:p>
    <w:p w14:paraId="5CD39D80" w14:textId="77777777" w:rsidR="005859BE" w:rsidRDefault="005859BE" w:rsidP="00A56995">
      <w:pPr>
        <w:pStyle w:val="TitleClause"/>
      </w:pPr>
      <w:r>
        <w:fldChar w:fldCharType="begin"/>
      </w:r>
      <w:r>
        <w:instrText>TC "11. Third party rights" \l 1</w:instrText>
      </w:r>
      <w:r>
        <w:fldChar w:fldCharType="end"/>
      </w:r>
      <w:bookmarkStart w:id="140" w:name="a382679"/>
      <w:bookmarkStart w:id="141" w:name="_Toc157523761"/>
      <w:r>
        <w:t>Third party rights</w:t>
      </w:r>
      <w:bookmarkEnd w:id="140"/>
      <w:bookmarkEnd w:id="141"/>
    </w:p>
    <w:p w14:paraId="3D4E2679" w14:textId="77777777" w:rsidR="005859BE" w:rsidRDefault="005859BE" w:rsidP="00A56995">
      <w:pPr>
        <w:pStyle w:val="NoNumUntitledsubclause1"/>
      </w:pPr>
      <w:bookmarkStart w:id="142" w:name="a906064"/>
      <w:r>
        <w:t>A person who is not a party to this deed shall not have any rights under the Contracts (Rights of Third Parties) Act 1999 to enforce any term of this deed.</w:t>
      </w:r>
      <w:bookmarkEnd w:id="142"/>
    </w:p>
    <w:p w14:paraId="7A26BACF" w14:textId="77777777" w:rsidR="005859BE" w:rsidRDefault="005859BE" w:rsidP="00A56995">
      <w:pPr>
        <w:pStyle w:val="TitleClause"/>
      </w:pPr>
      <w:r>
        <w:fldChar w:fldCharType="begin"/>
      </w:r>
      <w:r>
        <w:instrText>TC "12. Entire agreement" \l 1</w:instrText>
      </w:r>
      <w:r>
        <w:fldChar w:fldCharType="end"/>
      </w:r>
      <w:bookmarkStart w:id="143" w:name="a473013"/>
      <w:bookmarkStart w:id="144" w:name="_Toc157523762"/>
      <w:r>
        <w:t>Entire agreement</w:t>
      </w:r>
      <w:bookmarkEnd w:id="143"/>
      <w:bookmarkEnd w:id="144"/>
    </w:p>
    <w:p w14:paraId="3AD982A6" w14:textId="652DD57A" w:rsidR="005859BE" w:rsidRDefault="005859BE" w:rsidP="00A56995">
      <w:pPr>
        <w:pStyle w:val="Untitledsubclause1"/>
      </w:pPr>
      <w:bookmarkStart w:id="145" w:name="a551828"/>
      <w:r>
        <w:t xml:space="preserve">This deed and </w:t>
      </w:r>
      <w:r w:rsidR="0082315A">
        <w:t>any</w:t>
      </w:r>
      <w:r>
        <w:t xml:space="preserve"> documents annexed to it constitute the whole agreement between the parties and supersede all previous discussions, correspondence, negotiations, arrangements, </w:t>
      </w:r>
      <w:proofErr w:type="gramStart"/>
      <w:r>
        <w:t>understandings</w:t>
      </w:r>
      <w:proofErr w:type="gramEnd"/>
      <w:r>
        <w:t xml:space="preserve"> and agreements between them relating to their subject matter.</w:t>
      </w:r>
      <w:bookmarkEnd w:id="145"/>
    </w:p>
    <w:p w14:paraId="4575E010" w14:textId="3A1E3109" w:rsidR="005859BE" w:rsidRDefault="005859BE" w:rsidP="00A56995">
      <w:pPr>
        <w:pStyle w:val="Untitledsubclause1"/>
      </w:pPr>
      <w:bookmarkStart w:id="146" w:name="a1049805"/>
      <w:r>
        <w:t xml:space="preserve">Each party acknowledges that in entering into this deed </w:t>
      </w:r>
      <w:r w:rsidR="00DA1151">
        <w:t>a</w:t>
      </w:r>
      <w:r>
        <w:t xml:space="preserve">nd any documents annexed to it </w:t>
      </w:r>
      <w:proofErr w:type="spellStart"/>
      <w:r>
        <w:t>it</w:t>
      </w:r>
      <w:proofErr w:type="spellEnd"/>
      <w:r>
        <w:t xml:space="preserve"> does not rely on, and shall have no remedies in respect of, any representation or warranty (whether made negligently or innocently) other than those set out in this </w:t>
      </w:r>
      <w:proofErr w:type="gramStart"/>
      <w:r>
        <w:t>deed</w:t>
      </w:r>
      <w:proofErr w:type="gramEnd"/>
      <w:r>
        <w:t xml:space="preserve"> or the documents annexed to it.</w:t>
      </w:r>
      <w:bookmarkEnd w:id="146"/>
    </w:p>
    <w:p w14:paraId="5621A3C6" w14:textId="334BFA0A" w:rsidR="005859BE" w:rsidRDefault="005859BE" w:rsidP="00A56995">
      <w:pPr>
        <w:pStyle w:val="Untitledsubclause1"/>
      </w:pPr>
      <w:r>
        <w:fldChar w:fldCharType="begin"/>
      </w:r>
      <w:r>
        <w:fldChar w:fldCharType="end"/>
      </w:r>
      <w:bookmarkStart w:id="147" w:name="a1020036"/>
      <w:r>
        <w:t>Nothing in this clause shall limit or exclude any liability for fraud.</w:t>
      </w:r>
      <w:bookmarkEnd w:id="147"/>
    </w:p>
    <w:p w14:paraId="6394B43A" w14:textId="77777777" w:rsidR="005859BE" w:rsidRDefault="005859BE" w:rsidP="00A56995">
      <w:pPr>
        <w:pStyle w:val="TitleClause"/>
      </w:pPr>
      <w:r>
        <w:fldChar w:fldCharType="begin"/>
      </w:r>
      <w:r>
        <w:instrText>TC "13. Joint and several liability" \l 1</w:instrText>
      </w:r>
      <w:r>
        <w:fldChar w:fldCharType="end"/>
      </w:r>
      <w:bookmarkStart w:id="148" w:name="a654596"/>
      <w:bookmarkStart w:id="149" w:name="_Toc157523763"/>
      <w:r>
        <w:t>Joint and several liability</w:t>
      </w:r>
      <w:bookmarkEnd w:id="148"/>
      <w:bookmarkEnd w:id="149"/>
    </w:p>
    <w:p w14:paraId="5AD2F1FB" w14:textId="77777777" w:rsidR="005859BE" w:rsidRDefault="005859BE" w:rsidP="00A56995">
      <w:pPr>
        <w:pStyle w:val="NoNumUntitledsubclause1"/>
      </w:pPr>
      <w:bookmarkStart w:id="150" w:name="a235754"/>
      <w:r>
        <w:t xml:space="preserve">Where the Buyer comprises more than one person, those persons shall be jointly and severally liable for the obligations and liabilities of the Buyer arising under this deed and the Seller may </w:t>
      </w:r>
      <w:proofErr w:type="gramStart"/>
      <w:r>
        <w:t>take action</w:t>
      </w:r>
      <w:proofErr w:type="gramEnd"/>
      <w:r>
        <w:t xml:space="preserve"> against, or release or compromise the liability of, or grant time or other indulgence to, any one of those persons without affecting the liability of any other of them.</w:t>
      </w:r>
      <w:bookmarkEnd w:id="150"/>
    </w:p>
    <w:p w14:paraId="699A0D03" w14:textId="77777777" w:rsidR="005859BE" w:rsidRDefault="005859BE" w:rsidP="00A56995">
      <w:pPr>
        <w:pStyle w:val="TitleClause"/>
      </w:pPr>
      <w:r>
        <w:fldChar w:fldCharType="begin"/>
      </w:r>
      <w:r>
        <w:instrText>TC "14. Governing law" \l 1</w:instrText>
      </w:r>
      <w:r>
        <w:fldChar w:fldCharType="end"/>
      </w:r>
      <w:bookmarkStart w:id="151" w:name="a205510"/>
      <w:bookmarkStart w:id="152" w:name="_Toc157523764"/>
      <w:r>
        <w:t>Governing law</w:t>
      </w:r>
      <w:bookmarkEnd w:id="151"/>
      <w:bookmarkEnd w:id="152"/>
    </w:p>
    <w:p w14:paraId="55F21C55" w14:textId="77777777" w:rsidR="005859BE" w:rsidRDefault="005859BE" w:rsidP="00A56995">
      <w:pPr>
        <w:pStyle w:val="NoNumUntitledsubclause1"/>
      </w:pPr>
      <w:bookmarkStart w:id="153" w:name="a942521"/>
      <w:r>
        <w:t>This deed and any dispute or claim arising out of or in connection with it or its subject matter or formation (including non-contractual disputes or claims) shall be governed by and construed in accordance with the law of England and Wales.</w:t>
      </w:r>
      <w:bookmarkEnd w:id="153"/>
    </w:p>
    <w:p w14:paraId="4435C677" w14:textId="77777777" w:rsidR="005859BE" w:rsidRDefault="005859BE" w:rsidP="00A56995">
      <w:pPr>
        <w:pStyle w:val="TitleClause"/>
      </w:pPr>
      <w:r>
        <w:fldChar w:fldCharType="begin"/>
      </w:r>
      <w:r>
        <w:instrText>TC "15. Jurisdiction" \l 1</w:instrText>
      </w:r>
      <w:r>
        <w:fldChar w:fldCharType="end"/>
      </w:r>
      <w:bookmarkStart w:id="154" w:name="_Toc157523765"/>
      <w:bookmarkStart w:id="155" w:name="a467101"/>
      <w:r>
        <w:t>Jurisdiction</w:t>
      </w:r>
      <w:bookmarkEnd w:id="154"/>
      <w:r>
        <w:t xml:space="preserve"> </w:t>
      </w:r>
      <w:bookmarkEnd w:id="155"/>
    </w:p>
    <w:p w14:paraId="5E0B980C" w14:textId="1BFD2971" w:rsidR="005859BE" w:rsidRDefault="005859BE" w:rsidP="00A56995">
      <w:pPr>
        <w:pStyle w:val="NoNumUntitledsubclause1"/>
      </w:pPr>
      <w:bookmarkStart w:id="156" w:name="a755497"/>
      <w:r>
        <w:t xml:space="preserve">Subject to </w:t>
      </w:r>
      <w:r>
        <w:fldChar w:fldCharType="begin"/>
      </w:r>
      <w:r>
        <w:instrText>PAGEREF a941034\# "'clause '"  \h</w:instrText>
      </w:r>
      <w:r>
        <w:fldChar w:fldCharType="separate"/>
      </w:r>
      <w:r w:rsidR="00584228">
        <w:rPr>
          <w:noProof/>
        </w:rPr>
        <w:t xml:space="preserve">clause </w:t>
      </w:r>
      <w:r>
        <w:fldChar w:fldCharType="end"/>
      </w:r>
      <w:r>
        <w:fldChar w:fldCharType="begin"/>
      </w:r>
      <w:r>
        <w:rPr>
          <w:highlight w:val="lightGray"/>
        </w:rPr>
        <w:instrText>REF a941034 \h \w</w:instrText>
      </w:r>
      <w:r>
        <w:fldChar w:fldCharType="separate"/>
      </w:r>
      <w:r w:rsidR="00584228">
        <w:rPr>
          <w:highlight w:val="lightGray"/>
        </w:rPr>
        <w:t>3.2</w:t>
      </w:r>
      <w:r>
        <w:fldChar w:fldCharType="end"/>
      </w:r>
      <w:r>
        <w:t xml:space="preserve"> to </w:t>
      </w:r>
      <w:r>
        <w:fldChar w:fldCharType="begin"/>
      </w:r>
      <w:r>
        <w:instrText>PAGEREF a452285\# "'clause '"  \h</w:instrText>
      </w:r>
      <w:r>
        <w:fldChar w:fldCharType="separate"/>
      </w:r>
      <w:r w:rsidR="00584228">
        <w:rPr>
          <w:noProof/>
        </w:rPr>
        <w:t xml:space="preserve">clause </w:t>
      </w:r>
      <w:r>
        <w:fldChar w:fldCharType="end"/>
      </w:r>
      <w:r>
        <w:fldChar w:fldCharType="begin"/>
      </w:r>
      <w:r>
        <w:rPr>
          <w:highlight w:val="lightGray"/>
        </w:rPr>
        <w:instrText>REF a452285 \h \w</w:instrText>
      </w:r>
      <w:r>
        <w:fldChar w:fldCharType="separate"/>
      </w:r>
      <w:r w:rsidR="00944691">
        <w:rPr>
          <w:highlight w:val="lightGray"/>
        </w:rPr>
        <w:t>3.10</w:t>
      </w:r>
      <w:r>
        <w:fldChar w:fldCharType="end"/>
      </w:r>
      <w:r>
        <w:t xml:space="preserve"> (inclusive), each party irrevocably agrees that the courts of England and Wales shall have exclusive jurisdiction to settle any dispute or claim arising out of or in connection with this deed or its subject matter or formation (including non-contractual disputes or claims).</w:t>
      </w:r>
      <w:bookmarkEnd w:id="156"/>
    </w:p>
    <w:p w14:paraId="2ABAA754" w14:textId="1C417AF3" w:rsidR="00C461EC" w:rsidRPr="00C461EC" w:rsidRDefault="00C461EC" w:rsidP="00C461EC">
      <w:pPr>
        <w:pStyle w:val="TitleClause"/>
      </w:pPr>
      <w:bookmarkStart w:id="157" w:name="_Toc157523766"/>
      <w:r w:rsidRPr="00C461EC">
        <w:t>Council's statutory powers</w:t>
      </w:r>
      <w:bookmarkEnd w:id="157"/>
    </w:p>
    <w:p w14:paraId="294C8C36" w14:textId="44C0BA51" w:rsidR="00C461EC" w:rsidRPr="00C461EC" w:rsidRDefault="00C461EC" w:rsidP="00C461EC">
      <w:pPr>
        <w:pStyle w:val="Untitledsubclause1"/>
      </w:pPr>
      <w:r w:rsidRPr="00C461EC">
        <w:t xml:space="preserve">For the avoidance of doubt nothing (contained or implied) in this </w:t>
      </w:r>
      <w:r>
        <w:t>deed</w:t>
      </w:r>
      <w:r w:rsidRPr="00C461EC">
        <w:t xml:space="preserve"> shall prejudice or affect the </w:t>
      </w:r>
      <w:r>
        <w:t>Seller’s</w:t>
      </w:r>
      <w:r w:rsidRPr="00C461EC">
        <w:t xml:space="preserve"> rights powers duties and obligations in the exercise of their functions as a local authority and the rights powers duties and obligations of the Council under all public and private statutes byelaws orders and regulations may be as fully and effectually exercised in relation to the premises as if they were not the owners of the premises and as if this</w:t>
      </w:r>
      <w:r>
        <w:t xml:space="preserve"> deed</w:t>
      </w:r>
      <w:r w:rsidRPr="00C461EC">
        <w:t xml:space="preserve"> had not been executed by them</w:t>
      </w:r>
    </w:p>
    <w:p w14:paraId="6FB9CCE9" w14:textId="65F3E869" w:rsidR="00C461EC" w:rsidRDefault="00C461EC" w:rsidP="00C461EC">
      <w:pPr>
        <w:pStyle w:val="Untitledsubclause1"/>
      </w:pPr>
      <w:r>
        <w:t>N</w:t>
      </w:r>
      <w:r w:rsidRPr="00C461EC">
        <w:t xml:space="preserve">othing in this </w:t>
      </w:r>
      <w:r>
        <w:t>deed</w:t>
      </w:r>
      <w:r w:rsidRPr="00C461EC">
        <w:t xml:space="preserve"> contained shall be deemed to be an act consent or approval of the </w:t>
      </w:r>
      <w:r>
        <w:t>Seller</w:t>
      </w:r>
      <w:r w:rsidRPr="00C461EC">
        <w:t xml:space="preserve"> in their capacity as a local authority or in any capacity other than as </w:t>
      </w:r>
      <w:r>
        <w:t xml:space="preserve">landowner </w:t>
      </w:r>
      <w:r w:rsidRPr="00C461EC">
        <w:t xml:space="preserve">and any acts consents or approvals on the part of the </w:t>
      </w:r>
      <w:r>
        <w:t>Seller</w:t>
      </w:r>
      <w:r w:rsidRPr="00C461EC">
        <w:t xml:space="preserve"> herein provided for shall be deemed to have been done or given by the </w:t>
      </w:r>
      <w:r>
        <w:t>Seller</w:t>
      </w:r>
      <w:r w:rsidRPr="00C461EC">
        <w:t xml:space="preserve"> only in that capacity as </w:t>
      </w:r>
      <w:proofErr w:type="gramStart"/>
      <w:r w:rsidRPr="00C461EC">
        <w:t>land</w:t>
      </w:r>
      <w:r>
        <w:t>owner</w:t>
      </w:r>
      <w:proofErr w:type="gramEnd"/>
    </w:p>
    <w:p w14:paraId="2F7D0FD0" w14:textId="77777777" w:rsidR="00C461EC" w:rsidRPr="00C461EC" w:rsidRDefault="00C461EC" w:rsidP="00C461EC"/>
    <w:p w14:paraId="7B2DBAE2" w14:textId="77777777" w:rsidR="00C461EC" w:rsidRDefault="00C461EC" w:rsidP="00C461EC">
      <w:pPr>
        <w:pStyle w:val="Testimonium"/>
      </w:pPr>
      <w:r>
        <w:t>This document has been executed as a deed and is delivered and takes effect on the date stated at the beginning of it.</w:t>
      </w:r>
    </w:p>
    <w:p w14:paraId="6DE97354" w14:textId="45F6EE92" w:rsidR="00FE7F15" w:rsidRDefault="00FE7F15"/>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5844"/>
        <w:gridCol w:w="1758"/>
        <w:gridCol w:w="1758"/>
      </w:tblGrid>
      <w:tr w:rsidR="00FE7F15" w14:paraId="7CD05AF9" w14:textId="77777777" w:rsidTr="00CA37F5">
        <w:trPr>
          <w:trHeight w:val="2977"/>
        </w:trPr>
        <w:tc>
          <w:tcPr>
            <w:tcW w:w="3122" w:type="pct"/>
            <w:tcBorders>
              <w:top w:val="nil"/>
              <w:left w:val="nil"/>
              <w:bottom w:val="nil"/>
              <w:right w:val="nil"/>
            </w:tcBorders>
            <w:shd w:val="clear" w:color="auto" w:fill="auto"/>
          </w:tcPr>
          <w:p w14:paraId="77F5FE9B" w14:textId="77777777" w:rsidR="00CA37F5" w:rsidRPr="00C461EC" w:rsidRDefault="00CA37F5" w:rsidP="00C461EC">
            <w:pPr>
              <w:pStyle w:val="Testimonium"/>
              <w:rPr>
                <w:b/>
                <w:bCs/>
              </w:rPr>
            </w:pPr>
            <w:r w:rsidRPr="00C461EC">
              <w:t xml:space="preserve">The common seal of </w:t>
            </w:r>
            <w:r w:rsidRPr="00C461EC">
              <w:rPr>
                <w:b/>
                <w:bCs/>
              </w:rPr>
              <w:t xml:space="preserve">THE COUNCIL OF THE CITY OF COVENTRY </w:t>
            </w:r>
          </w:p>
          <w:p w14:paraId="3335664A" w14:textId="77777777" w:rsidR="00CA37F5" w:rsidRPr="00C461EC" w:rsidRDefault="00CA37F5" w:rsidP="00C461EC">
            <w:pPr>
              <w:pStyle w:val="Testimonium"/>
            </w:pPr>
          </w:p>
          <w:p w14:paraId="22A1E09A" w14:textId="77777777" w:rsidR="00CA37F5" w:rsidRPr="00C461EC" w:rsidRDefault="00CA37F5" w:rsidP="00C461EC">
            <w:pPr>
              <w:pStyle w:val="Testimonium"/>
            </w:pPr>
            <w:r w:rsidRPr="00C461EC">
              <w:t>was hereunto affixed in the presence of</w:t>
            </w:r>
          </w:p>
          <w:p w14:paraId="373244DE" w14:textId="77777777" w:rsidR="00CA37F5" w:rsidRPr="00C461EC" w:rsidRDefault="00CA37F5" w:rsidP="00C461EC">
            <w:pPr>
              <w:pStyle w:val="Testimonium"/>
            </w:pPr>
          </w:p>
          <w:p w14:paraId="1E88D915" w14:textId="77777777" w:rsidR="00CA37F5" w:rsidRPr="00C461EC" w:rsidRDefault="00CA37F5" w:rsidP="00C461EC">
            <w:pPr>
              <w:pStyle w:val="Testimonium"/>
            </w:pPr>
          </w:p>
          <w:p w14:paraId="02FCCBB5" w14:textId="77777777" w:rsidR="00CA37F5" w:rsidRPr="00C461EC" w:rsidRDefault="00CA37F5" w:rsidP="00C461EC">
            <w:pPr>
              <w:pStyle w:val="Testimonium"/>
            </w:pPr>
          </w:p>
          <w:p w14:paraId="371F8066" w14:textId="77777777" w:rsidR="00CA37F5" w:rsidRPr="00C461EC" w:rsidRDefault="00CA37F5" w:rsidP="00C461EC">
            <w:pPr>
              <w:pStyle w:val="Testimonium"/>
            </w:pPr>
          </w:p>
          <w:p w14:paraId="4E8D91E3" w14:textId="77777777" w:rsidR="00CA37F5" w:rsidRPr="00C461EC" w:rsidRDefault="00CA37F5" w:rsidP="00C461EC">
            <w:pPr>
              <w:pStyle w:val="Testimonium"/>
            </w:pPr>
          </w:p>
          <w:p w14:paraId="2822913A" w14:textId="77777777" w:rsidR="00CA37F5" w:rsidRPr="00C461EC" w:rsidRDefault="00CA37F5" w:rsidP="00C461EC">
            <w:pPr>
              <w:pStyle w:val="Testimonium"/>
            </w:pPr>
            <w:r w:rsidRPr="00C461EC">
              <w:t>……………..</w:t>
            </w:r>
          </w:p>
          <w:p w14:paraId="512A16CA" w14:textId="77777777" w:rsidR="00CA37F5" w:rsidRPr="00C461EC" w:rsidRDefault="00CA37F5" w:rsidP="00C461EC">
            <w:pPr>
              <w:pStyle w:val="Testimonium"/>
            </w:pPr>
          </w:p>
          <w:p w14:paraId="2FFA5F84" w14:textId="4997685C" w:rsidR="005859BE" w:rsidRDefault="005859BE" w:rsidP="00C461EC">
            <w:pPr>
              <w:pStyle w:val="Testimonium"/>
            </w:pPr>
          </w:p>
        </w:tc>
        <w:tc>
          <w:tcPr>
            <w:tcW w:w="939" w:type="pct"/>
            <w:tcBorders>
              <w:top w:val="nil"/>
              <w:left w:val="nil"/>
              <w:bottom w:val="nil"/>
              <w:right w:val="nil"/>
            </w:tcBorders>
            <w:shd w:val="clear" w:color="auto" w:fill="auto"/>
          </w:tcPr>
          <w:p w14:paraId="332F2A7D" w14:textId="77777777" w:rsidR="00FE7F15" w:rsidRDefault="00FE7F15" w:rsidP="00C461EC">
            <w:pPr>
              <w:pStyle w:val="Testimonium"/>
            </w:pPr>
          </w:p>
        </w:tc>
        <w:tc>
          <w:tcPr>
            <w:tcW w:w="939" w:type="pct"/>
            <w:tcBorders>
              <w:top w:val="nil"/>
              <w:left w:val="nil"/>
              <w:bottom w:val="nil"/>
              <w:right w:val="nil"/>
            </w:tcBorders>
            <w:shd w:val="clear" w:color="auto" w:fill="auto"/>
          </w:tcPr>
          <w:p w14:paraId="7B5EBEF3" w14:textId="0A9FFCA4" w:rsidR="005859BE" w:rsidRDefault="005859BE" w:rsidP="00C461EC">
            <w:pPr>
              <w:pStyle w:val="Testimonium"/>
            </w:pPr>
          </w:p>
        </w:tc>
      </w:tr>
      <w:tr w:rsidR="00FE7F15" w14:paraId="35D65F4C" w14:textId="77777777" w:rsidTr="00CA37F5">
        <w:tc>
          <w:tcPr>
            <w:tcW w:w="3122" w:type="pct"/>
            <w:tcBorders>
              <w:top w:val="nil"/>
              <w:left w:val="nil"/>
              <w:bottom w:val="nil"/>
              <w:right w:val="nil"/>
            </w:tcBorders>
            <w:shd w:val="clear" w:color="auto" w:fill="auto"/>
          </w:tcPr>
          <w:p w14:paraId="64F57BAD" w14:textId="508B6D35" w:rsidR="005859BE" w:rsidRDefault="005859BE" w:rsidP="00774914">
            <w:pPr>
              <w:pStyle w:val="Paragraph"/>
              <w:jc w:val="left"/>
            </w:pPr>
          </w:p>
        </w:tc>
        <w:tc>
          <w:tcPr>
            <w:tcW w:w="939" w:type="pct"/>
            <w:tcBorders>
              <w:top w:val="nil"/>
              <w:left w:val="nil"/>
              <w:bottom w:val="nil"/>
              <w:right w:val="nil"/>
            </w:tcBorders>
            <w:shd w:val="clear" w:color="auto" w:fill="auto"/>
          </w:tcPr>
          <w:p w14:paraId="3896971B" w14:textId="77777777" w:rsidR="00FE7F15" w:rsidRDefault="00FE7F15"/>
        </w:tc>
        <w:tc>
          <w:tcPr>
            <w:tcW w:w="939" w:type="pct"/>
            <w:tcBorders>
              <w:top w:val="nil"/>
              <w:left w:val="nil"/>
              <w:bottom w:val="nil"/>
              <w:right w:val="nil"/>
            </w:tcBorders>
            <w:shd w:val="clear" w:color="auto" w:fill="auto"/>
          </w:tcPr>
          <w:p w14:paraId="042FB8EF" w14:textId="77777777" w:rsidR="00FE7F15" w:rsidRDefault="00FE7F15"/>
        </w:tc>
      </w:tr>
      <w:tr w:rsidR="00FE7F15" w14:paraId="76BB69F4" w14:textId="77777777" w:rsidTr="00CA37F5">
        <w:trPr>
          <w:gridAfter w:val="2"/>
          <w:wAfter w:w="1878" w:type="pct"/>
        </w:trPr>
        <w:tc>
          <w:tcPr>
            <w:tcW w:w="3122" w:type="pct"/>
            <w:tcBorders>
              <w:top w:val="nil"/>
              <w:left w:val="nil"/>
              <w:bottom w:val="nil"/>
              <w:right w:val="nil"/>
            </w:tcBorders>
            <w:shd w:val="clear" w:color="auto" w:fill="auto"/>
          </w:tcPr>
          <w:p w14:paraId="7C12C278" w14:textId="0FE977A7" w:rsidR="005859BE" w:rsidRDefault="005859BE" w:rsidP="00774914">
            <w:pPr>
              <w:pStyle w:val="Paragraph"/>
              <w:jc w:val="left"/>
            </w:pPr>
          </w:p>
        </w:tc>
      </w:tr>
      <w:tr w:rsidR="00FE7F15" w14:paraId="3BD8A55B" w14:textId="77777777" w:rsidTr="00CA37F5">
        <w:tc>
          <w:tcPr>
            <w:tcW w:w="5000" w:type="pct"/>
            <w:gridSpan w:val="3"/>
            <w:tcBorders>
              <w:top w:val="nil"/>
              <w:left w:val="nil"/>
              <w:bottom w:val="nil"/>
              <w:right w:val="nil"/>
            </w:tcBorders>
            <w:shd w:val="clear" w:color="auto" w:fill="auto"/>
          </w:tcPr>
          <w:p w14:paraId="4A4E607E" w14:textId="77777777" w:rsidR="00FE7F15" w:rsidRDefault="00FE7F15"/>
        </w:tc>
      </w:tr>
      <w:tr w:rsidR="00FE7F15" w14:paraId="3E871767" w14:textId="77777777" w:rsidTr="00CA37F5">
        <w:tc>
          <w:tcPr>
            <w:tcW w:w="3122" w:type="pct"/>
            <w:tcBorders>
              <w:top w:val="nil"/>
              <w:left w:val="nil"/>
              <w:bottom w:val="nil"/>
              <w:right w:val="nil"/>
            </w:tcBorders>
            <w:shd w:val="clear" w:color="auto" w:fill="auto"/>
          </w:tcPr>
          <w:p w14:paraId="014C56E6" w14:textId="550BFFEB" w:rsidR="005859BE" w:rsidRDefault="005859BE" w:rsidP="00774914">
            <w:pPr>
              <w:pStyle w:val="Paragraph"/>
              <w:jc w:val="left"/>
            </w:pPr>
          </w:p>
        </w:tc>
        <w:tc>
          <w:tcPr>
            <w:tcW w:w="939" w:type="pct"/>
            <w:tcBorders>
              <w:top w:val="nil"/>
              <w:left w:val="nil"/>
              <w:bottom w:val="nil"/>
              <w:right w:val="nil"/>
            </w:tcBorders>
            <w:shd w:val="clear" w:color="auto" w:fill="auto"/>
          </w:tcPr>
          <w:p w14:paraId="68AE69ED" w14:textId="77777777" w:rsidR="00FE7F15" w:rsidRDefault="00FE7F15"/>
        </w:tc>
        <w:tc>
          <w:tcPr>
            <w:tcW w:w="939" w:type="pct"/>
            <w:tcBorders>
              <w:top w:val="nil"/>
              <w:left w:val="nil"/>
              <w:bottom w:val="nil"/>
              <w:right w:val="nil"/>
            </w:tcBorders>
            <w:shd w:val="clear" w:color="auto" w:fill="auto"/>
          </w:tcPr>
          <w:p w14:paraId="7A94EE4E" w14:textId="5A2B9550" w:rsidR="005859BE" w:rsidRDefault="005859BE" w:rsidP="00774914">
            <w:pPr>
              <w:pStyle w:val="Paragraph"/>
              <w:jc w:val="left"/>
            </w:pPr>
          </w:p>
        </w:tc>
      </w:tr>
      <w:tr w:rsidR="00FE7F15" w14:paraId="3E0E8F6E" w14:textId="77777777" w:rsidTr="00CA37F5">
        <w:tc>
          <w:tcPr>
            <w:tcW w:w="3122" w:type="pct"/>
            <w:tcBorders>
              <w:top w:val="nil"/>
              <w:left w:val="nil"/>
              <w:bottom w:val="nil"/>
              <w:right w:val="nil"/>
            </w:tcBorders>
            <w:shd w:val="clear" w:color="auto" w:fill="auto"/>
          </w:tcPr>
          <w:p w14:paraId="34B9ED3A" w14:textId="4865BCC0" w:rsidR="005859BE" w:rsidRDefault="005859BE" w:rsidP="00774914">
            <w:pPr>
              <w:pStyle w:val="Paragraph"/>
              <w:jc w:val="left"/>
            </w:pPr>
          </w:p>
        </w:tc>
        <w:tc>
          <w:tcPr>
            <w:tcW w:w="939" w:type="pct"/>
            <w:tcBorders>
              <w:top w:val="nil"/>
              <w:left w:val="nil"/>
              <w:bottom w:val="nil"/>
              <w:right w:val="nil"/>
            </w:tcBorders>
            <w:shd w:val="clear" w:color="auto" w:fill="auto"/>
          </w:tcPr>
          <w:p w14:paraId="5BCEAB07" w14:textId="77777777" w:rsidR="00FE7F15" w:rsidRDefault="00FE7F15"/>
        </w:tc>
        <w:tc>
          <w:tcPr>
            <w:tcW w:w="939" w:type="pct"/>
            <w:tcBorders>
              <w:top w:val="nil"/>
              <w:left w:val="nil"/>
              <w:bottom w:val="nil"/>
              <w:right w:val="nil"/>
            </w:tcBorders>
            <w:shd w:val="clear" w:color="auto" w:fill="auto"/>
          </w:tcPr>
          <w:p w14:paraId="22840708" w14:textId="77777777" w:rsidR="00FE7F15" w:rsidRDefault="00FE7F15"/>
        </w:tc>
      </w:tr>
      <w:tr w:rsidR="00FE7F15" w14:paraId="774ACAF9" w14:textId="77777777" w:rsidTr="00CA37F5">
        <w:trPr>
          <w:gridAfter w:val="2"/>
          <w:wAfter w:w="1878" w:type="pct"/>
        </w:trPr>
        <w:tc>
          <w:tcPr>
            <w:tcW w:w="3122" w:type="pct"/>
            <w:tcBorders>
              <w:top w:val="nil"/>
              <w:left w:val="nil"/>
              <w:bottom w:val="nil"/>
              <w:right w:val="nil"/>
            </w:tcBorders>
            <w:shd w:val="clear" w:color="auto" w:fill="auto"/>
          </w:tcPr>
          <w:p w14:paraId="4FA13A6A" w14:textId="0206FE8D" w:rsidR="005859BE" w:rsidRDefault="005859BE" w:rsidP="00774914">
            <w:pPr>
              <w:pStyle w:val="Paragraph"/>
              <w:jc w:val="left"/>
            </w:pPr>
          </w:p>
        </w:tc>
      </w:tr>
      <w:tr w:rsidR="00FE7F15" w14:paraId="245EA8DD" w14:textId="77777777" w:rsidTr="00CA37F5">
        <w:tc>
          <w:tcPr>
            <w:tcW w:w="3122" w:type="pct"/>
            <w:tcBorders>
              <w:top w:val="nil"/>
              <w:left w:val="nil"/>
              <w:bottom w:val="nil"/>
              <w:right w:val="nil"/>
            </w:tcBorders>
            <w:shd w:val="clear" w:color="auto" w:fill="auto"/>
          </w:tcPr>
          <w:p w14:paraId="08EEA8C0" w14:textId="3D71A7C6" w:rsidR="005859BE" w:rsidRDefault="005859BE" w:rsidP="00774914">
            <w:pPr>
              <w:pStyle w:val="Paragraph"/>
              <w:jc w:val="left"/>
            </w:pPr>
          </w:p>
        </w:tc>
        <w:tc>
          <w:tcPr>
            <w:tcW w:w="939" w:type="pct"/>
            <w:tcBorders>
              <w:top w:val="nil"/>
              <w:left w:val="nil"/>
              <w:bottom w:val="nil"/>
              <w:right w:val="nil"/>
            </w:tcBorders>
            <w:shd w:val="clear" w:color="auto" w:fill="auto"/>
          </w:tcPr>
          <w:p w14:paraId="46CC9216" w14:textId="77777777" w:rsidR="00FE7F15" w:rsidRDefault="00FE7F15"/>
        </w:tc>
        <w:tc>
          <w:tcPr>
            <w:tcW w:w="939" w:type="pct"/>
            <w:tcBorders>
              <w:top w:val="nil"/>
              <w:left w:val="nil"/>
              <w:bottom w:val="nil"/>
              <w:right w:val="nil"/>
            </w:tcBorders>
            <w:shd w:val="clear" w:color="auto" w:fill="auto"/>
          </w:tcPr>
          <w:p w14:paraId="4729A9AA" w14:textId="616010CE" w:rsidR="005859BE" w:rsidRDefault="005859BE" w:rsidP="00774914">
            <w:pPr>
              <w:pStyle w:val="Paragraph"/>
              <w:jc w:val="left"/>
            </w:pPr>
          </w:p>
        </w:tc>
      </w:tr>
      <w:tr w:rsidR="00FE7F15" w14:paraId="13E094F7" w14:textId="77777777" w:rsidTr="00CA37F5">
        <w:trPr>
          <w:gridAfter w:val="2"/>
          <w:wAfter w:w="1878" w:type="pct"/>
        </w:trPr>
        <w:tc>
          <w:tcPr>
            <w:tcW w:w="3122" w:type="pct"/>
            <w:tcBorders>
              <w:top w:val="nil"/>
              <w:left w:val="nil"/>
              <w:bottom w:val="nil"/>
              <w:right w:val="nil"/>
            </w:tcBorders>
            <w:shd w:val="clear" w:color="auto" w:fill="auto"/>
          </w:tcPr>
          <w:p w14:paraId="5E80F269" w14:textId="77777777" w:rsidR="005859BE" w:rsidRDefault="005859BE" w:rsidP="00774914">
            <w:pPr>
              <w:pStyle w:val="Paragraph"/>
              <w:jc w:val="left"/>
            </w:pPr>
            <w:r>
              <w:t>OR</w:t>
            </w:r>
          </w:p>
        </w:tc>
      </w:tr>
      <w:tr w:rsidR="00FE7F15" w14:paraId="1EFD56EC" w14:textId="77777777" w:rsidTr="00CA37F5">
        <w:tc>
          <w:tcPr>
            <w:tcW w:w="3122" w:type="pct"/>
            <w:tcBorders>
              <w:top w:val="nil"/>
              <w:left w:val="nil"/>
              <w:bottom w:val="nil"/>
              <w:right w:val="nil"/>
            </w:tcBorders>
            <w:shd w:val="clear" w:color="auto" w:fill="auto"/>
          </w:tcPr>
          <w:p w14:paraId="29BF9402" w14:textId="77777777" w:rsidR="005859BE" w:rsidRDefault="005859BE" w:rsidP="00774914">
            <w:pPr>
              <w:pStyle w:val="Paragraph"/>
              <w:jc w:val="left"/>
            </w:pPr>
            <w:r>
              <w:t>Executed as a deed by [NAME OF BUYER]</w:t>
            </w:r>
          </w:p>
          <w:p w14:paraId="359DE71F" w14:textId="77777777" w:rsidR="005859BE" w:rsidRDefault="005859BE" w:rsidP="00774914">
            <w:pPr>
              <w:pStyle w:val="Paragraph"/>
              <w:jc w:val="left"/>
            </w:pPr>
            <w:r>
              <w:t xml:space="preserve">                acting by [NAME OF DIRECTOR] a director, in the presence of:</w:t>
            </w:r>
          </w:p>
          <w:p w14:paraId="05B8544D" w14:textId="77777777" w:rsidR="005859BE" w:rsidRDefault="005859BE" w:rsidP="00774914">
            <w:pPr>
              <w:pStyle w:val="Paragraph"/>
              <w:jc w:val="left"/>
            </w:pPr>
            <w:r>
              <w:t>....................</w:t>
            </w:r>
          </w:p>
          <w:p w14:paraId="0B86BEC1" w14:textId="77777777" w:rsidR="005859BE" w:rsidRDefault="005859BE" w:rsidP="00774914">
            <w:pPr>
              <w:pStyle w:val="Paragraph"/>
              <w:jc w:val="left"/>
            </w:pPr>
            <w:r>
              <w:t>[SIGNATURE OF WITNESS]</w:t>
            </w:r>
          </w:p>
          <w:p w14:paraId="4B50AF1B" w14:textId="77777777" w:rsidR="005859BE" w:rsidRDefault="005859BE" w:rsidP="00774914">
            <w:pPr>
              <w:pStyle w:val="Paragraph"/>
              <w:jc w:val="left"/>
            </w:pPr>
            <w:r>
              <w:t>[NAME, ADDRESS [AND OCCUPATION] OF WITNESS]</w:t>
            </w:r>
          </w:p>
        </w:tc>
        <w:tc>
          <w:tcPr>
            <w:tcW w:w="939" w:type="pct"/>
            <w:tcBorders>
              <w:top w:val="nil"/>
              <w:left w:val="nil"/>
              <w:bottom w:val="nil"/>
              <w:right w:val="nil"/>
            </w:tcBorders>
            <w:shd w:val="clear" w:color="auto" w:fill="auto"/>
          </w:tcPr>
          <w:p w14:paraId="715A731A" w14:textId="77777777" w:rsidR="00FE7F15" w:rsidRDefault="00FE7F15"/>
        </w:tc>
        <w:tc>
          <w:tcPr>
            <w:tcW w:w="939" w:type="pct"/>
            <w:tcBorders>
              <w:top w:val="nil"/>
              <w:left w:val="nil"/>
              <w:bottom w:val="nil"/>
              <w:right w:val="nil"/>
            </w:tcBorders>
            <w:shd w:val="clear" w:color="auto" w:fill="auto"/>
          </w:tcPr>
          <w:p w14:paraId="35FE938C" w14:textId="77777777" w:rsidR="005859BE" w:rsidRDefault="005859BE" w:rsidP="00774914">
            <w:pPr>
              <w:pStyle w:val="Paragraph"/>
              <w:jc w:val="left"/>
            </w:pPr>
            <w:r>
              <w:t>....................</w:t>
            </w:r>
          </w:p>
          <w:p w14:paraId="026F394E" w14:textId="77777777" w:rsidR="005859BE" w:rsidRDefault="005859BE" w:rsidP="00774914">
            <w:pPr>
              <w:pStyle w:val="Paragraph"/>
              <w:jc w:val="left"/>
            </w:pPr>
            <w:r>
              <w:t>[SIGNATURE OF DIRECTOR]</w:t>
            </w:r>
          </w:p>
          <w:p w14:paraId="7FF617D6" w14:textId="77777777" w:rsidR="005859BE" w:rsidRDefault="005859BE" w:rsidP="00774914">
            <w:pPr>
              <w:pStyle w:val="Paragraph"/>
              <w:jc w:val="left"/>
            </w:pPr>
            <w:r>
              <w:t>Director</w:t>
            </w:r>
          </w:p>
        </w:tc>
      </w:tr>
      <w:tr w:rsidR="00FE7F15" w14:paraId="25609D53" w14:textId="77777777" w:rsidTr="00CA37F5">
        <w:trPr>
          <w:gridAfter w:val="2"/>
          <w:wAfter w:w="1878" w:type="pct"/>
        </w:trPr>
        <w:tc>
          <w:tcPr>
            <w:tcW w:w="3122" w:type="pct"/>
            <w:tcBorders>
              <w:top w:val="nil"/>
              <w:left w:val="nil"/>
              <w:bottom w:val="nil"/>
              <w:right w:val="nil"/>
            </w:tcBorders>
            <w:shd w:val="clear" w:color="auto" w:fill="auto"/>
          </w:tcPr>
          <w:p w14:paraId="77FC4E9C" w14:textId="77777777" w:rsidR="00FE7F15" w:rsidRDefault="00FE7F15"/>
        </w:tc>
      </w:tr>
    </w:tbl>
    <w:p w14:paraId="5275CC9D" w14:textId="77777777" w:rsidR="00FE7F15" w:rsidRDefault="00FE7F15"/>
    <w:sectPr w:rsidR="00FE7F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5D8EA" w14:textId="77777777" w:rsidR="000C43EF" w:rsidRDefault="000C43EF">
      <w:pPr>
        <w:spacing w:after="0" w:line="240" w:lineRule="auto"/>
      </w:pPr>
      <w:r>
        <w:separator/>
      </w:r>
    </w:p>
  </w:endnote>
  <w:endnote w:type="continuationSeparator" w:id="0">
    <w:p w14:paraId="7D973C15" w14:textId="77777777" w:rsidR="000C43EF" w:rsidRDefault="000C4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F9153" w14:textId="77777777" w:rsidR="00384C90" w:rsidRDefault="00384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ABC6" w14:textId="77777777" w:rsidR="00384C90" w:rsidRDefault="00384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EB8F" w14:textId="77777777" w:rsidR="00384C90" w:rsidRDefault="00384C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10757" w14:textId="77777777" w:rsidR="00FE7F15" w:rsidRDefault="005859BE">
    <w:pPr>
      <w:jc w:val="center"/>
    </w:pPr>
    <w:r>
      <w:fldChar w:fldCharType="begin"/>
    </w:r>
    <w:r>
      <w:instrText>PAGE</w:instrText>
    </w:r>
    <w:r>
      <w:fldChar w:fldCharType="separate"/>
    </w:r>
    <w: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EBBC9" w14:textId="77777777" w:rsidR="000C43EF" w:rsidRDefault="000C43EF">
      <w:pPr>
        <w:spacing w:after="0" w:line="240" w:lineRule="auto"/>
      </w:pPr>
      <w:r>
        <w:separator/>
      </w:r>
    </w:p>
  </w:footnote>
  <w:footnote w:type="continuationSeparator" w:id="0">
    <w:p w14:paraId="714FB4CC" w14:textId="77777777" w:rsidR="000C43EF" w:rsidRDefault="000C4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1632" w14:textId="77777777" w:rsidR="00384C90" w:rsidRDefault="00384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680949"/>
      <w:docPartObj>
        <w:docPartGallery w:val="Watermarks"/>
        <w:docPartUnique/>
      </w:docPartObj>
    </w:sdtPr>
    <w:sdtEndPr/>
    <w:sdtContent>
      <w:p w14:paraId="641DF8FE" w14:textId="6B4658DD" w:rsidR="00384C90" w:rsidRDefault="00910111">
        <w:pPr>
          <w:pStyle w:val="Header"/>
        </w:pPr>
        <w:r>
          <w:rPr>
            <w:noProof/>
          </w:rPr>
          <w:pict w14:anchorId="208A9F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5E32" w14:textId="77777777" w:rsidR="00384C90" w:rsidRDefault="00384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B5180EFC">
      <w:start w:val="1"/>
      <w:numFmt w:val="bullet"/>
      <w:pStyle w:val="DefinedTermBullet"/>
      <w:lvlText w:val=""/>
      <w:lvlJc w:val="left"/>
      <w:pPr>
        <w:ind w:left="1440" w:hanging="360"/>
      </w:pPr>
      <w:rPr>
        <w:rFonts w:ascii="Symbol" w:hAnsi="Symbol" w:hint="default"/>
        <w:color w:val="000000"/>
      </w:rPr>
    </w:lvl>
    <w:lvl w:ilvl="1" w:tplc="3AE4ABA4" w:tentative="1">
      <w:start w:val="1"/>
      <w:numFmt w:val="bullet"/>
      <w:lvlText w:val="o"/>
      <w:lvlJc w:val="left"/>
      <w:pPr>
        <w:ind w:left="2160" w:hanging="360"/>
      </w:pPr>
      <w:rPr>
        <w:rFonts w:ascii="Courier New" w:hAnsi="Courier New" w:cs="Courier New" w:hint="default"/>
      </w:rPr>
    </w:lvl>
    <w:lvl w:ilvl="2" w:tplc="44F833C8" w:tentative="1">
      <w:start w:val="1"/>
      <w:numFmt w:val="bullet"/>
      <w:lvlText w:val=""/>
      <w:lvlJc w:val="left"/>
      <w:pPr>
        <w:ind w:left="2880" w:hanging="360"/>
      </w:pPr>
      <w:rPr>
        <w:rFonts w:ascii="Wingdings" w:hAnsi="Wingdings" w:hint="default"/>
      </w:rPr>
    </w:lvl>
    <w:lvl w:ilvl="3" w:tplc="ECF40C9C" w:tentative="1">
      <w:start w:val="1"/>
      <w:numFmt w:val="bullet"/>
      <w:lvlText w:val=""/>
      <w:lvlJc w:val="left"/>
      <w:pPr>
        <w:ind w:left="3600" w:hanging="360"/>
      </w:pPr>
      <w:rPr>
        <w:rFonts w:ascii="Symbol" w:hAnsi="Symbol" w:hint="default"/>
      </w:rPr>
    </w:lvl>
    <w:lvl w:ilvl="4" w:tplc="FACAA718" w:tentative="1">
      <w:start w:val="1"/>
      <w:numFmt w:val="bullet"/>
      <w:lvlText w:val="o"/>
      <w:lvlJc w:val="left"/>
      <w:pPr>
        <w:ind w:left="4320" w:hanging="360"/>
      </w:pPr>
      <w:rPr>
        <w:rFonts w:ascii="Courier New" w:hAnsi="Courier New" w:cs="Courier New" w:hint="default"/>
      </w:rPr>
    </w:lvl>
    <w:lvl w:ilvl="5" w:tplc="D7DA6C0E" w:tentative="1">
      <w:start w:val="1"/>
      <w:numFmt w:val="bullet"/>
      <w:lvlText w:val=""/>
      <w:lvlJc w:val="left"/>
      <w:pPr>
        <w:ind w:left="5040" w:hanging="360"/>
      </w:pPr>
      <w:rPr>
        <w:rFonts w:ascii="Wingdings" w:hAnsi="Wingdings" w:hint="default"/>
      </w:rPr>
    </w:lvl>
    <w:lvl w:ilvl="6" w:tplc="D95E76EA" w:tentative="1">
      <w:start w:val="1"/>
      <w:numFmt w:val="bullet"/>
      <w:lvlText w:val=""/>
      <w:lvlJc w:val="left"/>
      <w:pPr>
        <w:ind w:left="5760" w:hanging="360"/>
      </w:pPr>
      <w:rPr>
        <w:rFonts w:ascii="Symbol" w:hAnsi="Symbol" w:hint="default"/>
      </w:rPr>
    </w:lvl>
    <w:lvl w:ilvl="7" w:tplc="7D605F1E" w:tentative="1">
      <w:start w:val="1"/>
      <w:numFmt w:val="bullet"/>
      <w:lvlText w:val="o"/>
      <w:lvlJc w:val="left"/>
      <w:pPr>
        <w:ind w:left="6480" w:hanging="360"/>
      </w:pPr>
      <w:rPr>
        <w:rFonts w:ascii="Courier New" w:hAnsi="Courier New" w:cs="Courier New" w:hint="default"/>
      </w:rPr>
    </w:lvl>
    <w:lvl w:ilvl="8" w:tplc="95C88E0C" w:tentative="1">
      <w:start w:val="1"/>
      <w:numFmt w:val="bullet"/>
      <w:lvlText w:val=""/>
      <w:lvlJc w:val="left"/>
      <w:pPr>
        <w:ind w:left="7200" w:hanging="360"/>
      </w:pPr>
      <w:rPr>
        <w:rFonts w:ascii="Wingdings" w:hAnsi="Wingdings" w:hint="default"/>
      </w:rPr>
    </w:lvl>
  </w:abstractNum>
  <w:abstractNum w:abstractNumId="2" w15:restartNumberingAfterBreak="0">
    <w:nsid w:val="11466A1A"/>
    <w:multiLevelType w:val="multilevel"/>
    <w:tmpl w:val="FB1E674A"/>
    <w:lvl w:ilvl="0">
      <w:start w:val="1"/>
      <w:numFmt w:val="none"/>
      <w:lvlText w:val=""/>
      <w:lvlJc w:val="left"/>
      <w:pPr>
        <w:ind w:left="0" w:firstLine="0"/>
      </w:pPr>
      <w:rPr>
        <w:rFonts w:hint="default"/>
      </w:rPr>
    </w:lvl>
    <w:lvl w:ilvl="1">
      <w:start w:val="1"/>
      <w:numFmt w:val="decimal"/>
      <w:pStyle w:val="CCSch1TOC"/>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hint="default"/>
      </w:rPr>
    </w:lvl>
    <w:lvl w:ilvl="4">
      <w:start w:val="1"/>
      <w:numFmt w:val="decimal"/>
      <w:lvlText w:val="%2.%3.%4.%5."/>
      <w:lvlJc w:val="left"/>
      <w:pPr>
        <w:ind w:left="851" w:hanging="851"/>
      </w:pPr>
      <w:rPr>
        <w:rFonts w:hint="default"/>
      </w:rPr>
    </w:lvl>
    <w:lvl w:ilvl="5">
      <w:start w:val="1"/>
      <w:numFmt w:val="lowerLetter"/>
      <w:lvlText w:val="%6)"/>
      <w:lvlJc w:val="left"/>
      <w:pPr>
        <w:ind w:left="1276" w:hanging="425"/>
      </w:pPr>
      <w:rPr>
        <w:rFonts w:hint="default"/>
      </w:rPr>
    </w:lvl>
    <w:lvl w:ilvl="6">
      <w:start w:val="1"/>
      <w:numFmt w:val="lowerRoman"/>
      <w:lvlText w:val="%7)"/>
      <w:lvlJc w:val="left"/>
      <w:pPr>
        <w:ind w:left="1701" w:hanging="42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E82F3A"/>
    <w:multiLevelType w:val="hybridMultilevel"/>
    <w:tmpl w:val="1DF80854"/>
    <w:lvl w:ilvl="0" w:tplc="671050B0">
      <w:start w:val="1"/>
      <w:numFmt w:val="decimal"/>
      <w:pStyle w:val="ScheduleHeading-Single"/>
      <w:lvlText w:val="Schedule"/>
      <w:lvlJc w:val="left"/>
      <w:pPr>
        <w:tabs>
          <w:tab w:val="num" w:pos="720"/>
        </w:tabs>
        <w:ind w:left="720" w:hanging="720"/>
      </w:pPr>
      <w:rPr>
        <w:color w:val="000000"/>
      </w:rPr>
    </w:lvl>
    <w:lvl w:ilvl="1" w:tplc="C5B0667C" w:tentative="1">
      <w:start w:val="1"/>
      <w:numFmt w:val="lowerLetter"/>
      <w:lvlText w:val="%2."/>
      <w:lvlJc w:val="left"/>
      <w:pPr>
        <w:tabs>
          <w:tab w:val="num" w:pos="1440"/>
        </w:tabs>
        <w:ind w:left="1440" w:hanging="360"/>
      </w:pPr>
    </w:lvl>
    <w:lvl w:ilvl="2" w:tplc="3D264EB0" w:tentative="1">
      <w:start w:val="1"/>
      <w:numFmt w:val="lowerRoman"/>
      <w:lvlText w:val="%3."/>
      <w:lvlJc w:val="right"/>
      <w:pPr>
        <w:tabs>
          <w:tab w:val="num" w:pos="2160"/>
        </w:tabs>
        <w:ind w:left="2160" w:hanging="180"/>
      </w:pPr>
    </w:lvl>
    <w:lvl w:ilvl="3" w:tplc="07802ED2" w:tentative="1">
      <w:start w:val="1"/>
      <w:numFmt w:val="decimal"/>
      <w:lvlText w:val="%4."/>
      <w:lvlJc w:val="left"/>
      <w:pPr>
        <w:tabs>
          <w:tab w:val="num" w:pos="2880"/>
        </w:tabs>
        <w:ind w:left="2880" w:hanging="360"/>
      </w:pPr>
    </w:lvl>
    <w:lvl w:ilvl="4" w:tplc="ACAA7742" w:tentative="1">
      <w:start w:val="1"/>
      <w:numFmt w:val="lowerLetter"/>
      <w:lvlText w:val="%5."/>
      <w:lvlJc w:val="left"/>
      <w:pPr>
        <w:tabs>
          <w:tab w:val="num" w:pos="3600"/>
        </w:tabs>
        <w:ind w:left="3600" w:hanging="360"/>
      </w:pPr>
    </w:lvl>
    <w:lvl w:ilvl="5" w:tplc="AA26260E" w:tentative="1">
      <w:start w:val="1"/>
      <w:numFmt w:val="lowerRoman"/>
      <w:lvlText w:val="%6."/>
      <w:lvlJc w:val="right"/>
      <w:pPr>
        <w:tabs>
          <w:tab w:val="num" w:pos="4320"/>
        </w:tabs>
        <w:ind w:left="4320" w:hanging="180"/>
      </w:pPr>
    </w:lvl>
    <w:lvl w:ilvl="6" w:tplc="49D61EB0" w:tentative="1">
      <w:start w:val="1"/>
      <w:numFmt w:val="decimal"/>
      <w:lvlText w:val="%7."/>
      <w:lvlJc w:val="left"/>
      <w:pPr>
        <w:tabs>
          <w:tab w:val="num" w:pos="5040"/>
        </w:tabs>
        <w:ind w:left="5040" w:hanging="360"/>
      </w:pPr>
    </w:lvl>
    <w:lvl w:ilvl="7" w:tplc="A8CC22FE" w:tentative="1">
      <w:start w:val="1"/>
      <w:numFmt w:val="lowerLetter"/>
      <w:lvlText w:val="%8."/>
      <w:lvlJc w:val="left"/>
      <w:pPr>
        <w:tabs>
          <w:tab w:val="num" w:pos="5760"/>
        </w:tabs>
        <w:ind w:left="5760" w:hanging="360"/>
      </w:pPr>
    </w:lvl>
    <w:lvl w:ilvl="8" w:tplc="ABC2D79A" w:tentative="1">
      <w:start w:val="1"/>
      <w:numFmt w:val="lowerRoman"/>
      <w:lvlText w:val="%9."/>
      <w:lvlJc w:val="right"/>
      <w:pPr>
        <w:tabs>
          <w:tab w:val="num" w:pos="6480"/>
        </w:tabs>
        <w:ind w:left="6480" w:hanging="180"/>
      </w:pPr>
    </w:lvl>
  </w:abstractNum>
  <w:abstractNum w:abstractNumId="5" w15:restartNumberingAfterBreak="0">
    <w:nsid w:val="25B00E4C"/>
    <w:multiLevelType w:val="hybridMultilevel"/>
    <w:tmpl w:val="97C4AA26"/>
    <w:lvl w:ilvl="0" w:tplc="935CCC06">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BAA272A2" w:tentative="1">
      <w:start w:val="1"/>
      <w:numFmt w:val="lowerLetter"/>
      <w:lvlText w:val="%2."/>
      <w:lvlJc w:val="left"/>
      <w:pPr>
        <w:ind w:left="1440" w:hanging="360"/>
      </w:pPr>
    </w:lvl>
    <w:lvl w:ilvl="2" w:tplc="0E5C28DE" w:tentative="1">
      <w:start w:val="1"/>
      <w:numFmt w:val="lowerRoman"/>
      <w:lvlText w:val="%3."/>
      <w:lvlJc w:val="right"/>
      <w:pPr>
        <w:ind w:left="2160" w:hanging="180"/>
      </w:pPr>
    </w:lvl>
    <w:lvl w:ilvl="3" w:tplc="2014065C" w:tentative="1">
      <w:start w:val="1"/>
      <w:numFmt w:val="decimal"/>
      <w:lvlText w:val="%4."/>
      <w:lvlJc w:val="left"/>
      <w:pPr>
        <w:ind w:left="2880" w:hanging="360"/>
      </w:pPr>
    </w:lvl>
    <w:lvl w:ilvl="4" w:tplc="7A2EC6B2" w:tentative="1">
      <w:start w:val="1"/>
      <w:numFmt w:val="lowerLetter"/>
      <w:lvlText w:val="%5."/>
      <w:lvlJc w:val="left"/>
      <w:pPr>
        <w:ind w:left="3600" w:hanging="360"/>
      </w:pPr>
    </w:lvl>
    <w:lvl w:ilvl="5" w:tplc="570012D8" w:tentative="1">
      <w:start w:val="1"/>
      <w:numFmt w:val="lowerRoman"/>
      <w:lvlText w:val="%6."/>
      <w:lvlJc w:val="right"/>
      <w:pPr>
        <w:ind w:left="4320" w:hanging="180"/>
      </w:pPr>
    </w:lvl>
    <w:lvl w:ilvl="6" w:tplc="24E4B5C0" w:tentative="1">
      <w:start w:val="1"/>
      <w:numFmt w:val="decimal"/>
      <w:lvlText w:val="%7."/>
      <w:lvlJc w:val="left"/>
      <w:pPr>
        <w:ind w:left="5040" w:hanging="360"/>
      </w:pPr>
    </w:lvl>
    <w:lvl w:ilvl="7" w:tplc="35A2F2B4" w:tentative="1">
      <w:start w:val="1"/>
      <w:numFmt w:val="lowerLetter"/>
      <w:lvlText w:val="%8."/>
      <w:lvlJc w:val="left"/>
      <w:pPr>
        <w:ind w:left="5760" w:hanging="360"/>
      </w:pPr>
    </w:lvl>
    <w:lvl w:ilvl="8" w:tplc="692AF500" w:tentative="1">
      <w:start w:val="1"/>
      <w:numFmt w:val="lowerRoman"/>
      <w:lvlText w:val="%9."/>
      <w:lvlJc w:val="right"/>
      <w:pPr>
        <w:ind w:left="6480" w:hanging="180"/>
      </w:pPr>
    </w:lvl>
  </w:abstractNum>
  <w:abstractNum w:abstractNumId="6" w15:restartNumberingAfterBreak="0">
    <w:nsid w:val="29C94F29"/>
    <w:multiLevelType w:val="hybridMultilevel"/>
    <w:tmpl w:val="4CBC2A34"/>
    <w:lvl w:ilvl="0" w:tplc="E2044F02">
      <w:start w:val="1"/>
      <w:numFmt w:val="decimal"/>
      <w:pStyle w:val="QuestionParagraph"/>
      <w:lvlText w:val="%1."/>
      <w:lvlJc w:val="left"/>
      <w:pPr>
        <w:ind w:left="720" w:hanging="360"/>
      </w:pPr>
      <w:rPr>
        <w:color w:val="000000"/>
      </w:rPr>
    </w:lvl>
    <w:lvl w:ilvl="1" w:tplc="6CC4FF7C" w:tentative="1">
      <w:start w:val="1"/>
      <w:numFmt w:val="lowerLetter"/>
      <w:lvlText w:val="%2."/>
      <w:lvlJc w:val="left"/>
      <w:pPr>
        <w:ind w:left="1440" w:hanging="360"/>
      </w:pPr>
    </w:lvl>
    <w:lvl w:ilvl="2" w:tplc="FDFAEDAE" w:tentative="1">
      <w:start w:val="1"/>
      <w:numFmt w:val="lowerRoman"/>
      <w:lvlText w:val="%3."/>
      <w:lvlJc w:val="right"/>
      <w:pPr>
        <w:ind w:left="2160" w:hanging="180"/>
      </w:pPr>
    </w:lvl>
    <w:lvl w:ilvl="3" w:tplc="C73497CC" w:tentative="1">
      <w:start w:val="1"/>
      <w:numFmt w:val="decimal"/>
      <w:lvlText w:val="%4."/>
      <w:lvlJc w:val="left"/>
      <w:pPr>
        <w:ind w:left="2880" w:hanging="360"/>
      </w:pPr>
    </w:lvl>
    <w:lvl w:ilvl="4" w:tplc="D5687202" w:tentative="1">
      <w:start w:val="1"/>
      <w:numFmt w:val="lowerLetter"/>
      <w:lvlText w:val="%5."/>
      <w:lvlJc w:val="left"/>
      <w:pPr>
        <w:ind w:left="3600" w:hanging="360"/>
      </w:pPr>
    </w:lvl>
    <w:lvl w:ilvl="5" w:tplc="32DC9F6E" w:tentative="1">
      <w:start w:val="1"/>
      <w:numFmt w:val="lowerRoman"/>
      <w:lvlText w:val="%6."/>
      <w:lvlJc w:val="right"/>
      <w:pPr>
        <w:ind w:left="4320" w:hanging="180"/>
      </w:pPr>
    </w:lvl>
    <w:lvl w:ilvl="6" w:tplc="D9842038" w:tentative="1">
      <w:start w:val="1"/>
      <w:numFmt w:val="decimal"/>
      <w:lvlText w:val="%7."/>
      <w:lvlJc w:val="left"/>
      <w:pPr>
        <w:ind w:left="5040" w:hanging="360"/>
      </w:pPr>
    </w:lvl>
    <w:lvl w:ilvl="7" w:tplc="7FCEA31C" w:tentative="1">
      <w:start w:val="1"/>
      <w:numFmt w:val="lowerLetter"/>
      <w:lvlText w:val="%8."/>
      <w:lvlJc w:val="left"/>
      <w:pPr>
        <w:ind w:left="5760" w:hanging="360"/>
      </w:pPr>
    </w:lvl>
    <w:lvl w:ilvl="8" w:tplc="04323C80" w:tentative="1">
      <w:start w:val="1"/>
      <w:numFmt w:val="lowerRoman"/>
      <w:lvlText w:val="%9."/>
      <w:lvlJc w:val="right"/>
      <w:pPr>
        <w:ind w:left="6480" w:hanging="180"/>
      </w:pPr>
    </w:lvl>
  </w:abstractNum>
  <w:abstractNum w:abstractNumId="7" w15:restartNumberingAfterBreak="0">
    <w:nsid w:val="310416CA"/>
    <w:multiLevelType w:val="hybridMultilevel"/>
    <w:tmpl w:val="072EDEC8"/>
    <w:lvl w:ilvl="0" w:tplc="EC2624A2">
      <w:start w:val="1"/>
      <w:numFmt w:val="bullet"/>
      <w:pStyle w:val="subclause2Bullet2"/>
      <w:lvlText w:val=""/>
      <w:lvlJc w:val="left"/>
      <w:pPr>
        <w:ind w:left="2279" w:hanging="360"/>
      </w:pPr>
      <w:rPr>
        <w:rFonts w:ascii="Symbol" w:hAnsi="Symbol" w:hint="default"/>
        <w:color w:val="000000"/>
      </w:rPr>
    </w:lvl>
    <w:lvl w:ilvl="1" w:tplc="B066DCEC" w:tentative="1">
      <w:start w:val="1"/>
      <w:numFmt w:val="bullet"/>
      <w:lvlText w:val="o"/>
      <w:lvlJc w:val="left"/>
      <w:pPr>
        <w:ind w:left="2999" w:hanging="360"/>
      </w:pPr>
      <w:rPr>
        <w:rFonts w:ascii="Courier New" w:hAnsi="Courier New" w:cs="Courier New" w:hint="default"/>
      </w:rPr>
    </w:lvl>
    <w:lvl w:ilvl="2" w:tplc="E0AEFBC8" w:tentative="1">
      <w:start w:val="1"/>
      <w:numFmt w:val="bullet"/>
      <w:lvlText w:val=""/>
      <w:lvlJc w:val="left"/>
      <w:pPr>
        <w:ind w:left="3719" w:hanging="360"/>
      </w:pPr>
      <w:rPr>
        <w:rFonts w:ascii="Wingdings" w:hAnsi="Wingdings" w:hint="default"/>
      </w:rPr>
    </w:lvl>
    <w:lvl w:ilvl="3" w:tplc="C30404D0" w:tentative="1">
      <w:start w:val="1"/>
      <w:numFmt w:val="bullet"/>
      <w:lvlText w:val=""/>
      <w:lvlJc w:val="left"/>
      <w:pPr>
        <w:ind w:left="4439" w:hanging="360"/>
      </w:pPr>
      <w:rPr>
        <w:rFonts w:ascii="Symbol" w:hAnsi="Symbol" w:hint="default"/>
      </w:rPr>
    </w:lvl>
    <w:lvl w:ilvl="4" w:tplc="18362AB8" w:tentative="1">
      <w:start w:val="1"/>
      <w:numFmt w:val="bullet"/>
      <w:lvlText w:val="o"/>
      <w:lvlJc w:val="left"/>
      <w:pPr>
        <w:ind w:left="5159" w:hanging="360"/>
      </w:pPr>
      <w:rPr>
        <w:rFonts w:ascii="Courier New" w:hAnsi="Courier New" w:cs="Courier New" w:hint="default"/>
      </w:rPr>
    </w:lvl>
    <w:lvl w:ilvl="5" w:tplc="4E4079A2" w:tentative="1">
      <w:start w:val="1"/>
      <w:numFmt w:val="bullet"/>
      <w:lvlText w:val=""/>
      <w:lvlJc w:val="left"/>
      <w:pPr>
        <w:ind w:left="5879" w:hanging="360"/>
      </w:pPr>
      <w:rPr>
        <w:rFonts w:ascii="Wingdings" w:hAnsi="Wingdings" w:hint="default"/>
      </w:rPr>
    </w:lvl>
    <w:lvl w:ilvl="6" w:tplc="DA800466" w:tentative="1">
      <w:start w:val="1"/>
      <w:numFmt w:val="bullet"/>
      <w:lvlText w:val=""/>
      <w:lvlJc w:val="left"/>
      <w:pPr>
        <w:ind w:left="6599" w:hanging="360"/>
      </w:pPr>
      <w:rPr>
        <w:rFonts w:ascii="Symbol" w:hAnsi="Symbol" w:hint="default"/>
      </w:rPr>
    </w:lvl>
    <w:lvl w:ilvl="7" w:tplc="0B02C032" w:tentative="1">
      <w:start w:val="1"/>
      <w:numFmt w:val="bullet"/>
      <w:lvlText w:val="o"/>
      <w:lvlJc w:val="left"/>
      <w:pPr>
        <w:ind w:left="7319" w:hanging="360"/>
      </w:pPr>
      <w:rPr>
        <w:rFonts w:ascii="Courier New" w:hAnsi="Courier New" w:cs="Courier New" w:hint="default"/>
      </w:rPr>
    </w:lvl>
    <w:lvl w:ilvl="8" w:tplc="FA36A1A8" w:tentative="1">
      <w:start w:val="1"/>
      <w:numFmt w:val="bullet"/>
      <w:lvlText w:val=""/>
      <w:lvlJc w:val="left"/>
      <w:pPr>
        <w:ind w:left="8039" w:hanging="360"/>
      </w:pPr>
      <w:rPr>
        <w:rFonts w:ascii="Wingdings" w:hAnsi="Wingdings" w:hint="default"/>
      </w:rPr>
    </w:lvl>
  </w:abstractNum>
  <w:abstractNum w:abstractNumId="8" w15:restartNumberingAfterBreak="0">
    <w:nsid w:val="31E9741F"/>
    <w:multiLevelType w:val="hybridMultilevel"/>
    <w:tmpl w:val="0CAC7D4E"/>
    <w:lvl w:ilvl="0" w:tplc="F8D8031A">
      <w:start w:val="1"/>
      <w:numFmt w:val="bullet"/>
      <w:pStyle w:val="BulletList2"/>
      <w:lvlText w:val=""/>
      <w:lvlJc w:val="left"/>
      <w:pPr>
        <w:tabs>
          <w:tab w:val="num" w:pos="1077"/>
        </w:tabs>
        <w:ind w:left="1077" w:hanging="357"/>
      </w:pPr>
      <w:rPr>
        <w:rFonts w:ascii="Symbol" w:hAnsi="Symbol" w:hint="default"/>
        <w:color w:val="000000"/>
      </w:rPr>
    </w:lvl>
    <w:lvl w:ilvl="1" w:tplc="75A6C5CC" w:tentative="1">
      <w:start w:val="1"/>
      <w:numFmt w:val="bullet"/>
      <w:lvlText w:val="o"/>
      <w:lvlJc w:val="left"/>
      <w:pPr>
        <w:tabs>
          <w:tab w:val="num" w:pos="1440"/>
        </w:tabs>
        <w:ind w:left="1440" w:hanging="360"/>
      </w:pPr>
      <w:rPr>
        <w:rFonts w:ascii="Courier New" w:hAnsi="Courier New" w:cs="Courier New" w:hint="default"/>
      </w:rPr>
    </w:lvl>
    <w:lvl w:ilvl="2" w:tplc="CBEEFED2" w:tentative="1">
      <w:start w:val="1"/>
      <w:numFmt w:val="bullet"/>
      <w:lvlText w:val=""/>
      <w:lvlJc w:val="left"/>
      <w:pPr>
        <w:tabs>
          <w:tab w:val="num" w:pos="2160"/>
        </w:tabs>
        <w:ind w:left="2160" w:hanging="360"/>
      </w:pPr>
      <w:rPr>
        <w:rFonts w:ascii="Wingdings" w:hAnsi="Wingdings" w:hint="default"/>
      </w:rPr>
    </w:lvl>
    <w:lvl w:ilvl="3" w:tplc="4738AD74" w:tentative="1">
      <w:start w:val="1"/>
      <w:numFmt w:val="bullet"/>
      <w:lvlText w:val=""/>
      <w:lvlJc w:val="left"/>
      <w:pPr>
        <w:tabs>
          <w:tab w:val="num" w:pos="2880"/>
        </w:tabs>
        <w:ind w:left="2880" w:hanging="360"/>
      </w:pPr>
      <w:rPr>
        <w:rFonts w:ascii="Symbol" w:hAnsi="Symbol" w:hint="default"/>
      </w:rPr>
    </w:lvl>
    <w:lvl w:ilvl="4" w:tplc="B3A44CFA" w:tentative="1">
      <w:start w:val="1"/>
      <w:numFmt w:val="bullet"/>
      <w:lvlText w:val="o"/>
      <w:lvlJc w:val="left"/>
      <w:pPr>
        <w:tabs>
          <w:tab w:val="num" w:pos="3600"/>
        </w:tabs>
        <w:ind w:left="3600" w:hanging="360"/>
      </w:pPr>
      <w:rPr>
        <w:rFonts w:ascii="Courier New" w:hAnsi="Courier New" w:cs="Courier New" w:hint="default"/>
      </w:rPr>
    </w:lvl>
    <w:lvl w:ilvl="5" w:tplc="A58EA3E4" w:tentative="1">
      <w:start w:val="1"/>
      <w:numFmt w:val="bullet"/>
      <w:lvlText w:val=""/>
      <w:lvlJc w:val="left"/>
      <w:pPr>
        <w:tabs>
          <w:tab w:val="num" w:pos="4320"/>
        </w:tabs>
        <w:ind w:left="4320" w:hanging="360"/>
      </w:pPr>
      <w:rPr>
        <w:rFonts w:ascii="Wingdings" w:hAnsi="Wingdings" w:hint="default"/>
      </w:rPr>
    </w:lvl>
    <w:lvl w:ilvl="6" w:tplc="CAE8A456" w:tentative="1">
      <w:start w:val="1"/>
      <w:numFmt w:val="bullet"/>
      <w:lvlText w:val=""/>
      <w:lvlJc w:val="left"/>
      <w:pPr>
        <w:tabs>
          <w:tab w:val="num" w:pos="5040"/>
        </w:tabs>
        <w:ind w:left="5040" w:hanging="360"/>
      </w:pPr>
      <w:rPr>
        <w:rFonts w:ascii="Symbol" w:hAnsi="Symbol" w:hint="default"/>
      </w:rPr>
    </w:lvl>
    <w:lvl w:ilvl="7" w:tplc="FA08BF04" w:tentative="1">
      <w:start w:val="1"/>
      <w:numFmt w:val="bullet"/>
      <w:lvlText w:val="o"/>
      <w:lvlJc w:val="left"/>
      <w:pPr>
        <w:tabs>
          <w:tab w:val="num" w:pos="5760"/>
        </w:tabs>
        <w:ind w:left="5760" w:hanging="360"/>
      </w:pPr>
      <w:rPr>
        <w:rFonts w:ascii="Courier New" w:hAnsi="Courier New" w:cs="Courier New" w:hint="default"/>
      </w:rPr>
    </w:lvl>
    <w:lvl w:ilvl="8" w:tplc="8AA2112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668D"/>
    <w:multiLevelType w:val="hybridMultilevel"/>
    <w:tmpl w:val="594C4DAE"/>
    <w:lvl w:ilvl="0" w:tplc="EE6EA170">
      <w:start w:val="1"/>
      <w:numFmt w:val="bullet"/>
      <w:pStyle w:val="Bullet4"/>
      <w:lvlText w:val=""/>
      <w:lvlJc w:val="left"/>
      <w:pPr>
        <w:tabs>
          <w:tab w:val="num" w:pos="2676"/>
        </w:tabs>
        <w:ind w:left="2676" w:hanging="357"/>
      </w:pPr>
      <w:rPr>
        <w:rFonts w:ascii="Symbol" w:hAnsi="Symbol" w:hint="default"/>
        <w:color w:val="000000"/>
      </w:rPr>
    </w:lvl>
    <w:lvl w:ilvl="1" w:tplc="F5C88A4E" w:tentative="1">
      <w:start w:val="1"/>
      <w:numFmt w:val="bullet"/>
      <w:lvlText w:val="o"/>
      <w:lvlJc w:val="left"/>
      <w:pPr>
        <w:tabs>
          <w:tab w:val="num" w:pos="1440"/>
        </w:tabs>
        <w:ind w:left="1440" w:hanging="360"/>
      </w:pPr>
      <w:rPr>
        <w:rFonts w:ascii="Courier New" w:hAnsi="Courier New" w:cs="Courier New" w:hint="default"/>
      </w:rPr>
    </w:lvl>
    <w:lvl w:ilvl="2" w:tplc="3B00BD48" w:tentative="1">
      <w:start w:val="1"/>
      <w:numFmt w:val="bullet"/>
      <w:lvlText w:val=""/>
      <w:lvlJc w:val="left"/>
      <w:pPr>
        <w:tabs>
          <w:tab w:val="num" w:pos="2160"/>
        </w:tabs>
        <w:ind w:left="2160" w:hanging="360"/>
      </w:pPr>
      <w:rPr>
        <w:rFonts w:ascii="Wingdings" w:hAnsi="Wingdings" w:hint="default"/>
      </w:rPr>
    </w:lvl>
    <w:lvl w:ilvl="3" w:tplc="16BEEBFA" w:tentative="1">
      <w:start w:val="1"/>
      <w:numFmt w:val="bullet"/>
      <w:lvlText w:val=""/>
      <w:lvlJc w:val="left"/>
      <w:pPr>
        <w:tabs>
          <w:tab w:val="num" w:pos="2880"/>
        </w:tabs>
        <w:ind w:left="2880" w:hanging="360"/>
      </w:pPr>
      <w:rPr>
        <w:rFonts w:ascii="Symbol" w:hAnsi="Symbol" w:hint="default"/>
      </w:rPr>
    </w:lvl>
    <w:lvl w:ilvl="4" w:tplc="99E2025A" w:tentative="1">
      <w:start w:val="1"/>
      <w:numFmt w:val="bullet"/>
      <w:lvlText w:val="o"/>
      <w:lvlJc w:val="left"/>
      <w:pPr>
        <w:tabs>
          <w:tab w:val="num" w:pos="3600"/>
        </w:tabs>
        <w:ind w:left="3600" w:hanging="360"/>
      </w:pPr>
      <w:rPr>
        <w:rFonts w:ascii="Courier New" w:hAnsi="Courier New" w:cs="Courier New" w:hint="default"/>
      </w:rPr>
    </w:lvl>
    <w:lvl w:ilvl="5" w:tplc="7062F1B8" w:tentative="1">
      <w:start w:val="1"/>
      <w:numFmt w:val="bullet"/>
      <w:lvlText w:val=""/>
      <w:lvlJc w:val="left"/>
      <w:pPr>
        <w:tabs>
          <w:tab w:val="num" w:pos="4320"/>
        </w:tabs>
        <w:ind w:left="4320" w:hanging="360"/>
      </w:pPr>
      <w:rPr>
        <w:rFonts w:ascii="Wingdings" w:hAnsi="Wingdings" w:hint="default"/>
      </w:rPr>
    </w:lvl>
    <w:lvl w:ilvl="6" w:tplc="EA764A3A" w:tentative="1">
      <w:start w:val="1"/>
      <w:numFmt w:val="bullet"/>
      <w:lvlText w:val=""/>
      <w:lvlJc w:val="left"/>
      <w:pPr>
        <w:tabs>
          <w:tab w:val="num" w:pos="5040"/>
        </w:tabs>
        <w:ind w:left="5040" w:hanging="360"/>
      </w:pPr>
      <w:rPr>
        <w:rFonts w:ascii="Symbol" w:hAnsi="Symbol" w:hint="default"/>
      </w:rPr>
    </w:lvl>
    <w:lvl w:ilvl="7" w:tplc="EC66C540" w:tentative="1">
      <w:start w:val="1"/>
      <w:numFmt w:val="bullet"/>
      <w:lvlText w:val="o"/>
      <w:lvlJc w:val="left"/>
      <w:pPr>
        <w:tabs>
          <w:tab w:val="num" w:pos="5760"/>
        </w:tabs>
        <w:ind w:left="5760" w:hanging="360"/>
      </w:pPr>
      <w:rPr>
        <w:rFonts w:ascii="Courier New" w:hAnsi="Courier New" w:cs="Courier New" w:hint="default"/>
      </w:rPr>
    </w:lvl>
    <w:lvl w:ilvl="8" w:tplc="BDBC89E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1" w15:restartNumberingAfterBreak="0">
    <w:nsid w:val="38130038"/>
    <w:multiLevelType w:val="hybridMultilevel"/>
    <w:tmpl w:val="FF8A0FAE"/>
    <w:lvl w:ilvl="0" w:tplc="3C88B058">
      <w:start w:val="1"/>
      <w:numFmt w:val="bullet"/>
      <w:pStyle w:val="ClauseBullet2"/>
      <w:lvlText w:val=""/>
      <w:lvlJc w:val="left"/>
      <w:pPr>
        <w:ind w:left="1440" w:hanging="360"/>
      </w:pPr>
      <w:rPr>
        <w:rFonts w:ascii="Symbol" w:hAnsi="Symbol" w:hint="default"/>
        <w:color w:val="000000"/>
      </w:rPr>
    </w:lvl>
    <w:lvl w:ilvl="1" w:tplc="A060248E" w:tentative="1">
      <w:start w:val="1"/>
      <w:numFmt w:val="bullet"/>
      <w:lvlText w:val="o"/>
      <w:lvlJc w:val="left"/>
      <w:pPr>
        <w:ind w:left="2160" w:hanging="360"/>
      </w:pPr>
      <w:rPr>
        <w:rFonts w:ascii="Courier New" w:hAnsi="Courier New" w:cs="Courier New" w:hint="default"/>
      </w:rPr>
    </w:lvl>
    <w:lvl w:ilvl="2" w:tplc="DE806EAA" w:tentative="1">
      <w:start w:val="1"/>
      <w:numFmt w:val="bullet"/>
      <w:lvlText w:val=""/>
      <w:lvlJc w:val="left"/>
      <w:pPr>
        <w:ind w:left="2880" w:hanging="360"/>
      </w:pPr>
      <w:rPr>
        <w:rFonts w:ascii="Wingdings" w:hAnsi="Wingdings" w:hint="default"/>
      </w:rPr>
    </w:lvl>
    <w:lvl w:ilvl="3" w:tplc="E90C2842" w:tentative="1">
      <w:start w:val="1"/>
      <w:numFmt w:val="bullet"/>
      <w:lvlText w:val=""/>
      <w:lvlJc w:val="left"/>
      <w:pPr>
        <w:ind w:left="3600" w:hanging="360"/>
      </w:pPr>
      <w:rPr>
        <w:rFonts w:ascii="Symbol" w:hAnsi="Symbol" w:hint="default"/>
      </w:rPr>
    </w:lvl>
    <w:lvl w:ilvl="4" w:tplc="FABCA656" w:tentative="1">
      <w:start w:val="1"/>
      <w:numFmt w:val="bullet"/>
      <w:lvlText w:val="o"/>
      <w:lvlJc w:val="left"/>
      <w:pPr>
        <w:ind w:left="4320" w:hanging="360"/>
      </w:pPr>
      <w:rPr>
        <w:rFonts w:ascii="Courier New" w:hAnsi="Courier New" w:cs="Courier New" w:hint="default"/>
      </w:rPr>
    </w:lvl>
    <w:lvl w:ilvl="5" w:tplc="B0984774" w:tentative="1">
      <w:start w:val="1"/>
      <w:numFmt w:val="bullet"/>
      <w:lvlText w:val=""/>
      <w:lvlJc w:val="left"/>
      <w:pPr>
        <w:ind w:left="5040" w:hanging="360"/>
      </w:pPr>
      <w:rPr>
        <w:rFonts w:ascii="Wingdings" w:hAnsi="Wingdings" w:hint="default"/>
      </w:rPr>
    </w:lvl>
    <w:lvl w:ilvl="6" w:tplc="9558EB02" w:tentative="1">
      <w:start w:val="1"/>
      <w:numFmt w:val="bullet"/>
      <w:lvlText w:val=""/>
      <w:lvlJc w:val="left"/>
      <w:pPr>
        <w:ind w:left="5760" w:hanging="360"/>
      </w:pPr>
      <w:rPr>
        <w:rFonts w:ascii="Symbol" w:hAnsi="Symbol" w:hint="default"/>
      </w:rPr>
    </w:lvl>
    <w:lvl w:ilvl="7" w:tplc="46129410" w:tentative="1">
      <w:start w:val="1"/>
      <w:numFmt w:val="bullet"/>
      <w:lvlText w:val="o"/>
      <w:lvlJc w:val="left"/>
      <w:pPr>
        <w:ind w:left="6480" w:hanging="360"/>
      </w:pPr>
      <w:rPr>
        <w:rFonts w:ascii="Courier New" w:hAnsi="Courier New" w:cs="Courier New" w:hint="default"/>
      </w:rPr>
    </w:lvl>
    <w:lvl w:ilvl="8" w:tplc="D1DEC97E" w:tentative="1">
      <w:start w:val="1"/>
      <w:numFmt w:val="bullet"/>
      <w:lvlText w:val=""/>
      <w:lvlJc w:val="left"/>
      <w:pPr>
        <w:ind w:left="7200" w:hanging="360"/>
      </w:pPr>
      <w:rPr>
        <w:rFonts w:ascii="Wingdings" w:hAnsi="Wingdings" w:hint="default"/>
      </w:rPr>
    </w:lvl>
  </w:abstractNum>
  <w:abstractNum w:abstractNumId="12" w15:restartNumberingAfterBreak="0">
    <w:nsid w:val="44D67987"/>
    <w:multiLevelType w:val="hybridMultilevel"/>
    <w:tmpl w:val="EBD6FB80"/>
    <w:lvl w:ilvl="0" w:tplc="20AAA5E4">
      <w:start w:val="1"/>
      <w:numFmt w:val="bullet"/>
      <w:pStyle w:val="subclause1Bullet2"/>
      <w:lvlText w:val=""/>
      <w:lvlJc w:val="left"/>
      <w:pPr>
        <w:ind w:left="1440" w:hanging="360"/>
      </w:pPr>
      <w:rPr>
        <w:rFonts w:ascii="Symbol" w:hAnsi="Symbol" w:hint="default"/>
        <w:color w:val="000000"/>
      </w:rPr>
    </w:lvl>
    <w:lvl w:ilvl="1" w:tplc="A282FF86" w:tentative="1">
      <w:start w:val="1"/>
      <w:numFmt w:val="bullet"/>
      <w:lvlText w:val="o"/>
      <w:lvlJc w:val="left"/>
      <w:pPr>
        <w:ind w:left="2160" w:hanging="360"/>
      </w:pPr>
      <w:rPr>
        <w:rFonts w:ascii="Courier New" w:hAnsi="Courier New" w:cs="Courier New" w:hint="default"/>
      </w:rPr>
    </w:lvl>
    <w:lvl w:ilvl="2" w:tplc="673C00E4" w:tentative="1">
      <w:start w:val="1"/>
      <w:numFmt w:val="bullet"/>
      <w:lvlText w:val=""/>
      <w:lvlJc w:val="left"/>
      <w:pPr>
        <w:ind w:left="2880" w:hanging="360"/>
      </w:pPr>
      <w:rPr>
        <w:rFonts w:ascii="Wingdings" w:hAnsi="Wingdings" w:hint="default"/>
      </w:rPr>
    </w:lvl>
    <w:lvl w:ilvl="3" w:tplc="7AAC7E7E" w:tentative="1">
      <w:start w:val="1"/>
      <w:numFmt w:val="bullet"/>
      <w:lvlText w:val=""/>
      <w:lvlJc w:val="left"/>
      <w:pPr>
        <w:ind w:left="3600" w:hanging="360"/>
      </w:pPr>
      <w:rPr>
        <w:rFonts w:ascii="Symbol" w:hAnsi="Symbol" w:hint="default"/>
      </w:rPr>
    </w:lvl>
    <w:lvl w:ilvl="4" w:tplc="17D6F36C" w:tentative="1">
      <w:start w:val="1"/>
      <w:numFmt w:val="bullet"/>
      <w:lvlText w:val="o"/>
      <w:lvlJc w:val="left"/>
      <w:pPr>
        <w:ind w:left="4320" w:hanging="360"/>
      </w:pPr>
      <w:rPr>
        <w:rFonts w:ascii="Courier New" w:hAnsi="Courier New" w:cs="Courier New" w:hint="default"/>
      </w:rPr>
    </w:lvl>
    <w:lvl w:ilvl="5" w:tplc="2A380210" w:tentative="1">
      <w:start w:val="1"/>
      <w:numFmt w:val="bullet"/>
      <w:lvlText w:val=""/>
      <w:lvlJc w:val="left"/>
      <w:pPr>
        <w:ind w:left="5040" w:hanging="360"/>
      </w:pPr>
      <w:rPr>
        <w:rFonts w:ascii="Wingdings" w:hAnsi="Wingdings" w:hint="default"/>
      </w:rPr>
    </w:lvl>
    <w:lvl w:ilvl="6" w:tplc="8070DDD0" w:tentative="1">
      <w:start w:val="1"/>
      <w:numFmt w:val="bullet"/>
      <w:lvlText w:val=""/>
      <w:lvlJc w:val="left"/>
      <w:pPr>
        <w:ind w:left="5760" w:hanging="360"/>
      </w:pPr>
      <w:rPr>
        <w:rFonts w:ascii="Symbol" w:hAnsi="Symbol" w:hint="default"/>
      </w:rPr>
    </w:lvl>
    <w:lvl w:ilvl="7" w:tplc="318298A8" w:tentative="1">
      <w:start w:val="1"/>
      <w:numFmt w:val="bullet"/>
      <w:lvlText w:val="o"/>
      <w:lvlJc w:val="left"/>
      <w:pPr>
        <w:ind w:left="6480" w:hanging="360"/>
      </w:pPr>
      <w:rPr>
        <w:rFonts w:ascii="Courier New" w:hAnsi="Courier New" w:cs="Courier New" w:hint="default"/>
      </w:rPr>
    </w:lvl>
    <w:lvl w:ilvl="8" w:tplc="DBB2E926" w:tentative="1">
      <w:start w:val="1"/>
      <w:numFmt w:val="bullet"/>
      <w:lvlText w:val=""/>
      <w:lvlJc w:val="left"/>
      <w:pPr>
        <w:ind w:left="7200" w:hanging="360"/>
      </w:pPr>
      <w:rPr>
        <w:rFonts w:ascii="Wingdings" w:hAnsi="Wingdings" w:hint="default"/>
      </w:rPr>
    </w:lvl>
  </w:abstractNum>
  <w:abstractNum w:abstractNumId="13" w15:restartNumberingAfterBreak="0">
    <w:nsid w:val="44E96665"/>
    <w:multiLevelType w:val="hybridMultilevel"/>
    <w:tmpl w:val="EF1E142A"/>
    <w:lvl w:ilvl="0" w:tplc="B016D6EE">
      <w:start w:val="1"/>
      <w:numFmt w:val="bullet"/>
      <w:pStyle w:val="subclause3Bullet1"/>
      <w:lvlText w:val=""/>
      <w:lvlJc w:val="left"/>
      <w:pPr>
        <w:ind w:left="2988" w:hanging="360"/>
      </w:pPr>
      <w:rPr>
        <w:rFonts w:ascii="Symbol" w:hAnsi="Symbol" w:hint="default"/>
        <w:color w:val="000000"/>
      </w:rPr>
    </w:lvl>
    <w:lvl w:ilvl="1" w:tplc="EF4E3618" w:tentative="1">
      <w:start w:val="1"/>
      <w:numFmt w:val="bullet"/>
      <w:lvlText w:val="o"/>
      <w:lvlJc w:val="left"/>
      <w:pPr>
        <w:ind w:left="3708" w:hanging="360"/>
      </w:pPr>
      <w:rPr>
        <w:rFonts w:ascii="Courier New" w:hAnsi="Courier New" w:cs="Courier New" w:hint="default"/>
      </w:rPr>
    </w:lvl>
    <w:lvl w:ilvl="2" w:tplc="94DE76D2" w:tentative="1">
      <w:start w:val="1"/>
      <w:numFmt w:val="bullet"/>
      <w:lvlText w:val=""/>
      <w:lvlJc w:val="left"/>
      <w:pPr>
        <w:ind w:left="4428" w:hanging="360"/>
      </w:pPr>
      <w:rPr>
        <w:rFonts w:ascii="Wingdings" w:hAnsi="Wingdings" w:hint="default"/>
      </w:rPr>
    </w:lvl>
    <w:lvl w:ilvl="3" w:tplc="F7BEF862" w:tentative="1">
      <w:start w:val="1"/>
      <w:numFmt w:val="bullet"/>
      <w:lvlText w:val=""/>
      <w:lvlJc w:val="left"/>
      <w:pPr>
        <w:ind w:left="5148" w:hanging="360"/>
      </w:pPr>
      <w:rPr>
        <w:rFonts w:ascii="Symbol" w:hAnsi="Symbol" w:hint="default"/>
      </w:rPr>
    </w:lvl>
    <w:lvl w:ilvl="4" w:tplc="84CCF996" w:tentative="1">
      <w:start w:val="1"/>
      <w:numFmt w:val="bullet"/>
      <w:lvlText w:val="o"/>
      <w:lvlJc w:val="left"/>
      <w:pPr>
        <w:ind w:left="5868" w:hanging="360"/>
      </w:pPr>
      <w:rPr>
        <w:rFonts w:ascii="Courier New" w:hAnsi="Courier New" w:cs="Courier New" w:hint="default"/>
      </w:rPr>
    </w:lvl>
    <w:lvl w:ilvl="5" w:tplc="8AF6A1E2" w:tentative="1">
      <w:start w:val="1"/>
      <w:numFmt w:val="bullet"/>
      <w:lvlText w:val=""/>
      <w:lvlJc w:val="left"/>
      <w:pPr>
        <w:ind w:left="6588" w:hanging="360"/>
      </w:pPr>
      <w:rPr>
        <w:rFonts w:ascii="Wingdings" w:hAnsi="Wingdings" w:hint="default"/>
      </w:rPr>
    </w:lvl>
    <w:lvl w:ilvl="6" w:tplc="0512D5F8" w:tentative="1">
      <w:start w:val="1"/>
      <w:numFmt w:val="bullet"/>
      <w:lvlText w:val=""/>
      <w:lvlJc w:val="left"/>
      <w:pPr>
        <w:ind w:left="7308" w:hanging="360"/>
      </w:pPr>
      <w:rPr>
        <w:rFonts w:ascii="Symbol" w:hAnsi="Symbol" w:hint="default"/>
      </w:rPr>
    </w:lvl>
    <w:lvl w:ilvl="7" w:tplc="29D65706" w:tentative="1">
      <w:start w:val="1"/>
      <w:numFmt w:val="bullet"/>
      <w:lvlText w:val="o"/>
      <w:lvlJc w:val="left"/>
      <w:pPr>
        <w:ind w:left="8028" w:hanging="360"/>
      </w:pPr>
      <w:rPr>
        <w:rFonts w:ascii="Courier New" w:hAnsi="Courier New" w:cs="Courier New" w:hint="default"/>
      </w:rPr>
    </w:lvl>
    <w:lvl w:ilvl="8" w:tplc="0F56D7C6" w:tentative="1">
      <w:start w:val="1"/>
      <w:numFmt w:val="bullet"/>
      <w:lvlText w:val=""/>
      <w:lvlJc w:val="left"/>
      <w:pPr>
        <w:ind w:left="8748" w:hanging="360"/>
      </w:pPr>
      <w:rPr>
        <w:rFonts w:ascii="Wingdings" w:hAnsi="Wingdings" w:hint="default"/>
      </w:rPr>
    </w:lvl>
  </w:abstractNum>
  <w:abstractNum w:abstractNumId="14" w15:restartNumberingAfterBreak="0">
    <w:nsid w:val="46AC04C6"/>
    <w:multiLevelType w:val="hybridMultilevel"/>
    <w:tmpl w:val="E6C47700"/>
    <w:lvl w:ilvl="0" w:tplc="48F669F0">
      <w:start w:val="1"/>
      <w:numFmt w:val="bullet"/>
      <w:pStyle w:val="subclause2Bullet1"/>
      <w:lvlText w:val=""/>
      <w:lvlJc w:val="left"/>
      <w:pPr>
        <w:ind w:left="2279" w:hanging="360"/>
      </w:pPr>
      <w:rPr>
        <w:rFonts w:ascii="Symbol" w:hAnsi="Symbol" w:hint="default"/>
        <w:color w:val="000000"/>
      </w:rPr>
    </w:lvl>
    <w:lvl w:ilvl="1" w:tplc="BA4C7C7C" w:tentative="1">
      <w:start w:val="1"/>
      <w:numFmt w:val="bullet"/>
      <w:lvlText w:val="o"/>
      <w:lvlJc w:val="left"/>
      <w:pPr>
        <w:ind w:left="2999" w:hanging="360"/>
      </w:pPr>
      <w:rPr>
        <w:rFonts w:ascii="Courier New" w:hAnsi="Courier New" w:cs="Courier New" w:hint="default"/>
      </w:rPr>
    </w:lvl>
    <w:lvl w:ilvl="2" w:tplc="36AAA5F8" w:tentative="1">
      <w:start w:val="1"/>
      <w:numFmt w:val="bullet"/>
      <w:lvlText w:val=""/>
      <w:lvlJc w:val="left"/>
      <w:pPr>
        <w:ind w:left="3719" w:hanging="360"/>
      </w:pPr>
      <w:rPr>
        <w:rFonts w:ascii="Wingdings" w:hAnsi="Wingdings" w:hint="default"/>
      </w:rPr>
    </w:lvl>
    <w:lvl w:ilvl="3" w:tplc="9CEA23C6" w:tentative="1">
      <w:start w:val="1"/>
      <w:numFmt w:val="bullet"/>
      <w:lvlText w:val=""/>
      <w:lvlJc w:val="left"/>
      <w:pPr>
        <w:ind w:left="4439" w:hanging="360"/>
      </w:pPr>
      <w:rPr>
        <w:rFonts w:ascii="Symbol" w:hAnsi="Symbol" w:hint="default"/>
      </w:rPr>
    </w:lvl>
    <w:lvl w:ilvl="4" w:tplc="AFC6CB70" w:tentative="1">
      <w:start w:val="1"/>
      <w:numFmt w:val="bullet"/>
      <w:lvlText w:val="o"/>
      <w:lvlJc w:val="left"/>
      <w:pPr>
        <w:ind w:left="5159" w:hanging="360"/>
      </w:pPr>
      <w:rPr>
        <w:rFonts w:ascii="Courier New" w:hAnsi="Courier New" w:cs="Courier New" w:hint="default"/>
      </w:rPr>
    </w:lvl>
    <w:lvl w:ilvl="5" w:tplc="17ACAAA4" w:tentative="1">
      <w:start w:val="1"/>
      <w:numFmt w:val="bullet"/>
      <w:lvlText w:val=""/>
      <w:lvlJc w:val="left"/>
      <w:pPr>
        <w:ind w:left="5879" w:hanging="360"/>
      </w:pPr>
      <w:rPr>
        <w:rFonts w:ascii="Wingdings" w:hAnsi="Wingdings" w:hint="default"/>
      </w:rPr>
    </w:lvl>
    <w:lvl w:ilvl="6" w:tplc="C88AD428" w:tentative="1">
      <w:start w:val="1"/>
      <w:numFmt w:val="bullet"/>
      <w:lvlText w:val=""/>
      <w:lvlJc w:val="left"/>
      <w:pPr>
        <w:ind w:left="6599" w:hanging="360"/>
      </w:pPr>
      <w:rPr>
        <w:rFonts w:ascii="Symbol" w:hAnsi="Symbol" w:hint="default"/>
      </w:rPr>
    </w:lvl>
    <w:lvl w:ilvl="7" w:tplc="7B18D292" w:tentative="1">
      <w:start w:val="1"/>
      <w:numFmt w:val="bullet"/>
      <w:lvlText w:val="o"/>
      <w:lvlJc w:val="left"/>
      <w:pPr>
        <w:ind w:left="7319" w:hanging="360"/>
      </w:pPr>
      <w:rPr>
        <w:rFonts w:ascii="Courier New" w:hAnsi="Courier New" w:cs="Courier New" w:hint="default"/>
      </w:rPr>
    </w:lvl>
    <w:lvl w:ilvl="8" w:tplc="EA648ECE" w:tentative="1">
      <w:start w:val="1"/>
      <w:numFmt w:val="bullet"/>
      <w:lvlText w:val=""/>
      <w:lvlJc w:val="left"/>
      <w:pPr>
        <w:ind w:left="8039" w:hanging="360"/>
      </w:pPr>
      <w:rPr>
        <w:rFonts w:ascii="Wingdings" w:hAnsi="Wingdings" w:hint="default"/>
      </w:rPr>
    </w:lvl>
  </w:abstractNum>
  <w:abstractNum w:abstractNumId="15" w15:restartNumberingAfterBreak="0">
    <w:nsid w:val="47F42723"/>
    <w:multiLevelType w:val="hybridMultilevel"/>
    <w:tmpl w:val="C5A02EE6"/>
    <w:lvl w:ilvl="0" w:tplc="A3E2BA58">
      <w:start w:val="1"/>
      <w:numFmt w:val="bullet"/>
      <w:pStyle w:val="subclause1Bullet1"/>
      <w:lvlText w:val=""/>
      <w:lvlJc w:val="left"/>
      <w:pPr>
        <w:ind w:left="1440" w:hanging="360"/>
      </w:pPr>
      <w:rPr>
        <w:rFonts w:ascii="Symbol" w:hAnsi="Symbol" w:hint="default"/>
        <w:color w:val="000000"/>
      </w:rPr>
    </w:lvl>
    <w:lvl w:ilvl="1" w:tplc="4C2C83E6" w:tentative="1">
      <w:start w:val="1"/>
      <w:numFmt w:val="bullet"/>
      <w:lvlText w:val="o"/>
      <w:lvlJc w:val="left"/>
      <w:pPr>
        <w:ind w:left="2160" w:hanging="360"/>
      </w:pPr>
      <w:rPr>
        <w:rFonts w:ascii="Courier New" w:hAnsi="Courier New" w:cs="Courier New" w:hint="default"/>
      </w:rPr>
    </w:lvl>
    <w:lvl w:ilvl="2" w:tplc="B352C504" w:tentative="1">
      <w:start w:val="1"/>
      <w:numFmt w:val="bullet"/>
      <w:lvlText w:val=""/>
      <w:lvlJc w:val="left"/>
      <w:pPr>
        <w:ind w:left="2880" w:hanging="360"/>
      </w:pPr>
      <w:rPr>
        <w:rFonts w:ascii="Wingdings" w:hAnsi="Wingdings" w:hint="default"/>
      </w:rPr>
    </w:lvl>
    <w:lvl w:ilvl="3" w:tplc="ACA0F22C" w:tentative="1">
      <w:start w:val="1"/>
      <w:numFmt w:val="bullet"/>
      <w:lvlText w:val=""/>
      <w:lvlJc w:val="left"/>
      <w:pPr>
        <w:ind w:left="3600" w:hanging="360"/>
      </w:pPr>
      <w:rPr>
        <w:rFonts w:ascii="Symbol" w:hAnsi="Symbol" w:hint="default"/>
      </w:rPr>
    </w:lvl>
    <w:lvl w:ilvl="4" w:tplc="19BEE704" w:tentative="1">
      <w:start w:val="1"/>
      <w:numFmt w:val="bullet"/>
      <w:lvlText w:val="o"/>
      <w:lvlJc w:val="left"/>
      <w:pPr>
        <w:ind w:left="4320" w:hanging="360"/>
      </w:pPr>
      <w:rPr>
        <w:rFonts w:ascii="Courier New" w:hAnsi="Courier New" w:cs="Courier New" w:hint="default"/>
      </w:rPr>
    </w:lvl>
    <w:lvl w:ilvl="5" w:tplc="4B4C03CE" w:tentative="1">
      <w:start w:val="1"/>
      <w:numFmt w:val="bullet"/>
      <w:lvlText w:val=""/>
      <w:lvlJc w:val="left"/>
      <w:pPr>
        <w:ind w:left="5040" w:hanging="360"/>
      </w:pPr>
      <w:rPr>
        <w:rFonts w:ascii="Wingdings" w:hAnsi="Wingdings" w:hint="default"/>
      </w:rPr>
    </w:lvl>
    <w:lvl w:ilvl="6" w:tplc="3F68DBBC" w:tentative="1">
      <w:start w:val="1"/>
      <w:numFmt w:val="bullet"/>
      <w:lvlText w:val=""/>
      <w:lvlJc w:val="left"/>
      <w:pPr>
        <w:ind w:left="5760" w:hanging="360"/>
      </w:pPr>
      <w:rPr>
        <w:rFonts w:ascii="Symbol" w:hAnsi="Symbol" w:hint="default"/>
      </w:rPr>
    </w:lvl>
    <w:lvl w:ilvl="7" w:tplc="41D61ADC" w:tentative="1">
      <w:start w:val="1"/>
      <w:numFmt w:val="bullet"/>
      <w:lvlText w:val="o"/>
      <w:lvlJc w:val="left"/>
      <w:pPr>
        <w:ind w:left="6480" w:hanging="360"/>
      </w:pPr>
      <w:rPr>
        <w:rFonts w:ascii="Courier New" w:hAnsi="Courier New" w:cs="Courier New" w:hint="default"/>
      </w:rPr>
    </w:lvl>
    <w:lvl w:ilvl="8" w:tplc="CA3AC65A" w:tentative="1">
      <w:start w:val="1"/>
      <w:numFmt w:val="bullet"/>
      <w:lvlText w:val=""/>
      <w:lvlJc w:val="left"/>
      <w:pPr>
        <w:ind w:left="7200" w:hanging="360"/>
      </w:pPr>
      <w:rPr>
        <w:rFonts w:ascii="Wingdings" w:hAnsi="Wingdings" w:hint="default"/>
      </w:rPr>
    </w:lvl>
  </w:abstractNum>
  <w:abstractNum w:abstractNumId="16" w15:restartNumberingAfterBreak="0">
    <w:nsid w:val="55CB0AF0"/>
    <w:multiLevelType w:val="hybridMultilevel"/>
    <w:tmpl w:val="EB98B43A"/>
    <w:lvl w:ilvl="0" w:tplc="53101008">
      <w:start w:val="1"/>
      <w:numFmt w:val="decimal"/>
      <w:pStyle w:val="LongQuestionPara"/>
      <w:lvlText w:val="%1."/>
      <w:lvlJc w:val="left"/>
      <w:pPr>
        <w:ind w:left="360" w:hanging="360"/>
      </w:pPr>
      <w:rPr>
        <w:rFonts w:hint="default"/>
        <w:b/>
        <w:i w:val="0"/>
        <w:color w:val="000000"/>
        <w:sz w:val="24"/>
      </w:rPr>
    </w:lvl>
    <w:lvl w:ilvl="1" w:tplc="45E26A20" w:tentative="1">
      <w:start w:val="1"/>
      <w:numFmt w:val="lowerLetter"/>
      <w:lvlText w:val="%2."/>
      <w:lvlJc w:val="left"/>
      <w:pPr>
        <w:ind w:left="1440" w:hanging="360"/>
      </w:pPr>
    </w:lvl>
    <w:lvl w:ilvl="2" w:tplc="B372C07E" w:tentative="1">
      <w:start w:val="1"/>
      <w:numFmt w:val="lowerRoman"/>
      <w:lvlText w:val="%3."/>
      <w:lvlJc w:val="right"/>
      <w:pPr>
        <w:ind w:left="2160" w:hanging="180"/>
      </w:pPr>
    </w:lvl>
    <w:lvl w:ilvl="3" w:tplc="4BAC658A" w:tentative="1">
      <w:start w:val="1"/>
      <w:numFmt w:val="decimal"/>
      <w:lvlText w:val="%4."/>
      <w:lvlJc w:val="left"/>
      <w:pPr>
        <w:ind w:left="2880" w:hanging="360"/>
      </w:pPr>
    </w:lvl>
    <w:lvl w:ilvl="4" w:tplc="B9046B34" w:tentative="1">
      <w:start w:val="1"/>
      <w:numFmt w:val="lowerLetter"/>
      <w:lvlText w:val="%5."/>
      <w:lvlJc w:val="left"/>
      <w:pPr>
        <w:ind w:left="3600" w:hanging="360"/>
      </w:pPr>
    </w:lvl>
    <w:lvl w:ilvl="5" w:tplc="05FAB9D2" w:tentative="1">
      <w:start w:val="1"/>
      <w:numFmt w:val="lowerRoman"/>
      <w:lvlText w:val="%6."/>
      <w:lvlJc w:val="right"/>
      <w:pPr>
        <w:ind w:left="4320" w:hanging="180"/>
      </w:pPr>
    </w:lvl>
    <w:lvl w:ilvl="6" w:tplc="54A2261C" w:tentative="1">
      <w:start w:val="1"/>
      <w:numFmt w:val="decimal"/>
      <w:lvlText w:val="%7."/>
      <w:lvlJc w:val="left"/>
      <w:pPr>
        <w:ind w:left="5040" w:hanging="360"/>
      </w:pPr>
    </w:lvl>
    <w:lvl w:ilvl="7" w:tplc="4E6ACD6C" w:tentative="1">
      <w:start w:val="1"/>
      <w:numFmt w:val="lowerLetter"/>
      <w:lvlText w:val="%8."/>
      <w:lvlJc w:val="left"/>
      <w:pPr>
        <w:ind w:left="5760" w:hanging="360"/>
      </w:pPr>
    </w:lvl>
    <w:lvl w:ilvl="8" w:tplc="66D8D194" w:tentative="1">
      <w:start w:val="1"/>
      <w:numFmt w:val="lowerRoman"/>
      <w:lvlText w:val="%9."/>
      <w:lvlJc w:val="right"/>
      <w:pPr>
        <w:ind w:left="6480" w:hanging="180"/>
      </w:pPr>
    </w:lvl>
  </w:abstractNum>
  <w:abstractNum w:abstractNumId="17"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61071422"/>
    <w:multiLevelType w:val="hybridMultilevel"/>
    <w:tmpl w:val="59B858D8"/>
    <w:lvl w:ilvl="0" w:tplc="8F985742">
      <w:start w:val="1"/>
      <w:numFmt w:val="bullet"/>
      <w:pStyle w:val="ClauseBullet1"/>
      <w:lvlText w:val=""/>
      <w:lvlJc w:val="left"/>
      <w:pPr>
        <w:ind w:left="1080" w:hanging="360"/>
      </w:pPr>
      <w:rPr>
        <w:rFonts w:ascii="Symbol" w:hAnsi="Symbol" w:hint="default"/>
        <w:color w:val="000000"/>
      </w:rPr>
    </w:lvl>
    <w:lvl w:ilvl="1" w:tplc="1482FF0C" w:tentative="1">
      <w:start w:val="1"/>
      <w:numFmt w:val="bullet"/>
      <w:lvlText w:val="o"/>
      <w:lvlJc w:val="left"/>
      <w:pPr>
        <w:ind w:left="1800" w:hanging="360"/>
      </w:pPr>
      <w:rPr>
        <w:rFonts w:ascii="Courier New" w:hAnsi="Courier New" w:cs="Courier New" w:hint="default"/>
      </w:rPr>
    </w:lvl>
    <w:lvl w:ilvl="2" w:tplc="34421BCC" w:tentative="1">
      <w:start w:val="1"/>
      <w:numFmt w:val="bullet"/>
      <w:lvlText w:val=""/>
      <w:lvlJc w:val="left"/>
      <w:pPr>
        <w:ind w:left="2520" w:hanging="360"/>
      </w:pPr>
      <w:rPr>
        <w:rFonts w:ascii="Wingdings" w:hAnsi="Wingdings" w:hint="default"/>
      </w:rPr>
    </w:lvl>
    <w:lvl w:ilvl="3" w:tplc="B9E6276A" w:tentative="1">
      <w:start w:val="1"/>
      <w:numFmt w:val="bullet"/>
      <w:lvlText w:val=""/>
      <w:lvlJc w:val="left"/>
      <w:pPr>
        <w:ind w:left="3240" w:hanging="360"/>
      </w:pPr>
      <w:rPr>
        <w:rFonts w:ascii="Symbol" w:hAnsi="Symbol" w:hint="default"/>
      </w:rPr>
    </w:lvl>
    <w:lvl w:ilvl="4" w:tplc="9200826E" w:tentative="1">
      <w:start w:val="1"/>
      <w:numFmt w:val="bullet"/>
      <w:lvlText w:val="o"/>
      <w:lvlJc w:val="left"/>
      <w:pPr>
        <w:ind w:left="3960" w:hanging="360"/>
      </w:pPr>
      <w:rPr>
        <w:rFonts w:ascii="Courier New" w:hAnsi="Courier New" w:cs="Courier New" w:hint="default"/>
      </w:rPr>
    </w:lvl>
    <w:lvl w:ilvl="5" w:tplc="1AC40FE6" w:tentative="1">
      <w:start w:val="1"/>
      <w:numFmt w:val="bullet"/>
      <w:lvlText w:val=""/>
      <w:lvlJc w:val="left"/>
      <w:pPr>
        <w:ind w:left="4680" w:hanging="360"/>
      </w:pPr>
      <w:rPr>
        <w:rFonts w:ascii="Wingdings" w:hAnsi="Wingdings" w:hint="default"/>
      </w:rPr>
    </w:lvl>
    <w:lvl w:ilvl="6" w:tplc="3740EF72" w:tentative="1">
      <w:start w:val="1"/>
      <w:numFmt w:val="bullet"/>
      <w:lvlText w:val=""/>
      <w:lvlJc w:val="left"/>
      <w:pPr>
        <w:ind w:left="5400" w:hanging="360"/>
      </w:pPr>
      <w:rPr>
        <w:rFonts w:ascii="Symbol" w:hAnsi="Symbol" w:hint="default"/>
      </w:rPr>
    </w:lvl>
    <w:lvl w:ilvl="7" w:tplc="A70E6668" w:tentative="1">
      <w:start w:val="1"/>
      <w:numFmt w:val="bullet"/>
      <w:lvlText w:val="o"/>
      <w:lvlJc w:val="left"/>
      <w:pPr>
        <w:ind w:left="6120" w:hanging="360"/>
      </w:pPr>
      <w:rPr>
        <w:rFonts w:ascii="Courier New" w:hAnsi="Courier New" w:cs="Courier New" w:hint="default"/>
      </w:rPr>
    </w:lvl>
    <w:lvl w:ilvl="8" w:tplc="402ADA46" w:tentative="1">
      <w:start w:val="1"/>
      <w:numFmt w:val="bullet"/>
      <w:lvlText w:val=""/>
      <w:lvlJc w:val="left"/>
      <w:pPr>
        <w:ind w:left="6840" w:hanging="360"/>
      </w:pPr>
      <w:rPr>
        <w:rFonts w:ascii="Wingdings" w:hAnsi="Wingdings" w:hint="default"/>
      </w:rPr>
    </w:lvl>
  </w:abstractNum>
  <w:abstractNum w:abstractNumId="19" w15:restartNumberingAfterBreak="0">
    <w:nsid w:val="61B4767E"/>
    <w:multiLevelType w:val="multilevel"/>
    <w:tmpl w:val="6BF06B2A"/>
    <w:lvl w:ilvl="0">
      <w:start w:val="1"/>
      <w:numFmt w:val="none"/>
      <w:pStyle w:val="CCScheduleHeader"/>
      <w:lvlText w:val=""/>
      <w:lvlJc w:val="left"/>
      <w:pPr>
        <w:ind w:left="0" w:firstLine="0"/>
      </w:pPr>
      <w:rPr>
        <w:rFonts w:hint="default"/>
      </w:rPr>
    </w:lvl>
    <w:lvl w:ilvl="1">
      <w:start w:val="1"/>
      <w:numFmt w:val="decimal"/>
      <w:pStyle w:val="CCSch1NOTOC"/>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2371CD"/>
    <w:multiLevelType w:val="hybridMultilevel"/>
    <w:tmpl w:val="3B76A654"/>
    <w:lvl w:ilvl="0" w:tplc="BB1EF50A">
      <w:start w:val="1"/>
      <w:numFmt w:val="bullet"/>
      <w:pStyle w:val="subclause3Bullet2"/>
      <w:lvlText w:val=""/>
      <w:lvlJc w:val="left"/>
      <w:pPr>
        <w:ind w:left="3748" w:hanging="360"/>
      </w:pPr>
      <w:rPr>
        <w:rFonts w:ascii="Symbol" w:hAnsi="Symbol" w:hint="default"/>
        <w:color w:val="000000"/>
      </w:rPr>
    </w:lvl>
    <w:lvl w:ilvl="1" w:tplc="30406DAC" w:tentative="1">
      <w:start w:val="1"/>
      <w:numFmt w:val="bullet"/>
      <w:lvlText w:val="o"/>
      <w:lvlJc w:val="left"/>
      <w:pPr>
        <w:ind w:left="4468" w:hanging="360"/>
      </w:pPr>
      <w:rPr>
        <w:rFonts w:ascii="Courier New" w:hAnsi="Courier New" w:cs="Courier New" w:hint="default"/>
      </w:rPr>
    </w:lvl>
    <w:lvl w:ilvl="2" w:tplc="BD7E2EE4" w:tentative="1">
      <w:start w:val="1"/>
      <w:numFmt w:val="bullet"/>
      <w:lvlText w:val=""/>
      <w:lvlJc w:val="left"/>
      <w:pPr>
        <w:ind w:left="5188" w:hanging="360"/>
      </w:pPr>
      <w:rPr>
        <w:rFonts w:ascii="Wingdings" w:hAnsi="Wingdings" w:hint="default"/>
      </w:rPr>
    </w:lvl>
    <w:lvl w:ilvl="3" w:tplc="34002CBA" w:tentative="1">
      <w:start w:val="1"/>
      <w:numFmt w:val="bullet"/>
      <w:lvlText w:val=""/>
      <w:lvlJc w:val="left"/>
      <w:pPr>
        <w:ind w:left="5908" w:hanging="360"/>
      </w:pPr>
      <w:rPr>
        <w:rFonts w:ascii="Symbol" w:hAnsi="Symbol" w:hint="default"/>
      </w:rPr>
    </w:lvl>
    <w:lvl w:ilvl="4" w:tplc="69242974" w:tentative="1">
      <w:start w:val="1"/>
      <w:numFmt w:val="bullet"/>
      <w:lvlText w:val="o"/>
      <w:lvlJc w:val="left"/>
      <w:pPr>
        <w:ind w:left="6628" w:hanging="360"/>
      </w:pPr>
      <w:rPr>
        <w:rFonts w:ascii="Courier New" w:hAnsi="Courier New" w:cs="Courier New" w:hint="default"/>
      </w:rPr>
    </w:lvl>
    <w:lvl w:ilvl="5" w:tplc="D3A02E20" w:tentative="1">
      <w:start w:val="1"/>
      <w:numFmt w:val="bullet"/>
      <w:lvlText w:val=""/>
      <w:lvlJc w:val="left"/>
      <w:pPr>
        <w:ind w:left="7348" w:hanging="360"/>
      </w:pPr>
      <w:rPr>
        <w:rFonts w:ascii="Wingdings" w:hAnsi="Wingdings" w:hint="default"/>
      </w:rPr>
    </w:lvl>
    <w:lvl w:ilvl="6" w:tplc="C7489946" w:tentative="1">
      <w:start w:val="1"/>
      <w:numFmt w:val="bullet"/>
      <w:lvlText w:val=""/>
      <w:lvlJc w:val="left"/>
      <w:pPr>
        <w:ind w:left="8068" w:hanging="360"/>
      </w:pPr>
      <w:rPr>
        <w:rFonts w:ascii="Symbol" w:hAnsi="Symbol" w:hint="default"/>
      </w:rPr>
    </w:lvl>
    <w:lvl w:ilvl="7" w:tplc="9740E5EE" w:tentative="1">
      <w:start w:val="1"/>
      <w:numFmt w:val="bullet"/>
      <w:lvlText w:val="o"/>
      <w:lvlJc w:val="left"/>
      <w:pPr>
        <w:ind w:left="8788" w:hanging="360"/>
      </w:pPr>
      <w:rPr>
        <w:rFonts w:ascii="Courier New" w:hAnsi="Courier New" w:cs="Courier New" w:hint="default"/>
      </w:rPr>
    </w:lvl>
    <w:lvl w:ilvl="8" w:tplc="829E7F46" w:tentative="1">
      <w:start w:val="1"/>
      <w:numFmt w:val="bullet"/>
      <w:lvlText w:val=""/>
      <w:lvlJc w:val="left"/>
      <w:pPr>
        <w:ind w:left="9508" w:hanging="360"/>
      </w:pPr>
      <w:rPr>
        <w:rFonts w:ascii="Wingdings" w:hAnsi="Wingdings" w:hint="default"/>
      </w:rPr>
    </w:lvl>
  </w:abstractNum>
  <w:abstractNum w:abstractNumId="21"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color w:val="00000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2" w15:restartNumberingAfterBreak="0">
    <w:nsid w:val="6A14466B"/>
    <w:multiLevelType w:val="hybridMultilevel"/>
    <w:tmpl w:val="2402A666"/>
    <w:lvl w:ilvl="0" w:tplc="5D0874CE">
      <w:start w:val="1"/>
      <w:numFmt w:val="bullet"/>
      <w:pStyle w:val="BulletList1"/>
      <w:lvlText w:val="·"/>
      <w:lvlJc w:val="left"/>
      <w:pPr>
        <w:tabs>
          <w:tab w:val="num" w:pos="360"/>
        </w:tabs>
        <w:ind w:left="360" w:hanging="360"/>
      </w:pPr>
      <w:rPr>
        <w:rFonts w:ascii="Symbol" w:hAnsi="Symbol" w:hint="default"/>
        <w:color w:val="000000"/>
      </w:rPr>
    </w:lvl>
    <w:lvl w:ilvl="1" w:tplc="9C12E12E" w:tentative="1">
      <w:start w:val="1"/>
      <w:numFmt w:val="bullet"/>
      <w:lvlText w:val="·"/>
      <w:lvlJc w:val="left"/>
      <w:pPr>
        <w:tabs>
          <w:tab w:val="num" w:pos="1440"/>
        </w:tabs>
        <w:ind w:left="1440" w:hanging="360"/>
      </w:pPr>
      <w:rPr>
        <w:rFonts w:ascii="Symbol" w:hAnsi="Symbol" w:hint="default"/>
      </w:rPr>
    </w:lvl>
    <w:lvl w:ilvl="2" w:tplc="5D06184E" w:tentative="1">
      <w:start w:val="1"/>
      <w:numFmt w:val="bullet"/>
      <w:lvlText w:val="·"/>
      <w:lvlJc w:val="left"/>
      <w:pPr>
        <w:tabs>
          <w:tab w:val="num" w:pos="2160"/>
        </w:tabs>
        <w:ind w:left="2160" w:hanging="360"/>
      </w:pPr>
      <w:rPr>
        <w:rFonts w:ascii="Symbol" w:hAnsi="Symbol" w:hint="default"/>
      </w:rPr>
    </w:lvl>
    <w:lvl w:ilvl="3" w:tplc="B316CFE4" w:tentative="1">
      <w:start w:val="1"/>
      <w:numFmt w:val="bullet"/>
      <w:lvlText w:val="·"/>
      <w:lvlJc w:val="left"/>
      <w:pPr>
        <w:tabs>
          <w:tab w:val="num" w:pos="2880"/>
        </w:tabs>
        <w:ind w:left="2880" w:hanging="360"/>
      </w:pPr>
      <w:rPr>
        <w:rFonts w:ascii="Symbol" w:hAnsi="Symbol" w:hint="default"/>
      </w:rPr>
    </w:lvl>
    <w:lvl w:ilvl="4" w:tplc="E7822396" w:tentative="1">
      <w:start w:val="1"/>
      <w:numFmt w:val="bullet"/>
      <w:lvlText w:val="o"/>
      <w:lvlJc w:val="left"/>
      <w:pPr>
        <w:tabs>
          <w:tab w:val="num" w:pos="3600"/>
        </w:tabs>
        <w:ind w:left="3600" w:hanging="360"/>
      </w:pPr>
      <w:rPr>
        <w:rFonts w:ascii="Courier New" w:hAnsi="Courier New" w:hint="default"/>
      </w:rPr>
    </w:lvl>
    <w:lvl w:ilvl="5" w:tplc="8DBC02D4" w:tentative="1">
      <w:start w:val="1"/>
      <w:numFmt w:val="bullet"/>
      <w:lvlText w:val="§"/>
      <w:lvlJc w:val="left"/>
      <w:pPr>
        <w:tabs>
          <w:tab w:val="num" w:pos="4320"/>
        </w:tabs>
        <w:ind w:left="4320" w:hanging="360"/>
      </w:pPr>
      <w:rPr>
        <w:rFonts w:ascii="Wingdings" w:hAnsi="Wingdings" w:hint="default"/>
      </w:rPr>
    </w:lvl>
    <w:lvl w:ilvl="6" w:tplc="C686B6EA" w:tentative="1">
      <w:start w:val="1"/>
      <w:numFmt w:val="bullet"/>
      <w:lvlText w:val="·"/>
      <w:lvlJc w:val="left"/>
      <w:pPr>
        <w:tabs>
          <w:tab w:val="num" w:pos="5040"/>
        </w:tabs>
        <w:ind w:left="5040" w:hanging="360"/>
      </w:pPr>
      <w:rPr>
        <w:rFonts w:ascii="Symbol" w:hAnsi="Symbol" w:hint="default"/>
      </w:rPr>
    </w:lvl>
    <w:lvl w:ilvl="7" w:tplc="C59A2170" w:tentative="1">
      <w:start w:val="1"/>
      <w:numFmt w:val="bullet"/>
      <w:lvlText w:val="o"/>
      <w:lvlJc w:val="left"/>
      <w:pPr>
        <w:tabs>
          <w:tab w:val="num" w:pos="5760"/>
        </w:tabs>
        <w:ind w:left="5760" w:hanging="360"/>
      </w:pPr>
      <w:rPr>
        <w:rFonts w:ascii="Courier New" w:hAnsi="Courier New" w:hint="default"/>
      </w:rPr>
    </w:lvl>
    <w:lvl w:ilvl="8" w:tplc="3FC6F44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color w:val="000000"/>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3E017EB"/>
    <w:multiLevelType w:val="multilevel"/>
    <w:tmpl w:val="3D601676"/>
    <w:styleLink w:val="CC"/>
    <w:lvl w:ilvl="0">
      <w:start w:val="1"/>
      <w:numFmt w:val="upperLetter"/>
      <w:pStyle w:val="CCA"/>
      <w:lvlText w:val="%1"/>
      <w:lvlJc w:val="left"/>
      <w:pPr>
        <w:ind w:left="851" w:hanging="851"/>
      </w:pPr>
      <w:rPr>
        <w:rFonts w:ascii="Arial" w:hAnsi="Arial" w:hint="default"/>
        <w:sz w:val="22"/>
      </w:rPr>
    </w:lvl>
    <w:lvl w:ilvl="1">
      <w:start w:val="1"/>
      <w:numFmt w:val="decimal"/>
      <w:pStyle w:val="CC1"/>
      <w:lvlText w:val="%2."/>
      <w:lvlJc w:val="left"/>
      <w:pPr>
        <w:ind w:left="851" w:hanging="851"/>
      </w:pPr>
      <w:rPr>
        <w:rFonts w:hint="default"/>
      </w:rPr>
    </w:lvl>
    <w:lvl w:ilvl="2">
      <w:start w:val="1"/>
      <w:numFmt w:val="decimal"/>
      <w:pStyle w:val="CC11"/>
      <w:lvlText w:val="%2.%3."/>
      <w:lvlJc w:val="left"/>
      <w:pPr>
        <w:ind w:left="851" w:hanging="851"/>
      </w:pPr>
      <w:rPr>
        <w:rFonts w:hint="default"/>
      </w:rPr>
    </w:lvl>
    <w:lvl w:ilvl="3">
      <w:start w:val="1"/>
      <w:numFmt w:val="decimal"/>
      <w:pStyle w:val="CC111"/>
      <w:lvlText w:val="%2.%3.%4."/>
      <w:lvlJc w:val="left"/>
      <w:pPr>
        <w:ind w:left="851" w:hanging="851"/>
      </w:pPr>
      <w:rPr>
        <w:rFonts w:hint="default"/>
      </w:rPr>
    </w:lvl>
    <w:lvl w:ilvl="4">
      <w:start w:val="1"/>
      <w:numFmt w:val="decimal"/>
      <w:lvlText w:val="%2.%3.%4.%5."/>
      <w:lvlJc w:val="left"/>
      <w:pPr>
        <w:ind w:left="851" w:hanging="851"/>
      </w:pPr>
      <w:rPr>
        <w:rFonts w:hint="default"/>
      </w:rPr>
    </w:lvl>
    <w:lvl w:ilvl="5">
      <w:start w:val="1"/>
      <w:numFmt w:val="lowerLetter"/>
      <w:lvlText w:val="%6)"/>
      <w:lvlJc w:val="left"/>
      <w:pPr>
        <w:ind w:left="1276" w:hanging="425"/>
      </w:pPr>
      <w:rPr>
        <w:rFonts w:hint="default"/>
      </w:rPr>
    </w:lvl>
    <w:lvl w:ilvl="6">
      <w:start w:val="1"/>
      <w:numFmt w:val="lowerRoman"/>
      <w:lvlText w:val="%7)"/>
      <w:lvlJc w:val="left"/>
      <w:pPr>
        <w:ind w:left="1701" w:hanging="42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DB5644F"/>
    <w:multiLevelType w:val="hybridMultilevel"/>
    <w:tmpl w:val="8BCC9C08"/>
    <w:lvl w:ilvl="0" w:tplc="A866DE9A">
      <w:start w:val="1"/>
      <w:numFmt w:val="bullet"/>
      <w:pStyle w:val="BulletList3"/>
      <w:lvlText w:val=""/>
      <w:lvlJc w:val="left"/>
      <w:pPr>
        <w:tabs>
          <w:tab w:val="num" w:pos="1945"/>
        </w:tabs>
        <w:ind w:left="1945" w:hanging="357"/>
      </w:pPr>
      <w:rPr>
        <w:rFonts w:ascii="Symbol" w:hAnsi="Symbol" w:hint="default"/>
        <w:color w:val="000000"/>
      </w:rPr>
    </w:lvl>
    <w:lvl w:ilvl="1" w:tplc="473E788E" w:tentative="1">
      <w:start w:val="1"/>
      <w:numFmt w:val="bullet"/>
      <w:lvlText w:val="o"/>
      <w:lvlJc w:val="left"/>
      <w:pPr>
        <w:tabs>
          <w:tab w:val="num" w:pos="1440"/>
        </w:tabs>
        <w:ind w:left="1440" w:hanging="360"/>
      </w:pPr>
      <w:rPr>
        <w:rFonts w:ascii="Courier New" w:hAnsi="Courier New" w:cs="Courier New" w:hint="default"/>
      </w:rPr>
    </w:lvl>
    <w:lvl w:ilvl="2" w:tplc="80A0D734" w:tentative="1">
      <w:start w:val="1"/>
      <w:numFmt w:val="bullet"/>
      <w:lvlText w:val=""/>
      <w:lvlJc w:val="left"/>
      <w:pPr>
        <w:tabs>
          <w:tab w:val="num" w:pos="2160"/>
        </w:tabs>
        <w:ind w:left="2160" w:hanging="360"/>
      </w:pPr>
      <w:rPr>
        <w:rFonts w:ascii="Wingdings" w:hAnsi="Wingdings" w:hint="default"/>
      </w:rPr>
    </w:lvl>
    <w:lvl w:ilvl="3" w:tplc="8A3CC0B2" w:tentative="1">
      <w:start w:val="1"/>
      <w:numFmt w:val="bullet"/>
      <w:lvlText w:val=""/>
      <w:lvlJc w:val="left"/>
      <w:pPr>
        <w:tabs>
          <w:tab w:val="num" w:pos="2880"/>
        </w:tabs>
        <w:ind w:left="2880" w:hanging="360"/>
      </w:pPr>
      <w:rPr>
        <w:rFonts w:ascii="Symbol" w:hAnsi="Symbol" w:hint="default"/>
      </w:rPr>
    </w:lvl>
    <w:lvl w:ilvl="4" w:tplc="1ADCCA9E" w:tentative="1">
      <w:start w:val="1"/>
      <w:numFmt w:val="bullet"/>
      <w:lvlText w:val="o"/>
      <w:lvlJc w:val="left"/>
      <w:pPr>
        <w:tabs>
          <w:tab w:val="num" w:pos="3600"/>
        </w:tabs>
        <w:ind w:left="3600" w:hanging="360"/>
      </w:pPr>
      <w:rPr>
        <w:rFonts w:ascii="Courier New" w:hAnsi="Courier New" w:cs="Courier New" w:hint="default"/>
      </w:rPr>
    </w:lvl>
    <w:lvl w:ilvl="5" w:tplc="A7AAA9BA" w:tentative="1">
      <w:start w:val="1"/>
      <w:numFmt w:val="bullet"/>
      <w:lvlText w:val=""/>
      <w:lvlJc w:val="left"/>
      <w:pPr>
        <w:tabs>
          <w:tab w:val="num" w:pos="4320"/>
        </w:tabs>
        <w:ind w:left="4320" w:hanging="360"/>
      </w:pPr>
      <w:rPr>
        <w:rFonts w:ascii="Wingdings" w:hAnsi="Wingdings" w:hint="default"/>
      </w:rPr>
    </w:lvl>
    <w:lvl w:ilvl="6" w:tplc="CDB65AA4" w:tentative="1">
      <w:start w:val="1"/>
      <w:numFmt w:val="bullet"/>
      <w:lvlText w:val=""/>
      <w:lvlJc w:val="left"/>
      <w:pPr>
        <w:tabs>
          <w:tab w:val="num" w:pos="5040"/>
        </w:tabs>
        <w:ind w:left="5040" w:hanging="360"/>
      </w:pPr>
      <w:rPr>
        <w:rFonts w:ascii="Symbol" w:hAnsi="Symbol" w:hint="default"/>
      </w:rPr>
    </w:lvl>
    <w:lvl w:ilvl="7" w:tplc="BD0AD370" w:tentative="1">
      <w:start w:val="1"/>
      <w:numFmt w:val="bullet"/>
      <w:lvlText w:val="o"/>
      <w:lvlJc w:val="left"/>
      <w:pPr>
        <w:tabs>
          <w:tab w:val="num" w:pos="5760"/>
        </w:tabs>
        <w:ind w:left="5760" w:hanging="360"/>
      </w:pPr>
      <w:rPr>
        <w:rFonts w:ascii="Courier New" w:hAnsi="Courier New" w:cs="Courier New" w:hint="default"/>
      </w:rPr>
    </w:lvl>
    <w:lvl w:ilvl="8" w:tplc="00C02D9C" w:tentative="1">
      <w:start w:val="1"/>
      <w:numFmt w:val="bullet"/>
      <w:lvlText w:val=""/>
      <w:lvlJc w:val="left"/>
      <w:pPr>
        <w:tabs>
          <w:tab w:val="num" w:pos="6480"/>
        </w:tabs>
        <w:ind w:left="6480" w:hanging="360"/>
      </w:pPr>
      <w:rPr>
        <w:rFonts w:ascii="Wingdings" w:hAnsi="Wingdings" w:hint="default"/>
      </w:rPr>
    </w:lvl>
  </w:abstractNum>
  <w:num w:numId="1" w16cid:durableId="1195772718">
    <w:abstractNumId w:val="21"/>
  </w:num>
  <w:num w:numId="2" w16cid:durableId="250163958">
    <w:abstractNumId w:val="22"/>
  </w:num>
  <w:num w:numId="3" w16cid:durableId="294453720">
    <w:abstractNumId w:val="8"/>
  </w:num>
  <w:num w:numId="4" w16cid:durableId="2001034584">
    <w:abstractNumId w:val="26"/>
  </w:num>
  <w:num w:numId="5" w16cid:durableId="40979060">
    <w:abstractNumId w:val="25"/>
  </w:num>
  <w:num w:numId="6" w16cid:durableId="1582788718">
    <w:abstractNumId w:val="4"/>
  </w:num>
  <w:num w:numId="7" w16cid:durableId="629819855">
    <w:abstractNumId w:val="10"/>
  </w:num>
  <w:num w:numId="8" w16cid:durableId="184489981">
    <w:abstractNumId w:val="9"/>
  </w:num>
  <w:num w:numId="9" w16cid:durableId="1739743298">
    <w:abstractNumId w:val="6"/>
  </w:num>
  <w:num w:numId="10" w16cid:durableId="1875387798">
    <w:abstractNumId w:val="17"/>
  </w:num>
  <w:num w:numId="11" w16cid:durableId="135993670">
    <w:abstractNumId w:val="5"/>
  </w:num>
  <w:num w:numId="12" w16cid:durableId="1147749378">
    <w:abstractNumId w:val="16"/>
  </w:num>
  <w:num w:numId="13" w16cid:durableId="1181309934">
    <w:abstractNumId w:val="18"/>
  </w:num>
  <w:num w:numId="14" w16cid:durableId="900599331">
    <w:abstractNumId w:val="11"/>
  </w:num>
  <w:num w:numId="15" w16cid:durableId="1516653838">
    <w:abstractNumId w:val="15"/>
  </w:num>
  <w:num w:numId="16" w16cid:durableId="2028169814">
    <w:abstractNumId w:val="13"/>
  </w:num>
  <w:num w:numId="17" w16cid:durableId="956719036">
    <w:abstractNumId w:val="14"/>
  </w:num>
  <w:num w:numId="18" w16cid:durableId="2058893769">
    <w:abstractNumId w:val="12"/>
  </w:num>
  <w:num w:numId="19" w16cid:durableId="493303695">
    <w:abstractNumId w:val="7"/>
  </w:num>
  <w:num w:numId="20" w16cid:durableId="1840583373">
    <w:abstractNumId w:val="20"/>
  </w:num>
  <w:num w:numId="21" w16cid:durableId="706174451">
    <w:abstractNumId w:val="1"/>
  </w:num>
  <w:num w:numId="22" w16cid:durableId="1148787600">
    <w:abstractNumId w:val="3"/>
  </w:num>
  <w:num w:numId="23" w16cid:durableId="930967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0137753">
    <w:abstractNumId w:val="23"/>
  </w:num>
  <w:num w:numId="25" w16cid:durableId="311447725">
    <w:abstractNumId w:val="24"/>
  </w:num>
  <w:num w:numId="26" w16cid:durableId="1288508825">
    <w:abstractNumId w:val="19"/>
  </w:num>
  <w:num w:numId="27" w16cid:durableId="125851820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deed&lt;/Precedent&gt;_x000d__x000a_  &lt;Operative&gt;Clause&lt;/Operative&gt;_x000d__x000a_  &lt;TemplateType&gt;null&lt;/TemplateType&gt;_x000d__x000a_  &lt;SignaturePageBreakType&gt;Yes without message&lt;/SignaturePageBreakType&gt;_x000d__x000a_&lt;/docParts&gt;"/>
    <w:docVar w:name="gentXMLPartID" w:val="{CE0D92C4-9C13-469A-97D2-66613ADA04F7}"/>
  </w:docVars>
  <w:rsids>
    <w:rsidRoot w:val="00FE7F15"/>
    <w:rsid w:val="000C43EF"/>
    <w:rsid w:val="000C62E0"/>
    <w:rsid w:val="001826E9"/>
    <w:rsid w:val="002E1A4E"/>
    <w:rsid w:val="003239B2"/>
    <w:rsid w:val="00324EF7"/>
    <w:rsid w:val="003603BC"/>
    <w:rsid w:val="00384C90"/>
    <w:rsid w:val="00584228"/>
    <w:rsid w:val="005859BE"/>
    <w:rsid w:val="007475BD"/>
    <w:rsid w:val="0082315A"/>
    <w:rsid w:val="00910111"/>
    <w:rsid w:val="00944691"/>
    <w:rsid w:val="00C461EC"/>
    <w:rsid w:val="00CA37F5"/>
    <w:rsid w:val="00D168A8"/>
    <w:rsid w:val="00D93695"/>
    <w:rsid w:val="00DA1151"/>
    <w:rsid w:val="00DA13D4"/>
    <w:rsid w:val="00FE215E"/>
    <w:rsid w:val="00FE7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A7B75"/>
  <w15:docId w15:val="{A7836E63-EFD3-4761-929F-44CE243F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111"/>
    <w:pPr>
      <w:spacing w:after="160" w:line="259" w:lineRule="auto"/>
    </w:pPr>
    <w:rPr>
      <w:rFonts w:eastAsiaTheme="minorHAnsi"/>
      <w:kern w:val="2"/>
      <w:lang w:eastAsia="en-US"/>
      <w14:ligatures w14:val="standardContextual"/>
    </w:rPr>
  </w:style>
  <w:style w:type="paragraph" w:styleId="Heading1">
    <w:name w:val="heading 1"/>
    <w:basedOn w:val="Normal"/>
    <w:next w:val="Normal"/>
    <w:link w:val="Heading1Char"/>
    <w:uiPriority w:val="9"/>
    <w:qFormat/>
    <w:rsid w:val="002E1A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E1A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E1A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E1A4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F7520"/>
    <w:pPr>
      <w:keepNext/>
      <w:keepLines/>
      <w:numPr>
        <w:ilvl w:val="4"/>
        <w:numId w:val="10"/>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2E1A4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E1A4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F7520"/>
    <w:pPr>
      <w:keepNext/>
      <w:keepLines/>
      <w:numPr>
        <w:ilvl w:val="7"/>
        <w:numId w:val="10"/>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AF7520"/>
    <w:pPr>
      <w:keepNext/>
      <w:keepLines/>
      <w:numPr>
        <w:ilvl w:val="8"/>
        <w:numId w:val="10"/>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9101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0111"/>
  </w:style>
  <w:style w:type="paragraph" w:customStyle="1" w:styleId="Abstract">
    <w:name w:val="Abstract"/>
    <w:link w:val="AbstractChar"/>
    <w:rsid w:val="00AF7520"/>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AF7520"/>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AF7520"/>
    <w:pPr>
      <w:numPr>
        <w:numId w:val="11"/>
      </w:numPr>
      <w:spacing w:before="240" w:after="240"/>
      <w:ind w:left="0" w:firstLine="0"/>
    </w:pPr>
    <w:rPr>
      <w:b/>
    </w:rPr>
  </w:style>
  <w:style w:type="paragraph" w:customStyle="1" w:styleId="AuthoringGroup">
    <w:name w:val="Authoring Group"/>
    <w:link w:val="AuthoringGroupChar"/>
    <w:rsid w:val="00AF7520"/>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AF7520"/>
    <w:rPr>
      <w:rFonts w:ascii="Arial" w:eastAsia="Arial Unicode MS" w:hAnsi="Arial" w:cs="Arial"/>
      <w:color w:val="000000"/>
      <w:sz w:val="24"/>
      <w:lang w:val="en-US" w:eastAsia="en-US"/>
    </w:rPr>
  </w:style>
  <w:style w:type="paragraph" w:customStyle="1" w:styleId="Background">
    <w:name w:val="Background"/>
    <w:aliases w:val="(A) Background"/>
    <w:basedOn w:val="Normal"/>
    <w:rsid w:val="00AF7520"/>
    <w:pPr>
      <w:numPr>
        <w:numId w:val="1"/>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AF7520"/>
    <w:pPr>
      <w:numPr>
        <w:numId w:val="2"/>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AF7520"/>
    <w:pPr>
      <w:numPr>
        <w:numId w:val="3"/>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AF7520"/>
    <w:pPr>
      <w:numPr>
        <w:numId w:val="4"/>
      </w:numPr>
      <w:spacing w:after="240" w:line="240" w:lineRule="auto"/>
      <w:jc w:val="both"/>
    </w:pPr>
    <w:rPr>
      <w:rFonts w:ascii="Arial" w:eastAsia="Arial Unicode MS" w:hAnsi="Arial" w:cs="Arial"/>
      <w:color w:val="000000"/>
      <w:szCs w:val="20"/>
    </w:rPr>
  </w:style>
  <w:style w:type="paragraph" w:customStyle="1" w:styleId="TitleClause">
    <w:name w:val="Title Clause"/>
    <w:basedOn w:val="Normal"/>
    <w:rsid w:val="00AF7520"/>
    <w:pPr>
      <w:keepNext/>
      <w:numPr>
        <w:numId w:val="23"/>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AF7520"/>
    <w:rPr>
      <w:b w:val="0"/>
      <w:smallCaps/>
    </w:rPr>
  </w:style>
  <w:style w:type="paragraph" w:customStyle="1" w:styleId="ClosingPara">
    <w:name w:val="Closing Para"/>
    <w:basedOn w:val="Normal"/>
    <w:rsid w:val="00AF7520"/>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AF7520"/>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AF7520"/>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AF7520"/>
  </w:style>
  <w:style w:type="paragraph" w:customStyle="1" w:styleId="CoverSheetSubjectText">
    <w:name w:val="Cover Sheet Subject Text"/>
    <w:basedOn w:val="Normal"/>
    <w:rsid w:val="00AF7520"/>
    <w:pPr>
      <w:spacing w:after="0"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AF7520"/>
    <w:pPr>
      <w:spacing w:after="0"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AF7520"/>
    <w:pPr>
      <w:numPr>
        <w:numId w:val="24"/>
      </w:numPr>
    </w:pPr>
  </w:style>
  <w:style w:type="paragraph" w:customStyle="1" w:styleId="DescriptiveHeading">
    <w:name w:val="DescriptiveHeading"/>
    <w:next w:val="Paragraph"/>
    <w:link w:val="DescriptiveHeadingChar"/>
    <w:rsid w:val="00AF7520"/>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AF7520"/>
    <w:rPr>
      <w:rFonts w:ascii="Arial" w:eastAsia="Arial Unicode MS" w:hAnsi="Arial" w:cs="Arial"/>
      <w:b/>
      <w:color w:val="000000"/>
      <w:lang w:val="en-US" w:eastAsia="en-US"/>
    </w:rPr>
  </w:style>
  <w:style w:type="paragraph" w:customStyle="1" w:styleId="DraftingnoteSection1Para">
    <w:name w:val="Draftingnote Section1 Para"/>
    <w:basedOn w:val="Normal"/>
    <w:rsid w:val="00AF7520"/>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AF7520"/>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AF7520"/>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AF7520"/>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AF7520"/>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AF7520"/>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AF7520"/>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AF7520"/>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AF7520"/>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AF7520"/>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AF7520"/>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AF7520"/>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AF7520"/>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AF7520"/>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AF7520"/>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AF7520"/>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AF7520"/>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AF7520"/>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AF7520"/>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AF7520"/>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AF7520"/>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AF7520"/>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AF7520"/>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AF7520"/>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AF7520"/>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AF7520"/>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AF7520"/>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AF7520"/>
    <w:rPr>
      <w:rFonts w:ascii="Arial" w:eastAsia="Arial Unicode MS" w:hAnsi="Arial" w:cs="Arial"/>
      <w:color w:val="000000"/>
      <w:sz w:val="24"/>
      <w:lang w:val="en-US" w:eastAsia="en-US"/>
    </w:rPr>
  </w:style>
  <w:style w:type="paragraph" w:customStyle="1" w:styleId="MaintenanceEditor">
    <w:name w:val="Maintenance Editor"/>
    <w:link w:val="MaintenanceEditorChar"/>
    <w:rsid w:val="00AF7520"/>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AF7520"/>
    <w:rPr>
      <w:rFonts w:ascii="Arial" w:eastAsia="Arial Unicode MS" w:hAnsi="Arial" w:cs="Arial"/>
      <w:color w:val="000000"/>
      <w:sz w:val="24"/>
      <w:lang w:val="en-US" w:eastAsia="en-US"/>
    </w:rPr>
  </w:style>
  <w:style w:type="paragraph" w:customStyle="1" w:styleId="ParaClause">
    <w:name w:val="Para Clause"/>
    <w:basedOn w:val="Normal"/>
    <w:rsid w:val="00AF7520"/>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AF7520"/>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AF7520"/>
    <w:pPr>
      <w:numPr>
        <w:ilvl w:val="1"/>
        <w:numId w:val="23"/>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AF7520"/>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AF7520"/>
    <w:pPr>
      <w:numPr>
        <w:ilvl w:val="2"/>
        <w:numId w:val="23"/>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AF7520"/>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AF7520"/>
    <w:pPr>
      <w:numPr>
        <w:ilvl w:val="3"/>
        <w:numId w:val="23"/>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AF7520"/>
    <w:pPr>
      <w:spacing w:after="240"/>
      <w:ind w:left="3028"/>
    </w:pPr>
  </w:style>
  <w:style w:type="paragraph" w:customStyle="1" w:styleId="Untitledsubclause4">
    <w:name w:val="Untitled subclause 4"/>
    <w:basedOn w:val="Normal"/>
    <w:rsid w:val="00AF7520"/>
    <w:pPr>
      <w:numPr>
        <w:ilvl w:val="4"/>
        <w:numId w:val="23"/>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AF7520"/>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AF7520"/>
    <w:pPr>
      <w:numPr>
        <w:numId w:val="5"/>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AF7520"/>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AF7520"/>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AF7520"/>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AF7520"/>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AF7520"/>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AF7520"/>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AF7520"/>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AF7520"/>
    <w:rPr>
      <w:rFonts w:ascii="Arial" w:eastAsia="Arial Unicode MS" w:hAnsi="Arial" w:cs="Arial"/>
      <w:b/>
      <w:bCs/>
      <w:color w:val="000000"/>
      <w:sz w:val="24"/>
      <w:lang w:val="en-US" w:eastAsia="en-US"/>
    </w:rPr>
  </w:style>
  <w:style w:type="paragraph" w:customStyle="1" w:styleId="ResourceType">
    <w:name w:val="Resource Type"/>
    <w:link w:val="ResourceTypeChar"/>
    <w:rsid w:val="00AF7520"/>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AF7520"/>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AF7520"/>
    <w:pPr>
      <w:numPr>
        <w:numId w:val="6"/>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AF7520"/>
    <w:pPr>
      <w:keepNext/>
      <w:pageBreakBefore/>
      <w:numPr>
        <w:numId w:val="7"/>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AF7520"/>
    <w:pPr>
      <w:tabs>
        <w:tab w:val="left" w:pos="709"/>
      </w:tabs>
      <w:spacing w:before="120" w:after="120" w:line="300" w:lineRule="atLeast"/>
      <w:jc w:val="both"/>
    </w:pPr>
    <w:rPr>
      <w:rFonts w:ascii="Arial" w:eastAsia="Arial Unicode MS" w:hAnsi="Arial" w:cs="Arial"/>
      <w:b/>
      <w:smallCaps/>
      <w:color w:val="000000"/>
      <w:sz w:val="24"/>
      <w:szCs w:val="20"/>
    </w:rPr>
  </w:style>
  <w:style w:type="paragraph" w:customStyle="1" w:styleId="Shortquestion">
    <w:name w:val="Shortquestion"/>
    <w:basedOn w:val="Normal"/>
    <w:rsid w:val="00AF7520"/>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AF7520"/>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AF7520"/>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AF7520"/>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AF7520"/>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AF7520"/>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AF7520"/>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AF7520"/>
    <w:rPr>
      <w:rFonts w:ascii="Arial" w:eastAsia="Arial Unicode MS" w:hAnsi="Arial" w:cs="Arial"/>
      <w:color w:val="000000"/>
      <w:sz w:val="24"/>
      <w:szCs w:val="24"/>
      <w:lang w:val="en-US" w:eastAsia="en-US"/>
    </w:rPr>
  </w:style>
  <w:style w:type="paragraph" w:styleId="Title">
    <w:name w:val="Title"/>
    <w:link w:val="TitleChar"/>
    <w:rsid w:val="00AF7520"/>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AF7520"/>
    <w:rPr>
      <w:rFonts w:ascii="Arial" w:eastAsia="Arial Unicode MS" w:hAnsi="Arial" w:cs="Arial"/>
      <w:color w:val="000000"/>
      <w:sz w:val="24"/>
      <w:lang w:val="en-US" w:eastAsia="en-US"/>
    </w:rPr>
  </w:style>
  <w:style w:type="paragraph" w:styleId="Footer">
    <w:name w:val="footer"/>
    <w:basedOn w:val="Normal"/>
    <w:link w:val="FooterChar"/>
    <w:rsid w:val="00AF7520"/>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AF7520"/>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AF7520"/>
    <w:rPr>
      <w:i/>
      <w:color w:val="000000"/>
      <w:u w:val="single"/>
    </w:rPr>
  </w:style>
  <w:style w:type="paragraph" w:customStyle="1" w:styleId="Bullet4">
    <w:name w:val="Bullet4"/>
    <w:basedOn w:val="Normal"/>
    <w:rsid w:val="00AF7520"/>
    <w:pPr>
      <w:numPr>
        <w:numId w:val="8"/>
      </w:numPr>
      <w:spacing w:after="240" w:line="240" w:lineRule="auto"/>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AF7520"/>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AF7520"/>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AF7520"/>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AF7520"/>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AF7520"/>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AF7520"/>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AF7520"/>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AF7520"/>
    <w:pPr>
      <w:tabs>
        <w:tab w:val="center" w:pos="4513"/>
        <w:tab w:val="right" w:pos="9026"/>
      </w:tabs>
      <w:spacing w:after="0" w:line="240" w:lineRule="auto"/>
    </w:pPr>
    <w:rPr>
      <w:color w:val="000000"/>
    </w:rPr>
  </w:style>
  <w:style w:type="character" w:customStyle="1" w:styleId="HeaderChar">
    <w:name w:val="Header Char"/>
    <w:basedOn w:val="DefaultParagraphFont"/>
    <w:link w:val="Header"/>
    <w:uiPriority w:val="99"/>
    <w:rsid w:val="00AF7520"/>
    <w:rPr>
      <w:color w:val="000000"/>
    </w:rPr>
  </w:style>
  <w:style w:type="character" w:styleId="PlaceholderText">
    <w:name w:val="Placeholder Text"/>
    <w:basedOn w:val="DefaultParagraphFont"/>
    <w:uiPriority w:val="99"/>
    <w:rsid w:val="00AF7520"/>
    <w:rPr>
      <w:color w:val="000000"/>
    </w:rPr>
  </w:style>
  <w:style w:type="paragraph" w:styleId="BalloonText">
    <w:name w:val="Balloon Text"/>
    <w:basedOn w:val="Normal"/>
    <w:link w:val="BalloonTextChar"/>
    <w:uiPriority w:val="99"/>
    <w:semiHidden/>
    <w:unhideWhenUsed/>
    <w:rsid w:val="00AF7520"/>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AF7520"/>
    <w:rPr>
      <w:rFonts w:ascii="Tahoma" w:hAnsi="Tahoma" w:cs="Tahoma"/>
      <w:color w:val="000000"/>
      <w:sz w:val="16"/>
      <w:szCs w:val="16"/>
    </w:rPr>
  </w:style>
  <w:style w:type="paragraph" w:customStyle="1" w:styleId="PinPointRef">
    <w:name w:val="PinPoint Ref"/>
    <w:link w:val="PinPointRefChar"/>
    <w:qFormat/>
    <w:rsid w:val="00AF7520"/>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AF7520"/>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AF7520"/>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AF7520"/>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AF7520"/>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AF7520"/>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AF7520"/>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AF7520"/>
    <w:rPr>
      <w:rFonts w:ascii="Arial" w:eastAsia="Arial Unicode MS" w:hAnsi="Arial" w:cs="Arial"/>
      <w:color w:val="000000"/>
      <w:szCs w:val="24"/>
      <w:lang w:val="en-US" w:eastAsia="en-US"/>
    </w:rPr>
  </w:style>
  <w:style w:type="paragraph" w:customStyle="1" w:styleId="IntroDefault">
    <w:name w:val="Intro Default"/>
    <w:basedOn w:val="Paragraph"/>
    <w:qFormat/>
    <w:rsid w:val="00AF7520"/>
  </w:style>
  <w:style w:type="paragraph" w:customStyle="1" w:styleId="IntroCustom">
    <w:name w:val="Intro Custom"/>
    <w:basedOn w:val="Paragraph"/>
    <w:qFormat/>
    <w:rsid w:val="00AF7520"/>
  </w:style>
  <w:style w:type="paragraph" w:customStyle="1" w:styleId="PrecedentType">
    <w:name w:val="Precedent Type"/>
    <w:basedOn w:val="IgnoredSpacing"/>
    <w:qFormat/>
    <w:rsid w:val="00AF7520"/>
  </w:style>
  <w:style w:type="paragraph" w:customStyle="1" w:styleId="Operative">
    <w:name w:val="Operative"/>
    <w:basedOn w:val="IgnoredSpacing"/>
    <w:qFormat/>
    <w:rsid w:val="00AF7520"/>
    <w:rPr>
      <w:vanish/>
    </w:rPr>
  </w:style>
  <w:style w:type="paragraph" w:customStyle="1" w:styleId="SpeedreadBulletList1">
    <w:name w:val="Speedread Bullet List 1"/>
    <w:basedOn w:val="BulletList1"/>
    <w:qFormat/>
    <w:rsid w:val="00AF7520"/>
  </w:style>
  <w:style w:type="paragraph" w:customStyle="1" w:styleId="PartiesTitle">
    <w:name w:val="Parties Title"/>
    <w:basedOn w:val="Paragraph"/>
    <w:qFormat/>
    <w:rsid w:val="00AF7520"/>
    <w:rPr>
      <w:b/>
    </w:rPr>
  </w:style>
  <w:style w:type="table" w:styleId="TableGrid">
    <w:name w:val="Table Grid"/>
    <w:basedOn w:val="TableNormal"/>
    <w:rsid w:val="00AF7520"/>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AF7520"/>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AF7520"/>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AF7520"/>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AF7520"/>
    <w:pPr>
      <w:shd w:val="clear" w:color="auto" w:fill="D9D9D9" w:themeFill="background1" w:themeFillShade="D9"/>
      <w:ind w:left="1077"/>
    </w:pPr>
  </w:style>
  <w:style w:type="paragraph" w:customStyle="1" w:styleId="TestimoniumContract">
    <w:name w:val="Testimonium Contract"/>
    <w:basedOn w:val="Paragraph"/>
    <w:qFormat/>
    <w:rsid w:val="00AF7520"/>
  </w:style>
  <w:style w:type="paragraph" w:customStyle="1" w:styleId="TestimoniumDeed">
    <w:name w:val="Testimonium Deed"/>
    <w:basedOn w:val="Paragraph"/>
    <w:qFormat/>
    <w:rsid w:val="00AF7520"/>
  </w:style>
  <w:style w:type="paragraph" w:customStyle="1" w:styleId="Titlesubclause2">
    <w:name w:val="Title subclause2"/>
    <w:basedOn w:val="Untitledsubclause2"/>
    <w:qFormat/>
    <w:rsid w:val="00AF7520"/>
    <w:rPr>
      <w:b/>
    </w:rPr>
  </w:style>
  <w:style w:type="paragraph" w:customStyle="1" w:styleId="Titlesubclause3">
    <w:name w:val="Title subclause3"/>
    <w:basedOn w:val="Untitledsubclause3"/>
    <w:qFormat/>
    <w:rsid w:val="00AF7520"/>
    <w:rPr>
      <w:b/>
    </w:rPr>
  </w:style>
  <w:style w:type="paragraph" w:customStyle="1" w:styleId="Titlesubclause4">
    <w:name w:val="Title subclause4"/>
    <w:basedOn w:val="Untitledsubclause4"/>
    <w:qFormat/>
    <w:rsid w:val="00AF7520"/>
    <w:rPr>
      <w:b/>
    </w:rPr>
  </w:style>
  <w:style w:type="paragraph" w:customStyle="1" w:styleId="UntitledClause">
    <w:name w:val="Untitled Clause"/>
    <w:basedOn w:val="TitleClause"/>
    <w:qFormat/>
    <w:rsid w:val="00AF7520"/>
    <w:pPr>
      <w:spacing w:before="120"/>
    </w:pPr>
    <w:rPr>
      <w:b w:val="0"/>
    </w:rPr>
  </w:style>
  <w:style w:type="paragraph" w:customStyle="1" w:styleId="Titlesubclause1">
    <w:name w:val="Title subclause1"/>
    <w:basedOn w:val="Untitledsubclause1"/>
    <w:qFormat/>
    <w:rsid w:val="00AF7520"/>
    <w:pPr>
      <w:spacing w:before="120"/>
    </w:pPr>
    <w:rPr>
      <w:b/>
    </w:rPr>
  </w:style>
  <w:style w:type="paragraph" w:customStyle="1" w:styleId="Schedule">
    <w:name w:val="Schedule"/>
    <w:qFormat/>
    <w:rsid w:val="00AF7520"/>
    <w:pPr>
      <w:numPr>
        <w:numId w:val="22"/>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2E1A4E"/>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Heading2Char">
    <w:name w:val="Heading 2 Char"/>
    <w:basedOn w:val="DefaultParagraphFont"/>
    <w:link w:val="Heading2"/>
    <w:uiPriority w:val="9"/>
    <w:semiHidden/>
    <w:rsid w:val="002E1A4E"/>
    <w:rPr>
      <w:rFonts w:asciiTheme="majorHAnsi" w:eastAsiaTheme="majorEastAsia" w:hAnsiTheme="majorHAnsi" w:cstheme="majorBidi"/>
      <w:color w:val="365F91" w:themeColor="accent1" w:themeShade="BF"/>
      <w:kern w:val="2"/>
      <w:sz w:val="26"/>
      <w:szCs w:val="26"/>
      <w:lang w:eastAsia="en-US"/>
      <w14:ligatures w14:val="standardContextual"/>
    </w:rPr>
  </w:style>
  <w:style w:type="character" w:customStyle="1" w:styleId="Heading3Char">
    <w:name w:val="Heading 3 Char"/>
    <w:basedOn w:val="DefaultParagraphFont"/>
    <w:link w:val="Heading3"/>
    <w:uiPriority w:val="9"/>
    <w:semiHidden/>
    <w:rsid w:val="002E1A4E"/>
    <w:rPr>
      <w:rFonts w:asciiTheme="majorHAnsi" w:eastAsiaTheme="majorEastAsia" w:hAnsiTheme="majorHAnsi" w:cstheme="majorBidi"/>
      <w:color w:val="243F60" w:themeColor="accent1" w:themeShade="7F"/>
      <w:kern w:val="2"/>
      <w:sz w:val="24"/>
      <w:szCs w:val="24"/>
      <w:lang w:eastAsia="en-US"/>
      <w14:ligatures w14:val="standardContextual"/>
    </w:rPr>
  </w:style>
  <w:style w:type="character" w:customStyle="1" w:styleId="Heading4Char">
    <w:name w:val="Heading 4 Char"/>
    <w:basedOn w:val="DefaultParagraphFont"/>
    <w:link w:val="Heading4"/>
    <w:uiPriority w:val="9"/>
    <w:semiHidden/>
    <w:rsid w:val="002E1A4E"/>
    <w:rPr>
      <w:rFonts w:asciiTheme="majorHAnsi" w:eastAsiaTheme="majorEastAsia" w:hAnsiTheme="majorHAnsi" w:cstheme="majorBidi"/>
      <w:i/>
      <w:iCs/>
      <w:color w:val="365F91" w:themeColor="accent1" w:themeShade="BF"/>
      <w:kern w:val="2"/>
      <w:lang w:eastAsia="en-US"/>
      <w14:ligatures w14:val="standardContextual"/>
    </w:rPr>
  </w:style>
  <w:style w:type="character" w:customStyle="1" w:styleId="Heading5Char">
    <w:name w:val="Heading 5 Char"/>
    <w:basedOn w:val="DefaultParagraphFont"/>
    <w:link w:val="Heading5"/>
    <w:uiPriority w:val="9"/>
    <w:semiHidden/>
    <w:rsid w:val="00AF7520"/>
    <w:rPr>
      <w:rFonts w:asciiTheme="majorHAnsi" w:eastAsiaTheme="majorEastAsia" w:hAnsiTheme="majorHAnsi" w:cstheme="majorBidi"/>
      <w:color w:val="000000"/>
      <w:kern w:val="2"/>
      <w:lang w:eastAsia="en-US"/>
      <w14:ligatures w14:val="standardContextual"/>
    </w:rPr>
  </w:style>
  <w:style w:type="character" w:customStyle="1" w:styleId="Heading6Char">
    <w:name w:val="Heading 6 Char"/>
    <w:basedOn w:val="DefaultParagraphFont"/>
    <w:link w:val="Heading6"/>
    <w:uiPriority w:val="9"/>
    <w:semiHidden/>
    <w:rsid w:val="002E1A4E"/>
    <w:rPr>
      <w:rFonts w:asciiTheme="majorHAnsi" w:eastAsiaTheme="majorEastAsia" w:hAnsiTheme="majorHAnsi" w:cstheme="majorBidi"/>
      <w:color w:val="243F60" w:themeColor="accent1" w:themeShade="7F"/>
      <w:kern w:val="2"/>
      <w:lang w:eastAsia="en-US"/>
      <w14:ligatures w14:val="standardContextual"/>
    </w:rPr>
  </w:style>
  <w:style w:type="character" w:customStyle="1" w:styleId="Heading7Char">
    <w:name w:val="Heading 7 Char"/>
    <w:basedOn w:val="DefaultParagraphFont"/>
    <w:link w:val="Heading7"/>
    <w:uiPriority w:val="9"/>
    <w:semiHidden/>
    <w:rsid w:val="002E1A4E"/>
    <w:rPr>
      <w:rFonts w:asciiTheme="majorHAnsi" w:eastAsiaTheme="majorEastAsia" w:hAnsiTheme="majorHAnsi" w:cstheme="majorBidi"/>
      <w:i/>
      <w:iCs/>
      <w:color w:val="243F60" w:themeColor="accent1" w:themeShade="7F"/>
      <w:kern w:val="2"/>
      <w:lang w:eastAsia="en-US"/>
      <w14:ligatures w14:val="standardContextual"/>
    </w:rPr>
  </w:style>
  <w:style w:type="character" w:customStyle="1" w:styleId="Heading8Char">
    <w:name w:val="Heading 8 Char"/>
    <w:basedOn w:val="DefaultParagraphFont"/>
    <w:link w:val="Heading8"/>
    <w:uiPriority w:val="9"/>
    <w:semiHidden/>
    <w:rsid w:val="00AF7520"/>
    <w:rPr>
      <w:rFonts w:asciiTheme="majorHAnsi" w:eastAsiaTheme="majorEastAsia" w:hAnsiTheme="majorHAnsi" w:cstheme="majorBidi"/>
      <w:color w:val="000000"/>
      <w:kern w:val="2"/>
      <w:sz w:val="20"/>
      <w:szCs w:val="20"/>
      <w:lang w:eastAsia="en-US"/>
      <w14:ligatures w14:val="standardContextual"/>
    </w:rPr>
  </w:style>
  <w:style w:type="character" w:customStyle="1" w:styleId="Heading9Char">
    <w:name w:val="Heading 9 Char"/>
    <w:basedOn w:val="DefaultParagraphFont"/>
    <w:link w:val="Heading9"/>
    <w:uiPriority w:val="9"/>
    <w:semiHidden/>
    <w:rsid w:val="00AF7520"/>
    <w:rPr>
      <w:rFonts w:asciiTheme="majorHAnsi" w:eastAsiaTheme="majorEastAsia" w:hAnsiTheme="majorHAnsi" w:cstheme="majorBidi"/>
      <w:i/>
      <w:iCs/>
      <w:color w:val="000000"/>
      <w:kern w:val="2"/>
      <w:sz w:val="20"/>
      <w:szCs w:val="20"/>
      <w:lang w:eastAsia="en-US"/>
      <w14:ligatures w14:val="standardContextual"/>
    </w:rPr>
  </w:style>
  <w:style w:type="paragraph" w:customStyle="1" w:styleId="ScheduleTitle">
    <w:name w:val="Schedule Title"/>
    <w:basedOn w:val="Paragraph"/>
    <w:qFormat/>
    <w:rsid w:val="00AF7520"/>
    <w:rPr>
      <w:b/>
    </w:rPr>
  </w:style>
  <w:style w:type="paragraph" w:customStyle="1" w:styleId="Part">
    <w:name w:val="Part"/>
    <w:basedOn w:val="Paragraph"/>
    <w:qFormat/>
    <w:rsid w:val="00AF7520"/>
    <w:pPr>
      <w:numPr>
        <w:ilvl w:val="1"/>
        <w:numId w:val="22"/>
      </w:numPr>
      <w:spacing w:before="240" w:after="240"/>
      <w:jc w:val="left"/>
    </w:pPr>
    <w:rPr>
      <w:b/>
    </w:rPr>
  </w:style>
  <w:style w:type="paragraph" w:customStyle="1" w:styleId="AnnexTitle">
    <w:name w:val="Annex Title"/>
    <w:basedOn w:val="Paragraph"/>
    <w:next w:val="Paragraph"/>
    <w:qFormat/>
    <w:rsid w:val="00AF7520"/>
    <w:pPr>
      <w:spacing w:before="240" w:after="240"/>
    </w:pPr>
    <w:rPr>
      <w:b/>
    </w:rPr>
  </w:style>
  <w:style w:type="paragraph" w:customStyle="1" w:styleId="PartTitle">
    <w:name w:val="Part Title"/>
    <w:basedOn w:val="Paragraph"/>
    <w:qFormat/>
    <w:rsid w:val="00AF7520"/>
    <w:rPr>
      <w:b/>
    </w:rPr>
  </w:style>
  <w:style w:type="paragraph" w:customStyle="1" w:styleId="Testimonium">
    <w:name w:val="Testimonium"/>
    <w:basedOn w:val="Paragraph"/>
    <w:qFormat/>
    <w:rsid w:val="00AF7520"/>
  </w:style>
  <w:style w:type="character" w:customStyle="1" w:styleId="apple-converted-space">
    <w:name w:val="apple-converted-space"/>
    <w:basedOn w:val="DefaultParagraphFont"/>
    <w:rsid w:val="00AF7520"/>
    <w:rPr>
      <w:color w:val="000000"/>
    </w:rPr>
  </w:style>
  <w:style w:type="character" w:styleId="Emphasis">
    <w:name w:val="Emphasis"/>
    <w:basedOn w:val="DefaultParagraphFont"/>
    <w:uiPriority w:val="20"/>
    <w:qFormat/>
    <w:rsid w:val="00AF7520"/>
    <w:rPr>
      <w:i/>
      <w:iCs/>
      <w:color w:val="000000"/>
    </w:rPr>
  </w:style>
  <w:style w:type="paragraph" w:customStyle="1" w:styleId="NoNumTitle-Clause">
    <w:name w:val="No Num Title - Clause"/>
    <w:basedOn w:val="TitleClause"/>
    <w:qFormat/>
    <w:rsid w:val="00AF7520"/>
    <w:pPr>
      <w:numPr>
        <w:numId w:val="0"/>
      </w:numPr>
      <w:ind w:left="720"/>
    </w:pPr>
  </w:style>
  <w:style w:type="paragraph" w:customStyle="1" w:styleId="NoNumTitlesubclause1">
    <w:name w:val="No Num Title subclause1"/>
    <w:basedOn w:val="Titlesubclause1"/>
    <w:qFormat/>
    <w:rsid w:val="00AF7520"/>
    <w:pPr>
      <w:numPr>
        <w:ilvl w:val="0"/>
        <w:numId w:val="0"/>
      </w:numPr>
      <w:ind w:left="720"/>
    </w:pPr>
  </w:style>
  <w:style w:type="paragraph" w:customStyle="1" w:styleId="AddressLine">
    <w:name w:val="Address Line"/>
    <w:basedOn w:val="Paragraph"/>
    <w:qFormat/>
    <w:rsid w:val="00AF7520"/>
  </w:style>
  <w:style w:type="paragraph" w:styleId="Date">
    <w:name w:val="Date"/>
    <w:basedOn w:val="Paragraph"/>
    <w:qFormat/>
    <w:rsid w:val="00AF7520"/>
  </w:style>
  <w:style w:type="paragraph" w:customStyle="1" w:styleId="SalutationPara">
    <w:name w:val="Salutation Para"/>
    <w:basedOn w:val="Paragraph"/>
    <w:next w:val="Paragraph"/>
    <w:qFormat/>
    <w:rsid w:val="00AF7520"/>
    <w:pPr>
      <w:spacing w:before="240"/>
    </w:pPr>
  </w:style>
  <w:style w:type="character" w:styleId="FollowedHyperlink">
    <w:name w:val="FollowedHyperlink"/>
    <w:basedOn w:val="DefaultParagraphFont"/>
    <w:uiPriority w:val="99"/>
    <w:semiHidden/>
    <w:unhideWhenUsed/>
    <w:rsid w:val="00AF7520"/>
    <w:rPr>
      <w:i/>
      <w:color w:val="000000"/>
      <w:u w:val="single"/>
    </w:rPr>
  </w:style>
  <w:style w:type="character" w:customStyle="1" w:styleId="DefTerm">
    <w:name w:val="DefTerm"/>
    <w:basedOn w:val="DefaultParagraphFont"/>
    <w:uiPriority w:val="1"/>
    <w:qFormat/>
    <w:rsid w:val="00AF7520"/>
    <w:rPr>
      <w:b/>
      <w:color w:val="000000"/>
    </w:rPr>
  </w:style>
  <w:style w:type="table" w:customStyle="1" w:styleId="ShadedTable">
    <w:name w:val="Shaded Table"/>
    <w:basedOn w:val="TableNormal"/>
    <w:uiPriority w:val="99"/>
    <w:rsid w:val="00AF7520"/>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AF7520"/>
    <w:rPr>
      <w:i/>
    </w:rPr>
  </w:style>
  <w:style w:type="paragraph" w:customStyle="1" w:styleId="LetterTitle">
    <w:name w:val="Letter Title"/>
    <w:basedOn w:val="Paragraph"/>
    <w:qFormat/>
    <w:rsid w:val="00AF7520"/>
    <w:rPr>
      <w:b/>
    </w:rPr>
  </w:style>
  <w:style w:type="paragraph" w:customStyle="1" w:styleId="LongQuestionPara">
    <w:name w:val="Long Question Para"/>
    <w:basedOn w:val="Paragraph"/>
    <w:link w:val="LongQuestionParaChar"/>
    <w:rsid w:val="00AF7520"/>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AF7520"/>
    <w:rPr>
      <w:rFonts w:ascii="Arial" w:eastAsia="Arial Unicode MS" w:hAnsi="Arial" w:cs="Arial"/>
      <w:color w:val="000000"/>
      <w:kern w:val="2"/>
      <w:sz w:val="20"/>
      <w:szCs w:val="20"/>
      <w:lang w:val="en-US" w:eastAsia="en-US"/>
      <w14:ligatures w14:val="standardContextual"/>
    </w:rPr>
  </w:style>
  <w:style w:type="paragraph" w:customStyle="1" w:styleId="ShortQuestionPara">
    <w:name w:val="Short Question Para"/>
    <w:basedOn w:val="Paragraph"/>
    <w:link w:val="ShortQuestionParaChar"/>
    <w:rsid w:val="00AF7520"/>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AF7520"/>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AF7520"/>
    <w:rPr>
      <w:rFonts w:ascii="Arial" w:eastAsia="Arial Unicode MS" w:hAnsi="Arial" w:cs="Arial"/>
      <w:color w:val="000000"/>
      <w:szCs w:val="20"/>
      <w:lang w:eastAsia="en-US"/>
    </w:rPr>
  </w:style>
  <w:style w:type="paragraph" w:customStyle="1" w:styleId="811D3A974D454A258B71E3C4DE24C4F210">
    <w:name w:val="811D3A974D454A258B71E3C4DE24C4F210"/>
    <w:rsid w:val="00F5191B"/>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AF7520"/>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AF7520"/>
    <w:pPr>
      <w:jc w:val="center"/>
    </w:pPr>
    <w:rPr>
      <w:sz w:val="28"/>
    </w:rPr>
  </w:style>
  <w:style w:type="paragraph" w:customStyle="1" w:styleId="Title-Clause">
    <w:name w:val="Title - Clause"/>
    <w:aliases w:val="BIWS Heading 1"/>
    <w:basedOn w:val="Normal"/>
    <w:rsid w:val="00AF7520"/>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AF7520"/>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AF7520"/>
    <w:pPr>
      <w:spacing w:before="120"/>
    </w:pPr>
    <w:rPr>
      <w:b w:val="0"/>
    </w:rPr>
  </w:style>
  <w:style w:type="paragraph" w:customStyle="1" w:styleId="CoversheetParagraph">
    <w:name w:val="Coversheet Paragraph"/>
    <w:basedOn w:val="Normal"/>
    <w:autoRedefine/>
    <w:rsid w:val="00AF7520"/>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AF7520"/>
    <w:rPr>
      <w:smallCaps w:val="0"/>
      <w:sz w:val="22"/>
    </w:rPr>
  </w:style>
  <w:style w:type="paragraph" w:customStyle="1" w:styleId="CoversheetStaticText">
    <w:name w:val="Coversheet Static Text"/>
    <w:basedOn w:val="CoversheetIntro"/>
    <w:qFormat/>
    <w:rsid w:val="00AF7520"/>
    <w:rPr>
      <w:b w:val="0"/>
    </w:rPr>
  </w:style>
  <w:style w:type="paragraph" w:customStyle="1" w:styleId="CoversheetParty">
    <w:name w:val="Coversheet Party"/>
    <w:basedOn w:val="CoversheetIntro"/>
    <w:qFormat/>
    <w:rsid w:val="00AF7520"/>
  </w:style>
  <w:style w:type="paragraph" w:customStyle="1" w:styleId="NoNumUntitledClause">
    <w:name w:val="No Num Untitled Clause"/>
    <w:basedOn w:val="UntitledClause"/>
    <w:qFormat/>
    <w:rsid w:val="00AF7520"/>
    <w:pPr>
      <w:numPr>
        <w:numId w:val="0"/>
      </w:numPr>
      <w:ind w:left="720"/>
    </w:pPr>
  </w:style>
  <w:style w:type="paragraph" w:customStyle="1" w:styleId="BackgroundSubclause1">
    <w:name w:val="Background Subclause1"/>
    <w:basedOn w:val="Background"/>
    <w:qFormat/>
    <w:rsid w:val="00AF7520"/>
    <w:pPr>
      <w:numPr>
        <w:ilvl w:val="1"/>
      </w:numPr>
    </w:pPr>
  </w:style>
  <w:style w:type="paragraph" w:customStyle="1" w:styleId="BackgroundSubclause2">
    <w:name w:val="Background Subclause2"/>
    <w:basedOn w:val="Background"/>
    <w:qFormat/>
    <w:rsid w:val="00AF7520"/>
    <w:pPr>
      <w:numPr>
        <w:ilvl w:val="3"/>
      </w:numPr>
    </w:pPr>
  </w:style>
  <w:style w:type="paragraph" w:customStyle="1" w:styleId="HeadingLevel2CQA">
    <w:name w:val="Heading Level 2 CQA"/>
    <w:basedOn w:val="HeadingLevel2"/>
    <w:qFormat/>
    <w:rsid w:val="00AF7520"/>
  </w:style>
  <w:style w:type="paragraph" w:customStyle="1" w:styleId="ClauseBullet1">
    <w:name w:val="Clause Bullet 1"/>
    <w:basedOn w:val="ParaClause"/>
    <w:qFormat/>
    <w:rsid w:val="00AF7520"/>
    <w:pPr>
      <w:numPr>
        <w:numId w:val="13"/>
      </w:numPr>
      <w:ind w:left="1077" w:hanging="357"/>
      <w:outlineLvl w:val="0"/>
    </w:pPr>
  </w:style>
  <w:style w:type="paragraph" w:customStyle="1" w:styleId="ClauseBullet2">
    <w:name w:val="Clause Bullet 2"/>
    <w:basedOn w:val="ParaClause"/>
    <w:qFormat/>
    <w:rsid w:val="00AF7520"/>
    <w:pPr>
      <w:numPr>
        <w:numId w:val="14"/>
      </w:numPr>
      <w:ind w:left="1434" w:hanging="357"/>
      <w:outlineLvl w:val="1"/>
    </w:pPr>
  </w:style>
  <w:style w:type="paragraph" w:customStyle="1" w:styleId="subclause1Bullet1">
    <w:name w:val="subclause 1 Bullet 1"/>
    <w:basedOn w:val="Parasubclause1"/>
    <w:qFormat/>
    <w:rsid w:val="00AF7520"/>
    <w:pPr>
      <w:numPr>
        <w:numId w:val="15"/>
      </w:numPr>
      <w:ind w:left="1077" w:hanging="357"/>
    </w:pPr>
  </w:style>
  <w:style w:type="paragraph" w:customStyle="1" w:styleId="subclause2Bullet1">
    <w:name w:val="subclause 2 Bullet 1"/>
    <w:basedOn w:val="Parasubclause2"/>
    <w:qFormat/>
    <w:rsid w:val="00AF7520"/>
    <w:pPr>
      <w:numPr>
        <w:numId w:val="17"/>
      </w:numPr>
      <w:ind w:left="1434" w:hanging="357"/>
    </w:pPr>
  </w:style>
  <w:style w:type="paragraph" w:customStyle="1" w:styleId="subclause3Bullet1">
    <w:name w:val="subclause 3 Bullet 1"/>
    <w:basedOn w:val="Parasubclause3"/>
    <w:qFormat/>
    <w:rsid w:val="00AF7520"/>
    <w:pPr>
      <w:numPr>
        <w:numId w:val="16"/>
      </w:numPr>
      <w:ind w:left="2273" w:hanging="357"/>
    </w:pPr>
  </w:style>
  <w:style w:type="paragraph" w:customStyle="1" w:styleId="subclause1Bullet2">
    <w:name w:val="subclause 1 Bullet 2"/>
    <w:basedOn w:val="Parasubclause1"/>
    <w:qFormat/>
    <w:rsid w:val="00AF7520"/>
    <w:pPr>
      <w:numPr>
        <w:numId w:val="18"/>
      </w:numPr>
      <w:ind w:left="1434" w:hanging="357"/>
    </w:pPr>
  </w:style>
  <w:style w:type="paragraph" w:customStyle="1" w:styleId="subclause2Bullet2">
    <w:name w:val="subclause 2 Bullet 2"/>
    <w:basedOn w:val="Parasubclause2"/>
    <w:qFormat/>
    <w:rsid w:val="00AF7520"/>
    <w:pPr>
      <w:numPr>
        <w:numId w:val="19"/>
      </w:numPr>
      <w:ind w:left="2273" w:hanging="357"/>
    </w:pPr>
  </w:style>
  <w:style w:type="paragraph" w:customStyle="1" w:styleId="subclause3Bullet2">
    <w:name w:val="subclause 3 Bullet 2"/>
    <w:basedOn w:val="Parasubclause3"/>
    <w:qFormat/>
    <w:rsid w:val="00AF7520"/>
    <w:pPr>
      <w:numPr>
        <w:numId w:val="20"/>
      </w:numPr>
      <w:ind w:left="2982" w:hanging="357"/>
    </w:pPr>
  </w:style>
  <w:style w:type="paragraph" w:customStyle="1" w:styleId="DefinedTermBullet">
    <w:name w:val="Defined Term Bullet"/>
    <w:basedOn w:val="DefinedTermPara"/>
    <w:qFormat/>
    <w:rsid w:val="00AF7520"/>
    <w:pPr>
      <w:numPr>
        <w:numId w:val="21"/>
      </w:numPr>
    </w:pPr>
  </w:style>
  <w:style w:type="paragraph" w:customStyle="1" w:styleId="DefinedTermNumber">
    <w:name w:val="Defined Term Number"/>
    <w:basedOn w:val="DefinedTermPara"/>
    <w:qFormat/>
    <w:rsid w:val="00AF7520"/>
    <w:pPr>
      <w:numPr>
        <w:ilvl w:val="1"/>
      </w:numPr>
    </w:pPr>
  </w:style>
  <w:style w:type="paragraph" w:customStyle="1" w:styleId="AdditionalTitle">
    <w:name w:val="Additional Title"/>
    <w:basedOn w:val="Paragraph"/>
    <w:qFormat/>
    <w:rsid w:val="00AF7520"/>
    <w:pPr>
      <w:jc w:val="left"/>
    </w:pPr>
    <w:rPr>
      <w:b/>
      <w:sz w:val="24"/>
    </w:rPr>
  </w:style>
  <w:style w:type="character" w:customStyle="1" w:styleId="error">
    <w:name w:val="error"/>
    <w:basedOn w:val="DefaultParagraphFont"/>
    <w:rsid w:val="00AF7520"/>
    <w:rPr>
      <w:color w:val="000000"/>
    </w:rPr>
  </w:style>
  <w:style w:type="paragraph" w:customStyle="1" w:styleId="NoNumUntitledsubclause1">
    <w:name w:val="No Num Untitled subclause 1"/>
    <w:basedOn w:val="Untitledsubclause1"/>
    <w:qFormat/>
    <w:rsid w:val="00AF7520"/>
    <w:pPr>
      <w:numPr>
        <w:ilvl w:val="0"/>
        <w:numId w:val="0"/>
      </w:numPr>
      <w:ind w:left="720"/>
    </w:pPr>
  </w:style>
  <w:style w:type="paragraph" w:customStyle="1" w:styleId="BackgroundParaClause">
    <w:name w:val="Background Para Clause"/>
    <w:basedOn w:val="Background"/>
    <w:qFormat/>
    <w:rsid w:val="00AF7520"/>
    <w:pPr>
      <w:numPr>
        <w:numId w:val="0"/>
      </w:numPr>
    </w:pPr>
  </w:style>
  <w:style w:type="paragraph" w:customStyle="1" w:styleId="BackgroundParaSubclause1">
    <w:name w:val="Background Para Subclause1"/>
    <w:basedOn w:val="BackgroundSubclause1"/>
    <w:qFormat/>
    <w:rsid w:val="00AF7520"/>
    <w:pPr>
      <w:numPr>
        <w:ilvl w:val="0"/>
        <w:numId w:val="0"/>
      </w:numPr>
      <w:ind w:left="994"/>
    </w:pPr>
    <w:rPr>
      <w:lang w:val="en-US"/>
    </w:rPr>
  </w:style>
  <w:style w:type="paragraph" w:customStyle="1" w:styleId="BackgroundParaSubclause2">
    <w:name w:val="Background Para Subclause2"/>
    <w:basedOn w:val="BackgroundSubclause2"/>
    <w:qFormat/>
    <w:rsid w:val="00AF7520"/>
    <w:pPr>
      <w:numPr>
        <w:ilvl w:val="0"/>
        <w:numId w:val="0"/>
      </w:numPr>
      <w:ind w:left="1701"/>
    </w:pPr>
    <w:rPr>
      <w:lang w:val="en-US"/>
    </w:rPr>
  </w:style>
  <w:style w:type="paragraph" w:customStyle="1" w:styleId="ClauseBulletPara">
    <w:name w:val="Clause Bullet Para"/>
    <w:basedOn w:val="ClauseBullet1"/>
    <w:qFormat/>
    <w:rsid w:val="00AF7520"/>
    <w:pPr>
      <w:numPr>
        <w:numId w:val="0"/>
      </w:numPr>
      <w:ind w:left="1080"/>
    </w:pPr>
    <w:rPr>
      <w:lang w:val="en-US"/>
    </w:rPr>
  </w:style>
  <w:style w:type="paragraph" w:customStyle="1" w:styleId="ClauseBullet2Para">
    <w:name w:val="Clause Bullet 2 Para"/>
    <w:basedOn w:val="ClauseBullet2"/>
    <w:qFormat/>
    <w:rsid w:val="00AF7520"/>
    <w:pPr>
      <w:numPr>
        <w:numId w:val="0"/>
      </w:numPr>
      <w:ind w:left="1440"/>
    </w:pPr>
    <w:rPr>
      <w:lang w:val="en-US"/>
    </w:rPr>
  </w:style>
  <w:style w:type="paragraph" w:customStyle="1" w:styleId="ACTJurisdictionCheckList">
    <w:name w:val="ACTJurisdictionCheckList"/>
    <w:basedOn w:val="Normal"/>
    <w:rsid w:val="00AF7520"/>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AF7520"/>
  </w:style>
  <w:style w:type="character" w:styleId="CommentReference">
    <w:name w:val="annotation reference"/>
    <w:basedOn w:val="DefaultParagraphFont"/>
    <w:uiPriority w:val="99"/>
    <w:semiHidden/>
    <w:unhideWhenUsed/>
    <w:rsid w:val="00517136"/>
    <w:rPr>
      <w:color w:val="000000"/>
      <w:sz w:val="16"/>
      <w:szCs w:val="16"/>
    </w:rPr>
  </w:style>
  <w:style w:type="paragraph" w:styleId="CommentText">
    <w:name w:val="annotation text"/>
    <w:basedOn w:val="Normal"/>
    <w:link w:val="CommentTextChar"/>
    <w:uiPriority w:val="99"/>
    <w:unhideWhenUsed/>
    <w:rsid w:val="00517136"/>
    <w:pPr>
      <w:spacing w:line="240" w:lineRule="auto"/>
    </w:pPr>
    <w:rPr>
      <w:color w:val="000000"/>
      <w:sz w:val="20"/>
      <w:szCs w:val="20"/>
    </w:rPr>
  </w:style>
  <w:style w:type="character" w:customStyle="1" w:styleId="CommentTextChar">
    <w:name w:val="Comment Text Char"/>
    <w:basedOn w:val="DefaultParagraphFont"/>
    <w:link w:val="CommentText"/>
    <w:uiPriority w:val="99"/>
    <w:rsid w:val="00517136"/>
    <w:rPr>
      <w:color w:val="000000"/>
      <w:sz w:val="20"/>
      <w:szCs w:val="20"/>
    </w:rPr>
  </w:style>
  <w:style w:type="paragraph" w:styleId="CommentSubject">
    <w:name w:val="annotation subject"/>
    <w:basedOn w:val="CommentText"/>
    <w:next w:val="CommentText"/>
    <w:link w:val="CommentSubjectChar"/>
    <w:uiPriority w:val="99"/>
    <w:semiHidden/>
    <w:unhideWhenUsed/>
    <w:rsid w:val="00517136"/>
    <w:rPr>
      <w:b/>
      <w:bCs/>
    </w:rPr>
  </w:style>
  <w:style w:type="character" w:customStyle="1" w:styleId="CommentSubjectChar">
    <w:name w:val="Comment Subject Char"/>
    <w:basedOn w:val="CommentTextChar"/>
    <w:link w:val="CommentSubject"/>
    <w:uiPriority w:val="99"/>
    <w:semiHidden/>
    <w:rsid w:val="00517136"/>
    <w:rPr>
      <w:b/>
      <w:bCs/>
      <w:color w:val="000000"/>
      <w:sz w:val="20"/>
      <w:szCs w:val="20"/>
    </w:rPr>
  </w:style>
  <w:style w:type="paragraph" w:customStyle="1" w:styleId="BulletListPattern1">
    <w:name w:val="Bullet List Pattern 1"/>
    <w:basedOn w:val="BulletList1"/>
    <w:qFormat/>
    <w:rsid w:val="00AF7520"/>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AF7520"/>
    <w:pPr>
      <w:shd w:val="clear" w:color="auto" w:fill="D9D9D9" w:themeFill="background1" w:themeFillShade="D9"/>
      <w:ind w:left="1077"/>
    </w:pPr>
  </w:style>
  <w:style w:type="paragraph" w:customStyle="1" w:styleId="EmptyClausePara">
    <w:name w:val="Empty Clause Para"/>
    <w:basedOn w:val="IgnoredSpacing"/>
    <w:qFormat/>
    <w:rsid w:val="00AF7520"/>
  </w:style>
  <w:style w:type="paragraph" w:customStyle="1" w:styleId="835FF0B0D5344FE4A8EE41F54AA7E17C16">
    <w:name w:val="835FF0B0D5344FE4A8EE41F54AA7E17C16"/>
    <w:rsid w:val="00BE06FC"/>
    <w:pPr>
      <w:spacing w:after="120" w:line="240" w:lineRule="auto"/>
    </w:pPr>
    <w:rPr>
      <w:rFonts w:ascii="Arial" w:eastAsia="Times New Roman" w:hAnsi="Arial" w:cs="Times New Roman"/>
      <w:color w:val="000000"/>
      <w:sz w:val="24"/>
      <w:szCs w:val="24"/>
      <w:lang w:val="en-US" w:eastAsia="en-US"/>
    </w:rPr>
  </w:style>
  <w:style w:type="paragraph" w:customStyle="1" w:styleId="ScheduleTitleClause">
    <w:name w:val="Schedule Title Clause"/>
    <w:basedOn w:val="Normal"/>
    <w:rsid w:val="00AF7520"/>
    <w:pPr>
      <w:keepNext/>
      <w:numPr>
        <w:ilvl w:val="2"/>
        <w:numId w:val="22"/>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AF7520"/>
    <w:pPr>
      <w:numPr>
        <w:ilvl w:val="3"/>
        <w:numId w:val="22"/>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AF7520"/>
    <w:pPr>
      <w:numPr>
        <w:ilvl w:val="4"/>
        <w:numId w:val="22"/>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AF7520"/>
    <w:pPr>
      <w:numPr>
        <w:ilvl w:val="5"/>
        <w:numId w:val="2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AF7520"/>
    <w:pPr>
      <w:spacing w:after="120" w:line="300" w:lineRule="atLeast"/>
      <w:jc w:val="both"/>
      <w:outlineLvl w:val="4"/>
    </w:pPr>
    <w:rPr>
      <w:rFonts w:ascii="Arial" w:eastAsia="Arial Unicode MS" w:hAnsi="Arial" w:cs="Arial"/>
      <w:color w:val="000000"/>
      <w:szCs w:val="20"/>
    </w:rPr>
  </w:style>
  <w:style w:type="paragraph" w:customStyle="1" w:styleId="ScheduleUntitledClause">
    <w:name w:val="Schedule Untitled Clause"/>
    <w:basedOn w:val="ScheduleTitleClause"/>
    <w:qFormat/>
    <w:rsid w:val="00AF7520"/>
    <w:pPr>
      <w:spacing w:before="120"/>
    </w:pPr>
    <w:rPr>
      <w:b w:val="0"/>
    </w:rPr>
  </w:style>
  <w:style w:type="paragraph" w:styleId="ListParagraph">
    <w:name w:val="List Paragraph"/>
    <w:basedOn w:val="Normal"/>
    <w:uiPriority w:val="34"/>
    <w:qFormat/>
    <w:rsid w:val="00AF7520"/>
    <w:pPr>
      <w:ind w:left="720"/>
      <w:contextualSpacing/>
    </w:pPr>
    <w:rPr>
      <w:color w:val="000000"/>
    </w:rPr>
  </w:style>
  <w:style w:type="paragraph" w:customStyle="1" w:styleId="ScheduleTitlesubclause1">
    <w:name w:val="Schedule Title subclause1"/>
    <w:basedOn w:val="ScheduleUntitledsubclause1"/>
    <w:qFormat/>
    <w:rsid w:val="00AF7520"/>
    <w:pPr>
      <w:spacing w:before="120"/>
    </w:pPr>
    <w:rPr>
      <w:b/>
    </w:rPr>
  </w:style>
  <w:style w:type="character" w:customStyle="1" w:styleId="UnresolvedMention1">
    <w:name w:val="Unresolved Mention1"/>
    <w:basedOn w:val="DefaultParagraphFont"/>
    <w:uiPriority w:val="99"/>
    <w:semiHidden/>
    <w:unhideWhenUsed/>
    <w:rsid w:val="00244F14"/>
    <w:rPr>
      <w:color w:val="000000"/>
      <w:shd w:val="clear" w:color="auto" w:fill="E6E6E6"/>
    </w:rPr>
  </w:style>
  <w:style w:type="paragraph" w:customStyle="1" w:styleId="SectorSpecificNoteTitle">
    <w:name w:val="Sector Specific Note Title"/>
    <w:basedOn w:val="JurisdictionDraftingnoteTitle"/>
    <w:qFormat/>
    <w:rsid w:val="00AF7520"/>
  </w:style>
  <w:style w:type="table" w:customStyle="1" w:styleId="ShadedTable1">
    <w:name w:val="Shaded Table1"/>
    <w:basedOn w:val="TableNormal"/>
    <w:uiPriority w:val="99"/>
    <w:rsid w:val="00AF7520"/>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AF7520"/>
    <w:rPr>
      <w:color w:val="000000"/>
    </w:rPr>
  </w:style>
  <w:style w:type="character" w:customStyle="1" w:styleId="IgnoredEmptysubclauseChar">
    <w:name w:val="Ignored Empty subclause Char"/>
    <w:basedOn w:val="DefaultParagraphFont"/>
    <w:link w:val="IgnoredEmptysubclause"/>
    <w:rsid w:val="00AF7520"/>
    <w:rPr>
      <w:color w:val="000000"/>
    </w:rPr>
  </w:style>
  <w:style w:type="paragraph" w:customStyle="1" w:styleId="6B1115FCC3DC4C6AB2CF846F0C50B663">
    <w:name w:val="6B1115FCC3DC4C6AB2CF846F0C50B663"/>
    <w:rsid w:val="00112E95"/>
    <w:pPr>
      <w:spacing w:line="276" w:lineRule="auto"/>
    </w:pPr>
    <w:rPr>
      <w:color w:val="000000"/>
    </w:rPr>
  </w:style>
  <w:style w:type="paragraph" w:styleId="TOC1">
    <w:name w:val="toc 1"/>
    <w:basedOn w:val="Normal"/>
    <w:next w:val="Normal"/>
    <w:autoRedefine/>
    <w:uiPriority w:val="39"/>
    <w:rsid w:val="00805BCE"/>
    <w:pPr>
      <w:spacing w:after="100" w:line="240" w:lineRule="auto"/>
    </w:pPr>
  </w:style>
  <w:style w:type="numbering" w:customStyle="1" w:styleId="CC">
    <w:name w:val="CC"/>
    <w:uiPriority w:val="99"/>
    <w:rsid w:val="002E1A4E"/>
    <w:pPr>
      <w:numPr>
        <w:numId w:val="25"/>
      </w:numPr>
    </w:pPr>
  </w:style>
  <w:style w:type="paragraph" w:customStyle="1" w:styleId="CC1">
    <w:name w:val="CC 1."/>
    <w:basedOn w:val="Heading2"/>
    <w:qFormat/>
    <w:rsid w:val="002E1A4E"/>
    <w:pPr>
      <w:keepNext w:val="0"/>
      <w:keepLines w:val="0"/>
      <w:widowControl w:val="0"/>
      <w:numPr>
        <w:ilvl w:val="1"/>
        <w:numId w:val="25"/>
      </w:numPr>
      <w:spacing w:before="0" w:after="120" w:line="276" w:lineRule="auto"/>
      <w:jc w:val="both"/>
    </w:pPr>
    <w:rPr>
      <w:rFonts w:ascii="Arial" w:eastAsia="Times New Roman" w:hAnsi="Arial" w:cs="Arial"/>
      <w:bCs/>
      <w:iCs/>
      <w:color w:val="auto"/>
      <w:sz w:val="22"/>
      <w:szCs w:val="28"/>
    </w:rPr>
  </w:style>
  <w:style w:type="paragraph" w:customStyle="1" w:styleId="CC11">
    <w:name w:val="CC 1.1"/>
    <w:basedOn w:val="Heading3"/>
    <w:qFormat/>
    <w:rsid w:val="002E1A4E"/>
    <w:pPr>
      <w:keepNext w:val="0"/>
      <w:keepLines w:val="0"/>
      <w:widowControl w:val="0"/>
      <w:numPr>
        <w:ilvl w:val="2"/>
        <w:numId w:val="25"/>
      </w:numPr>
      <w:spacing w:before="0" w:after="120" w:line="276" w:lineRule="auto"/>
      <w:jc w:val="both"/>
    </w:pPr>
    <w:rPr>
      <w:rFonts w:ascii="Arial" w:eastAsia="Times New Roman" w:hAnsi="Arial" w:cs="Arial"/>
      <w:bCs/>
      <w:color w:val="auto"/>
      <w:sz w:val="22"/>
      <w:szCs w:val="26"/>
    </w:rPr>
  </w:style>
  <w:style w:type="paragraph" w:customStyle="1" w:styleId="CC111">
    <w:name w:val="CC 1.1.1"/>
    <w:basedOn w:val="Heading4"/>
    <w:qFormat/>
    <w:rsid w:val="002E1A4E"/>
    <w:pPr>
      <w:keepNext w:val="0"/>
      <w:keepLines w:val="0"/>
      <w:widowControl w:val="0"/>
      <w:numPr>
        <w:ilvl w:val="3"/>
        <w:numId w:val="25"/>
      </w:numPr>
      <w:spacing w:before="0" w:after="120" w:line="276" w:lineRule="auto"/>
    </w:pPr>
    <w:rPr>
      <w:rFonts w:ascii="Arial" w:eastAsia="Times New Roman" w:hAnsi="Arial" w:cs="Times New Roman"/>
      <w:bCs/>
      <w:i w:val="0"/>
      <w:iCs w:val="0"/>
      <w:color w:val="auto"/>
      <w:szCs w:val="28"/>
    </w:rPr>
  </w:style>
  <w:style w:type="paragraph" w:customStyle="1" w:styleId="CCA">
    <w:name w:val="CC A"/>
    <w:basedOn w:val="Heading1"/>
    <w:qFormat/>
    <w:rsid w:val="002E1A4E"/>
    <w:pPr>
      <w:keepNext w:val="0"/>
      <w:keepLines w:val="0"/>
      <w:numPr>
        <w:numId w:val="25"/>
      </w:numPr>
      <w:spacing w:before="0" w:after="120" w:line="276" w:lineRule="auto"/>
      <w:jc w:val="both"/>
    </w:pPr>
    <w:rPr>
      <w:rFonts w:ascii="Arial" w:hAnsi="Arial"/>
      <w:b/>
      <w:color w:val="auto"/>
      <w:sz w:val="22"/>
    </w:rPr>
  </w:style>
  <w:style w:type="paragraph" w:customStyle="1" w:styleId="CCa0">
    <w:name w:val="CC a)"/>
    <w:basedOn w:val="Heading6"/>
    <w:qFormat/>
    <w:rsid w:val="002E1A4E"/>
    <w:pPr>
      <w:keepNext w:val="0"/>
      <w:keepLines w:val="0"/>
      <w:widowControl w:val="0"/>
      <w:numPr>
        <w:ilvl w:val="5"/>
      </w:numPr>
      <w:spacing w:before="0" w:after="120" w:line="276" w:lineRule="auto"/>
    </w:pPr>
    <w:rPr>
      <w:rFonts w:ascii="Arial" w:eastAsia="Times New Roman" w:hAnsi="Arial" w:cs="Times New Roman"/>
      <w:bCs/>
      <w:color w:val="auto"/>
    </w:rPr>
  </w:style>
  <w:style w:type="paragraph" w:customStyle="1" w:styleId="CCi">
    <w:name w:val="CC i)"/>
    <w:basedOn w:val="Heading7"/>
    <w:qFormat/>
    <w:rsid w:val="002E1A4E"/>
    <w:pPr>
      <w:keepNext w:val="0"/>
      <w:keepLines w:val="0"/>
      <w:numPr>
        <w:ilvl w:val="6"/>
      </w:numPr>
      <w:spacing w:before="0" w:after="120" w:line="276" w:lineRule="auto"/>
      <w:jc w:val="both"/>
    </w:pPr>
    <w:rPr>
      <w:rFonts w:ascii="Arial" w:hAnsi="Arial"/>
      <w:i w:val="0"/>
      <w:color w:val="auto"/>
    </w:rPr>
  </w:style>
  <w:style w:type="paragraph" w:customStyle="1" w:styleId="CCSch1NOTOC">
    <w:name w:val="CC Sch 1. NO TOC"/>
    <w:basedOn w:val="Heading2"/>
    <w:qFormat/>
    <w:rsid w:val="002E1A4E"/>
    <w:pPr>
      <w:keepNext w:val="0"/>
      <w:keepLines w:val="0"/>
      <w:widowControl w:val="0"/>
      <w:numPr>
        <w:ilvl w:val="1"/>
        <w:numId w:val="26"/>
      </w:numPr>
      <w:spacing w:before="0" w:after="120" w:line="276" w:lineRule="auto"/>
    </w:pPr>
    <w:rPr>
      <w:rFonts w:ascii="Arial" w:eastAsia="Times New Roman" w:hAnsi="Arial" w:cs="Arial"/>
      <w:bCs/>
      <w:iCs/>
      <w:color w:val="auto"/>
      <w:sz w:val="22"/>
      <w:szCs w:val="28"/>
    </w:rPr>
  </w:style>
  <w:style w:type="paragraph" w:customStyle="1" w:styleId="CCSch1TOC">
    <w:name w:val="CC Sch 1. TOC"/>
    <w:basedOn w:val="Heading2"/>
    <w:qFormat/>
    <w:rsid w:val="002E1A4E"/>
    <w:pPr>
      <w:keepNext w:val="0"/>
      <w:keepLines w:val="0"/>
      <w:widowControl w:val="0"/>
      <w:numPr>
        <w:ilvl w:val="1"/>
        <w:numId w:val="27"/>
      </w:numPr>
      <w:spacing w:before="0" w:after="120" w:line="276" w:lineRule="auto"/>
      <w:jc w:val="both"/>
    </w:pPr>
    <w:rPr>
      <w:rFonts w:ascii="Arial" w:eastAsia="Times New Roman" w:hAnsi="Arial" w:cs="Arial"/>
      <w:bCs/>
      <w:iCs/>
      <w:color w:val="auto"/>
      <w:sz w:val="22"/>
      <w:szCs w:val="28"/>
    </w:rPr>
  </w:style>
  <w:style w:type="paragraph" w:customStyle="1" w:styleId="CCScheduleHeader">
    <w:name w:val="CC Schedule Header"/>
    <w:basedOn w:val="Heading1"/>
    <w:qFormat/>
    <w:rsid w:val="002E1A4E"/>
    <w:pPr>
      <w:keepNext w:val="0"/>
      <w:keepLines w:val="0"/>
      <w:numPr>
        <w:numId w:val="26"/>
      </w:numPr>
      <w:spacing w:before="0" w:after="120" w:line="276" w:lineRule="auto"/>
      <w:jc w:val="center"/>
    </w:pPr>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n-document xmlns:xsd="http://www.w3.org/2001/XMLSchema" xmlns:xsi="http://www.w3.org/2001/XMLSchema-instance" guid="0" synced="true" validated="true">
  <n-docbody>
    <standard.doc precedenttype="deed">
      <prelim>
        <product.name>product.name0</product.name>
        <title>Positive overage covenant with restriction: overage payable on earlier of implementation of planning permission and disposal of property with benefit of planning permission</title>
        <author>
          <link href="http://uk.practicallaw.com/about/our-team/uk-property" style="ACTLinkURL">
            <ital>Practical Law Property</ital>
          </link>
        </author>
        <resource.type>Standard documents</resource.type>
        <juris>juris0</juris>
        <juris>juris1</juris>
      </prelim>
      <abstract>
        <para>
          <paratext>A standard document for use where, during an agreed overage period, for each planning permission granted for a particular type of development, a buyer is to make an overage payment to a seller on the earlier of implementation of that planning permission or the disposal of the property with the benefit of that planning permission.</paratext>
        </para>
        <para>
          <paratext>Provision is made for a restriction to be entered against the buyer's title and for the creation of a chain of deeds of covenant with the buyer's successors in title.</paratext>
        </para>
        <para>
          <paratext>The document is drafted as a standalone overage deed to be entered into on completion of a sale of a property. The operative provisions may also be adapted for use in a schedule to a transfer or a contract for sale.</paratext>
        </para>
        <para>
          <paratext>
            <bold>Note:</bold>
             Overage provisions must always be drafted and adapted to fit the particular circumstances and terms of the transaction. The standard document should be amended and modified accordingly. This standard document and its integrated drafting notes highlight issues that commonly arise and should be taken into consideration. However, it is likely that there will also be other factors arising out of the particular transaction that must be taken into account.
          </paratext>
        </para>
      </abstract>
      <toc.identifier hasToc="true"/>
      <body>
        <drafting.note id="a497589" jurisdiction="">
          <head align="left" preservecase="true">
            <headtext>About this document</headtext>
          </head>
          <division id="a000007" level="1">
            <para>
              <paratext>The standard document is for use where, during the agreed overage period, for each express planning permission granted for a particular type of development, a buyer is to make an overage payment to a seller on the earlier of the following events occurring during the overage period:</paratext>
            </para>
            <list type="bulleted">
              <list.item>
                <para>
                  <paratext>Implementation of that planning permission.</paratext>
                </para>
              </list.item>
              <list.item>
                <para>
                  <paratext>The disposal of the property with the benefit of that planning permission.</paratext>
                </para>
              </list.item>
            </list>
            <para>
              <paratext>The document:</paratext>
            </para>
            <list type="bulleted">
              <list.item>
                <para>
                  <paratext>Requires the buyer to make an overage payment to the seller if, during the agreed overage period, express planning permission for a particular type of development is granted and the buyer either implements that planning permission or disposes of the property (or any part of it) with the benefit of that planning permission. An overage payment will only be payable once in respect of each planning permission obtained during the overage period.</paratext>
                </para>
              </list.item>
              <list.item>
                <para>
                  <paratext>
                    Provides that each overage payment will be due and calculated in relation to the whole or part of the property that benefitted from the planning permission that gave rise to that overage payment. The overage payment will be calculated in relation to 
                    <bold>all</bold>
                     the land within the property that benefits from the relevant planning permission. That will be the case even though, for example, the disposal that triggered the overage payment may have only disposed of part of the land benefitting from that planning permission.
                  </paratext>
                </para>
              </list.item>
              <list.item>
                <para>
                  <paratext>Obliges the buyer not to dispose of the property without first ensuring that its successor in title enters into a similar commitment to the seller. The seller can then enforce the overage provisions against the buyer's successors in title through a chain of deeds of covenant.</paratext>
                </para>
              </list.item>
              <list.item>
                <para>
                  <paratext>Protects the seller by requiring a restriction to be placed against the buyer's title providing that no disposition may be registered without the seller's written consent.</paratext>
                </para>
              </list.item>
              <list.item>
                <para>
                  <paratext>Has been drafted as a standalone overage deed to be entered into on completion of a sale of a property by a seller to a buyer.</paratext>
                </para>
              </list.item>
            </list>
          </division>
          <division id="a769271" level="1">
            <head align="left" preservecase="true">
              <headtext>Drafting assumptions</headtext>
            </head>
            <para>
              <paratext>The document is drafted:</paratext>
            </para>
            <list type="bulleted">
              <list.item>
                <para>
                  <paratext>From the point of view of the seller. However, the document aims to achieve a reasonable balance between the parties. The drafting notes suggest issues that may be of particular concern for the buyer.</paratext>
                </para>
              </list.item>
              <list.item>
                <para>
                  <paratext>On the assumption that:</paratext>
                </para>
                <list type="bulleted">
                  <list.item>
                    <para>
                      <paratext>the parties are each either a company incorporated in England and Wales or an individual resident and domiciled in England and Wales;</paratext>
                    </para>
                  </list.item>
                  <list.item>
                    <para>
                      <paratext>the property is a freehold property situated in England or Wales;</paratext>
                    </para>
                  </list.item>
                  <list.item>
                    <para>
                      <paratext>the title to the property is registered (or will be registered following the transfer to the buyer);</paratext>
                    </para>
                  </list.item>
                  <list.item>
                    <para>
                      <paratext>the seller is selling the property to the buyer and, on completion, the parties will enter into a separate overage deed on the terms of this standard document;</paratext>
                    </para>
                  </list.item>
                  <list.item>
                    <para>
                      <paratext>the overage period is for a fixed period of five to 20 years;</paratext>
                    </para>
                  </list.item>
                  <list.item>
                    <para>
                      <paratext>the purchase price paid by the buyer for the property was the current use value of the property and did not include any hope value (that is, an element of market value that reflects the development potential of the property);</paratext>
                    </para>
                  </list.item>
                  <list.item>
                    <para>
                      <paratext>
                        the parties have agreed that the trigger for the overage payment is, for each 
                        <bold>express</bold>
                         planning permission granted for a particular type of development during the agreed overage period, the earlier of implementation of that planning permission and the disposal of the property with the benefit of that planning permission.
                      </paratext>
                    </para>
                    <para>
                      <paratext>
                        This means that an overage payment will not be triggered in relation to either deemed planning permission under the relevant Town and Country Planning (General Permitted Development) Order or deemed planning permission by a Local Development Order. For more information, see 
                        <internal.reference refid="a739614">Drafting note, Deemed planning permissions excluded</internal.reference>
                        .
                      </paratext>
                    </para>
                    <para>
                      <paratext>
                        This also means that if development takes place unlawfully, without an express planning permission that should have been obtained, no overage is due but the Buyer may be in breach of 
                        <internal.reference refid="a688628">clause 6</internal.reference>
                        .
                      </paratext>
                    </para>
                  </list.item>
                </list>
                <list type="bulleted">
                  <list.item>
                    <para>
                      <paratext>the nature of the proposed development is such that, if planning permission for that development is granted, it would not be appropriate for there to be sales of part of the property with the benefit of that planning permission. If this is not the case, the standard document will require substantive amendment.</paratext>
                    </para>
                  </list.item>
                </list>
              </list.item>
            </list>
            <list type="bulleted">
              <list.item>
                <para>
                  <paratext>As a standalone overage deed to be entered into on completion of a sale of a property. The operative provisions may also be included in a schedule to a transfer or a contract for sale. In which case, consequential amendments will be required. For example, the references in the document to "deed" should be changed to "Schedule" as appropriate and the references to a particular clause or clauses (in general) should be changed to paragraphs. The parties' conveyancers must ensure that the terms of this document do not conflict with the terms of the document into which they are inserted.</paratext>
                </para>
              </list.item>
            </list>
          </division>
          <division id="a930376" level="1">
            <head align="left" preservecase="true">
              <headtext>When not to use this document</headtext>
            </head>
            <para>
              <paratext>
                <bold>Do not</bold>
                 use this document if the trigger for the overage payment is not, for each express planning permission granted for a particular type of development during the agreed overage period, the earlier of the following events occurring during the overage period:
              </paratext>
            </para>
            <list type="bulleted">
              <list.item>
                <para>
                  <paratext>Implementation of that planning permission.</paratext>
                </para>
              </list.item>
              <list.item>
                <para>
                  <paratext>The disposal of the property with the benefit of that planning permission.</paratext>
                </para>
              </list.item>
            </list>
            <para>
              <paratext>Instead, if the trigger for the overage payment is:</paratext>
            </para>
            <list type="bulleted">
              <list.item>
                <para>
                  <paratext>
                    The grant of planning permission, see 
                    <link href="6-200-2513" style="ACTLinkPLCtoPLC">
                      <ital>Standard document, Positive overage covenant with restriction: overage payable on grant of planning permission</ital>
                    </link>
                    .
                  </paratext>
                </para>
              </list.item>
              <list.item>
                <para>
                  <paratext>
                    The implementation of planning permission, see 
                    <link href="6-588-3026" style="ACTLinkPLCtoPLC">
                      <ital>Standard document, Positive overage covenant with restriction: overage payable on implementation of planning permission</ital>
                    </link>
                    .
                  </paratext>
                </para>
              </list.item>
              <list.item>
                <para>
                  <paratext>
                    The buyer selling (or "turning") the property for a higher price within an agreed overage period without necessarily improving the planning position or selling a completed development (often referred to as "turn overage" or "anti-embarrassment overage"), see 
                    <link href="1-595-3045" style="ACTLinkPLCtoPLC">
                      <ital>Standard document, Positive overage covenant with restriction: Turn overage (overage payable on disposal)</ital>
                    </link>
                    .
                  </paratext>
                </para>
              </list.item>
              <list.item>
                <para>
                  <paratext>
                    The buyer disposing of the property with the benefit of planning permission granted during the agreed overage period, see 
                    <link href="7-596-4625" style="ACTLinkPLCtoPLC">
                      <ital>Standard document, Positive overage covenant with restriction: overage payable on disposal of property with benefit of planning permission</ital>
                    </link>
                    .
                  </paratext>
                </para>
              </list.item>
              <list.item>
                <para>
                  <paratext>
                    Disposals of part of a completed residential development, see 
                    <link href="8-619-8086" style="ACTLinkPLCtoPLC">
                      <ital>Standard document, Positive overage covenant with restriction: sales overage (overage based on proceeds from sales of part of a completed residential development)</ital>
                    </link>
                    .
                  </paratext>
                </para>
              </list.item>
            </list>
            <para>
              <paratext>
                For details of other potential trigger events, see 
                <link href="4-200-2514#a1002342" style="ACTLinkPLCtoPLC">
                  <ital>Practice note, Overage payments: Introduction</ital>
                </link>
                .
              </paratext>
            </para>
          </division>
          <division id="a634459" level="1">
            <head align="left" preservecase="true">
              <headtext>Practical and negotiating points</headtext>
            </head>
            <division id="a901492" level="2">
              <head align="left" preservecase="true">
                <headtext>Considerations for the seller</headtext>
              </head>
              <para>
                <paratext>The seller should bear in mind the following:</paratext>
              </para>
              <list type="bulleted">
                <list.item>
                  <para>
                    <paratext>
                      Does a positive covenant, backed up by a restriction and a chain of deeds of covenant, provide the 
                      <bold>best</bold>
                       security available for the overage payment in the particular circumstances? If not, another method of securing the overage payment might be more suitable. For information on other methods, see 
                      <link href="4-200-2514#a142020" style="ACTLinkPLCtoPLC">
                        <ital>Practice note, Overage payments: Methods of securing overage</ital>
                      </link>
                      .
                    </paratext>
                  </para>
                </list.item>
                <list.item>
                  <para>
                    <paratext>Is the likelihood of a grant of planning permission so remote that the cost of negotiating complex payment provisions outweighs the chances of the overage payment ever being made?</paratext>
                  </para>
                </list.item>
                <list.item>
                  <para>
                    <paratext>
                      Should the seller request a legal or equitable charge over the property as additional security for the positive covenant? Where appropriate use 
                      <link href="0-106-6962" style="ACTLinkPLCtoPLC">
                        <ital>Form CH1 - Legal charge of a registered estate</ital>
                      </link>
                      .
                    </paratext>
                  </para>
                  <para>
                    <paratext>
                      However, if the buyer is borrowing money for the purchase of the property, this may be unacceptable to the lender. Even if it is acceptable to the lender, a 
                      <link href="5-200-1383" style="ACTLinkPLCtoPLC">
                        <bold>
                          <ital>deed of priority</ital>
                        </bold>
                      </link>
                       will be required to ensure that there will be sufficient equity in the property to support the lender's charge. For more information, see 
                      <link href="4-200-2514#a860305" style="ACTLinkPLCtoPLC">
                        <ital>Practice note, Overage payments: Mortgage or charge</ital>
                      </link>
                      .
                    </paratext>
                  </para>
                </list.item>
              </list>
              <list type="bulleted">
                <list.item>
                  <para>
                    <paratext>How will the seller monitor the overage arrangements throughout the overage period? The seller needs to know when an overage payment becomes due to ensure that the correct amount is paid to it. With more complex overage arrangements, this process can be time-consuming. Where implementation can trigger payment of overage (as in this standard document), it may be harder for the seller to monitor and establish when implementation has actually occurred. Where the grant of planning permission triggers payment instead, it is likely to be easier for the seller to monitor when payment has been triggered as a copy of the relevant planning permission can always be obtained by the seller from the local planning authority (LPA).</paratext>
                  </para>
                </list.item>
                <list.item>
                  <para>
                    <paratext>
                      Should the buyer be put under any obligation to obtain planning permission and maximise the amount of the overage payment? If so, appropriate clauses may be adapted from 
                      <link anchor="a551707" href="w-008-6016" style="ACTLinkPLCtoPLC">
                        <ital>Standard document, Landowner's option agreement (incorporating the Standard Commercial Property Conditions (Third Edition - 2018 Revision)): Clause 3</ital>
                      </link>
                      .
                    </paratext>
                  </para>
                </list.item>
              </list>
            </division>
            <division id="a100393" level="2">
              <head align="left" preservecase="true">
                <headtext>Considerations for the buyer</headtext>
              </head>
              <para>
                <paratext>The buyer should bear in mind the following:</paratext>
              </para>
              <list type="bulleted">
                <list.item>
                  <para>
                    <paratext>Will the overage provisions and the mechanism(s) proposed by the seller to secure the overage payment have any effect on the marketability of the property and the purchase price the buyer is willing to pay? The buyer should seek its surveyor's advice.</paratext>
                  </para>
                </list.item>
                <list.item>
                  <para>
                    <paratext>Will the overage provisions cause any problems for the buyer in raising finance against the property? If so, the buyer should seek the lender's instructions where appropriate.</paratext>
                  </para>
                </list.item>
                <list.item>
                  <para>
                    <paratext>Are the potential costs and the administration involved in preparing a chain of deeds of covenant acceptable to the buyer? If so, this could delay future disposals of the property.</paratext>
                  </para>
                </list.item>
                <list.item>
                  <para>
                    <paratext>Is the buyer aware of the administrative and financial implications of paying stamp duty land tax (SDLT) (where the property is in England) or land transaction tax (LTT) (where the property is in Wales) on the overage payment(s)? In particular:</paratext>
                  </para>
                  <list type="bulleted">
                    <list.item>
                      <para>
                        <paratext>the buyer will need to monitor the overage provisions regularly and submit any additional return within the relevant time limit. Otherwise, the buyer may have to pay penalties;</paratext>
                      </para>
                    </list.item>
                    <list.item>
                      <para>
                        <paratext>
                          the buyer should consider making an application to defer payment of SDLT or LTT on the overage payment(s) where appropriate. Unless an application is made to defer, interest will be payable as from the original effective date of the transaction. For information on the effective date for SDLT and LTT purposes, see 
                          <link anchor="co_anchor_a999785" href="https://uk.practicallaw.thomsonreuters.com/Document/Idfb50dd2f40f11e698dc8b09b4f043e0/View/FullText.html?navigationPath=Search%2Fv1%2Fresults%2Fnavigation%2Fi0ad740130000016372d09b75dcbecc66%3FNav%3DKNOWHOW_UK%26fragmentIdentifier%3DIdfb50dd2f40f11e698dc8b09b4f043e0%26startIndex%3D1%26contextData%3D%2528sc.Search%2529%26transitionType%3DSearchItem&amp;amp;listSource=Search&amp;amp;listPageSource=69988cf0335b97ad5091af552e348f7f&amp;amp;list=KNOWHOW_UK&amp;amp;rank=1&amp;amp;sessionScopeId=d48520e64bfe7b7714545e2d9afdad912410a2e0dafa1382bcec1b17e042312b&amp;amp;originationContext=Search+Result&amp;amp;transitionType=SearchItem&amp;amp;contextData=%28sc.Search%29&amp;amp;navId=6313426CC91B21C834873ABE29566EB5&amp;amp;comp=pluk" style="ACTLinkURL">
                            <ital>Practice notes, SDLT: substantial performance:When is the effective date?</ital>
                          </link>
                           and 
                          <link anchor="co_anchor_a501731" href="https://uk.practicallaw.thomsonreuters.com/Document/I481c31b21db611e798dc8b09b4f043e0/View/FullText.html?navigationPath=Search%2Fv1%2Fresults%2Fnavigation%2Fi0ad740130000016372d166bfdcbeccbc%3FNav%3DKNOWHOW_UK%26fragmentIdentifier%3DI481c31b21db611e798dc8b09b4f043e0%26startIndex%3D1%26contextData%3D%2528sc.Search%2529%26transitionType%3DSearchItem&amp;amp;listSource=Search&amp;amp;listPageSource=b67d5392b68e9e61e92d9b72c00d787c&amp;amp;list=KNOWHOW_UK&amp;amp;rank=1&amp;amp;sessionScopeId=d48520e64bfe7b7714545e2d9afdad912410a2e0dafa1382bcec1b17e042312b&amp;amp;originationContext=Search+Result&amp;amp;transitionType=SearchItem&amp;amp;contextData=%28sc.Search%29&amp;amp;navId=A987C4E4DF0354BFC973CA8174EE295C&amp;amp;comp=pluk" style="ACTLinkURL">
                            <ital>Welsh LTT: substantial performance: When is the effective date?</ital>
                          </link>
                          ;
                        </paratext>
                      </para>
                    </list.item>
                    <list.item>
                      <para>
                        <paratext>when making an SDLT or LTT deferral application, it is necessary to make a reasonable estimate of the overage payment(s) that will become payable. Specialist advice is not necessary. However, as interest runs from the effective date of acquisition, care should be taken to avoid a significant under-estimate; and</paratext>
                      </para>
                    </list.item>
                    <list.item>
                      <para>
                        <paratext>if the buyer sells the property to another (B2) before overage is triggered, the buyer will want to ensure that B2 keeps the buyer informed of all relevant sales and all overage payments made to the seller. This is because, as the buyer remains liable to make the overage payments even though B2 also becomes responsible for them under the deed of covenant, the buyer remains liable for the SDLT or LTT in respect of those payments.</paratext>
                      </para>
                    </list.item>
                  </list>
                </list.item>
              </list>
              <para>
                <paratext>
                  For more detailed information on the SDLT and LTT treatment of overage payments, see 
                  <link anchor="a676103" href="0-611-3326" style="ACTLinkPLCtoPLC">
                    <ital>Practice note, Overage payments: tax: Stamp duty land tax and land transaction tax</ital>
                  </link>
                  .
                </paratext>
              </para>
            </division>
          </division>
          <division id="a685034" level="1">
            <head align="left" preservecase="true">
              <headtext>Issues to consider</headtext>
            </head>
            <para>
              <paratext>When drafting overage provisions it is important to bear in mind the following issues.</paratext>
            </para>
            <division id="a762635" level="2">
              <head align="left" preservecase="true">
                <headtext>Overage provisions are highly individual</headtext>
              </head>
              <para>
                <paratext>Overage provisions must always be drafted and adapted to fit the particular circumstances and terms of the transaction. The standard document should be amended and modified accordingly. This standard document and its drafting notes highlight issues that commonly arise and should be taken into consideration. However, it is likely that there will also be other factors arising out of the particular transaction that must be taken into account.</paratext>
              </para>
            </division>
            <division id="a516965" level="2">
              <head align="left" preservecase="true">
                <headtext>Difficulty of drafting for future events</headtext>
              </head>
              <para>
                <paratext>Careful drafting is needed to ensure that the buyer cannot avoid making the overage payment or structure events so that only a token overage payment becomes payable.  The seller must consider all reasonably foreseeable circumstances so that the overage provisions remain effective for the whole of the overage period. This can be problematic given the difficulty in predicting future events over many years.</paratext>
              </para>
              <para>
                <paratext>
                  In 
                  <link href="D-006-6256" style="ACTLinkURL">
                    <ital>Bride Hall Estates Ltd v St George North London Ltd [2004] EWCA 141</ital>
                  </link>
                  , the parties had not given prior thought to the different ways in which sales of residential units could be structured. A drafting ambiguity as to whether car parking spaces formed part of the residential units for the purposes of calculating the overage payment led to a difference of nearly £300,000 in the potential overage payment. The Court of Appeal held that the car parking spaces did form part of the residential units. For more information, see 
                  <link href="6-107-2154" style="ACTLinkPLCtoPLC">
                    <ital>Legal update, Overage payments and parking spaces (Court of Appeal)</ital>
                  </link>
                  .
                </paratext>
              </para>
            </division>
            <division id="a253977" level="2">
              <head align="left" preservecase="true">
                <headtext>Overage can be complex</headtext>
              </head>
              <para>
                <paratext>As overage provisions are often complex, particular care must be taken to ensure that the document precisely reflects what has been agreed. A small error in the formula calculating the overage payment can have serious financial consequences.</paratext>
              </para>
              <para>
                <paratext>
                  In 
                  <link href="D-007-5417" style="ACTLinkURL">
                    <ital>George Wimpey UK Ltd v VI Construction Ltd [2005] EWCA Civ 77</ital>
                  </link>
                  , the formula for calculating the overage payment was so complex that one party did not notice that a crucial part of the formula had been omitted from the final contract. The Court of Appeal refused rectification for unilateral mistake. For more information, see 
                  <link href="8-200-2908" style="ACTLinkPLCtoPLC">
                    <ital>Legal update, Rectification for unilateral mistake (Court of Appeal)</ital>
                  </link>
                  .
                </paratext>
              </para>
              <para>
                <paratext>
                  For more information on drafting issues in relation to overage payments, see 
                  <link href="4-200-2514#a132723" style="ACTLinkPLCtoPLC">
                    <ital>Practice note, Overage payments: Drafting considerations</ital>
                  </link>
                  .
                </paratext>
              </para>
            </division>
            <division id="a777361" level="2">
              <head align="left" preservecase="true">
                <headtext>Involvement of parties' surveyors</headtext>
              </head>
              <para>
                <paratext>It is important that both parties seek advice from their respective surveyors on the drafting of the detailed overage provisions and on any valuation assumptions to be included. Ideally, the parties' surveyors should be involved from the start of negotiations right through to approval of the documentation. A surveyor's input is particularly crucial in relation to the following definitions:</paratext>
              </para>
              <list type="bulleted">
                <list.item>
                  <para>
                    <paratext>Base Value.</paratext>
                  </para>
                </list.item>
                <list.item>
                  <para>
                    <paratext>Development.</paratext>
                  </para>
                </list.item>
                <list.item>
                  <para>
                    <paratext>Enhanced Value.</paratext>
                  </para>
                </list.item>
                <list.item>
                  <para>
                    <paratext>Market Value.</paratext>
                  </para>
                </list.item>
                <list.item>
                  <para>
                    <paratext>Overage Payment.</paratext>
                  </para>
                </list.item>
                <list.item>
                  <para>
                    <paratext>Permitted Disposal.</paratext>
                  </para>
                </list.item>
              </list>
              <para>
                <paratext>
                  It is vital that professional advisors are clear about who they are acting for and the interests they are trying to protect. The basis of their appointment and remuneration should be made clear to all of the parties to the transaction (as noted in 
                  <link href="D-000-0099" style="ACTLinkURL">
                    <ital>Ross River Limited and Blue River LP v Cambridge City Football Club Ltd [2007] EWHC 2115</ital>
                  </link>
                   (considered in 
                  <link href="0-376-4849" style="ACTLinkPLCtoPLC">
                    <ital>Legal update, Football club entitled to rescind agreement for fraudulent misrepresentation</ital>
                  </link>
                  )).
                </paratext>
              </para>
            </division>
            <division id="a207206" level="2">
              <head align="left" preservecase="true">
                <headtext>Seller's conveyancer's responsibility to ensure that payment is properly secured</headtext>
              </head>
              <para>
                <paratext>
                  It is the seller's conveyancer's responsibility to see that adequate security is given to the seller to protect the overage payment. In 
                  <link href="D-006-8016" style="ACTLinkURL">
                    <ital>Akasuc Enterprise Ltd v Farmar &amp; Shirreff [2003] EWHC 1275 (Ch)</ital>
                  </link>
                  , appropriate mechanisms were not included to protect an overage payment. As a result, the claimant lost an opportunity to obtain a further £250,000. The court considered it to be the seller's conveyancer's responsibility to ensure that the documentation contained an appropriate mechanism to secure the overage payment and that the seller's conveyancer had been negligent. An unsecured promise to pay overage was not sufficient.
                </paratext>
              </para>
              <para>
                <paratext>This standard document provides a mechanism to bind the buyer's successors in title through a chain of deeds of covenant and a restriction entered against the buyer's title.</paratext>
              </para>
              <para>
                <paratext>If the buyer refuses to accept any suitable mechanism to protect the overage payment, the possible consequences should be clearly explained in writing to the seller to avoid any claim for professional negligence.</paratext>
              </para>
              <para>
                <paratext>
                  For more information, see 
                  <link href="4-200-2514#a991661" style="ACTLinkPLCtoPLC">
                    <ital>Practice note, Overage payments: Seller's advisers need to ensure that payment is properly secured</ital>
                  </link>
                  .
                </paratext>
              </para>
            </division>
            <division id="a159591" level="2">
              <head align="left" preservecase="true">
                <headtext>Good faith</headtext>
              </head>
              <division id="a279989" level="3">
                <head align="left" preservecase="true">
                  <headtext>Should the overage agreement include an express duty of good faith?</headtext>
                </head>
                <para>
                  <paratext>It is increasingly common to include express duties of good faith in overage agreements. Including this duty can help to fill any gaps in the contractual relationship and encourage both parties to act in a fair and honest way.</paratext>
                </para>
                <para>
                  <paratext>
                    However, neither this standard document nor any of the other
                    <link anchor="a479113" href="3-200-9460" style="ACTLinkPLCtoPLC">
                      <ital> Practical Law standard document overage deeds</ital>
                    </link>
                     include an express duty of good faith. This is because a duty of good faith has no universally accepted meaning and will be coloured greatly by the commercial context. Trying to determine the meaning of such a duty, and its interaction with the other terms of the agreement, may create uncertainty. At the least, it risks spurious arguments based on broad assertions of what good faith means in that particular context. At the worst, it might have an effect that neither party properly anticipated. A good example is the suggestion that good faith requires the disclosure of material facts (
                    <link href="D-000-1070" style="ACTLinkPLCtoPLC">
                      <ital>Horn v Commercial Acceptances [2011] EWHC 1757 (Ch)</ital>
                    </link>
                    ). Few commercial lawyers would expect this obligation.
                  </paratext>
                </para>
                <para>
                  <paratext>Therefore, including detailed terms about the substance of the contract will almost always be better than trying to rely on a duty of good faith.</paratext>
                </para>
                <para>
                  <paratext>
                    For more information about good faith, see 
                    <link href="w-003-1201" style="ACTLinkPLCtoPLC">
                      <ital>Practice note, Contracts: good faith</ital>
                    </link>
                    .
                  </paratext>
                </para>
              </division>
              <division id="a997739" level="3">
                <head align="left" preservecase="true">
                  <headtext>Will a duty of good faith be implied?</headtext>
                </head>
                <para>
                  <paratext>The courts have rejected the concept of good faith acting as a general organising principle under English law. Where the contract is "relational", it may be possible to use the concept of good faith as an aid to the interpretation or to imply other fact-specific duties. However, the law remains in flux and the circumstances in which a contract will be considered "relational" are limited.</paratext>
                </para>
                <para>
                  <paratext>
                    For more information about implied good faith obligations, see 
                    <link anchor="a108329" href="w-003-1201" style="ACTLinkPLCtoPLC">
                      <ital>Practice note, Contracts: good faith: Implied obligations requiring good faith</ital>
                    </link>
                    .
                  </paratext>
                </para>
              </division>
            </division>
          </division>
          <division id="a448832" level="1">
            <head align="left" preservecase="true">
              <headtext>Stamp duty land tax and land transaction tax</headtext>
            </head>
            <para>
              <paratext>
                For information on the payment of SDLT or LTT on overage payments, see 
                <link anchor="a676103" href="0-611-3326" style="ACTLinkPLCtoPLC">
                  <ital>Practice note, Overage payments: tax: Stamp duty land tax and land transaction tax</ital>
                </link>
                .
              </paratext>
            </para>
          </division>
          <division id="a723955" level="1">
            <head align="left" preservecase="true">
              <headtext>Direct taxation</headtext>
            </head>
            <para>
              <paratext>
                For information on the direct tax treatment of overage payments, see 
                <link href="0-611-3326" style="ACTLinkPLCtoPLC">
                  <ital>Practice note, Overage payments: tax</ital>
                </link>
                 and 
                <link href="https://www.gov.uk/hmrc-internal-manuals/capital-gains-manual/cg72850" style="ACTLinkURL">
                  <ital>HMRC's Capital Gains Manual: CG72850: Land: disposals: unascertained deferred consideration</ital>
                </link>
                .
              </paratext>
            </para>
          </division>
        </drafting.note>
        <cover.sheet>
          <head align="left" preservecase="true">
            <headtext>Overage Deed</headtext>
          </head>
          <party.name>Party 1</party.name>
          <AdditionalPartyType>
            <static.and>and</static.and>
            <party.name>Party 2</party.name>
          </AdditionalPartyType>
        </cover.sheet>
        <intro default="true">
          <intro.date>This deed is dated [DATE]</intro.date>
        </intro>
        <parties>
          <head align="left" preservecase="true">
            <headtext>PARTIES</headtext>
          </head>
          <drafting.note id="a187383" jurisdiction="">
            <head align="left" preservecase="true">
              <headtext>Parties</headtext>
            </head>
            <division id="a000008" level="1">
              <para>
                <paratext>The parties to the deed are the Seller and the Buyer. The standard document is drafted on the assumption that each party is either a company incorporated in England and Wales or an individual resident and domiciled in England and Wales.</paratext>
              </para>
              <para>
                <paratext>When giving the details of a company that is party to a deed in any capacity, it is always advisable to include the company registration number. It is then much easier to identify the relevant party following changes of company name and address.</paratext>
              </para>
            </division>
          </drafting.note>
          <party executionmethod="deed" id="a149737" status="individual-company">
            <identifier>(1)</identifier>
            <defn.item>
              <defn>
                <para>
                  <paratext>[FULL COMPANY NAME] incorporated and registered in England and Wales with company number [NUMBER] whose registered office is at [REGISTERED OFFICE ADDRESS] OR [INDIVIDUAL NAME] of [INDIVIDUAL ADDRESS]</paratext>
                </para>
              </defn>
              <defn.term>Seller</defn.term>
            </defn.item>
          </party>
          <party executionmethod="deed" id="a281583" status="individual-company">
            <identifier>(2)</identifier>
            <defn.item>
              <defn>
                <para>
                  <paratext>[FULL COMPANY NAME] incorporated and registered in England and Wales with company number [NUMBER] whose registered office is at [REGISTERED OFFICE ADDRESS] OR [INDIVIDUAL NAME] of [INDIVIDUAL ADDRESS]</paratext>
                </para>
              </defn>
              <defn.term>Buyer</defn.term>
            </defn.item>
          </party>
        </parties>
        <recitals>
          <head align="left" preservecase="true">
            <headtext>BACKGROUND</headtext>
          </head>
          <drafting.note id="a290151" jurisdiction="">
            <head align="left" preservecase="true">
              <headtext>Background</headtext>
            </head>
            <division id="a000009" level="1">
              <para>
                <paratext>The brief background synopsis at the beginning of the standard document should be amended to describe the particular transaction.</paratext>
              </para>
            </division>
          </drafting.note>
          <clause id="a952393">
            <identifier>(A)</identifier>
            <para>
              <paratext>By a transfer dated the same date as this deed, the Seller has transferred the Property to the Buyer.</paratext>
            </para>
          </clause>
          <clause id="a706722">
            <identifier>(B)</identifier>
            <para>
              <paratext>On the terms of this deed, the Buyer agrees to pay an Overage Payment to the Seller on the earlier of the following events occurring during the Overage Period in relation to each Planning Permission granted during the Overage Period:</paratext>
            </para>
            <subclause1 id="a938394">
              <identifier>(a)</identifier>
              <para>
                <paratext>implementation of that Planning Permission; and</paratext>
              </para>
            </subclause1>
            <subclause1 id="a860244">
              <identifier>(b)</identifier>
              <para>
                <paratext>completion of an Overage Disposal where the land disposed of includes the whole or any part(s) of the Property with the benefit of that Planning Permission.</paratext>
              </para>
            </subclause1>
          </clause>
        </recitals>
        <operative xrefname="clause">
          <head align="left" preservecase="true">
            <headtext>Agreed terms</headtext>
          </head>
          <clause id="a716443">
            <identifier>1.</identifier>
            <head align="left" preservecase="true">
              <headtext>Interpretation</headtext>
            </head>
            <drafting.note id="a67587" jurisdiction="">
              <head align="left" preservecase="true">
                <headtext>Interpretation</headtext>
              </head>
              <division id="a000010" level="1">
                <para>
                  <paratext>This positive overage covenant has been drafted for use in an ancillary deed of covenant between the Seller and Buyer. The operative provisions may also be inserted in a schedule to a transfer or a contract for sale. In which case, consequential amendments will be required. For example, the references in the document to "deed" should be changed to "Schedule" as appropriate and the references to a particular clause or clauses (in general) should be changed to paragraphs. The parties' conveyancers must ensure that the terms of this document do not conflict with the terms of the document into which they are inserted.</paratext>
                </para>
                <para>
                  <paratext>
                    <internal.reference refid="a695900">Clause 1.1</internal.reference>
                     sets out the defined terms. The list must be amended if any of the terms are not  used or if other defined terms are required.
                  </paratext>
                </para>
                <para>
                  <paratext>
                    The remainder of 
                    <internal.reference refid="a716443">clause 1</internal.reference>
                     contains standard boilerplate provisions dealing with rules of interpretation. For more information, see 
                    <link href="9-107-3656" style="ACTLinkPLCtoPLC">
                      <ital>Standard document, Boilerplate agreement</ital>
                    </link>
                    .
                  </paratext>
                </para>
              </division>
            </drafting.note>
            <para>
              <paratext>The following definitions and rules of interpretation apply in this deed.</paratext>
            </para>
            <subclause1 id="a695900">
              <identifier>1.1</identifier>
              <para>
                <paratext>Definitions:</paratext>
              </para>
              <defn.item id="a531170">
                <defn.term>Assignee</defn.term>
                <defn>
                  <para>
                    <paratext>in relation to each Assignment, the person to whom that Assignment has been made.</paratext>
                  </para>
                </defn>
                <drafting.note id="a199727" jurisdiction="">
                  <head align="left" preservecase="true">
                    <headtext>Assignee</headtext>
                  </head>
                  <division id="a000011" level="1">
                    <para>
                      <paratext>
                        This definition is used in 
                        <internal.reference refid="a326933">clause 3</internal.reference>
                        . For more information, see 
                        <internal.reference refid="a346802">Drafting note, Benefit can be assigned</internal.reference>
                        .
                      </paratext>
                    </para>
                  </division>
                </drafting.note>
              </defn.item>
              <defn.item id="a775216">
                <defn.term>Assignee Deed of Covenant</defn.term>
                <defn>
                  <para>
                    <paratext>a deed of covenant with the Buyer containing covenants in the same terms as those given by the Seller in this deed with such minor modifications as the Buyer may agree.</paratext>
                  </para>
                </defn>
                <drafting.note id="a139209" jurisdiction="">
                  <head align="left" preservecase="true">
                    <headtext>Assignee Deed of Covenant</headtext>
                  </head>
                  <division id="a000012" level="1">
                    <para>
                      <paratext>
                        <internal.reference refid="a985945">clause 3.2</internal.reference>
                         obliges the Seller not to make any assignment of the benefit of the Buyer's covenants in relation to any matters contained in this deed at any time during the Overage Period without first procuring that the prospective Assignee has executed an Assignee Deed of Covenant.
                      </paratext>
                    </para>
                    <para>
                      <paratext>This definition envisages the Seller's assignee entering into similar covenants to those entered into by the Seller in this standard document (subject to any minor modifications agreed by the Buyer).</paratext>
                    </para>
                    <para>
                      <paratext>
                        The parties may, however, prefer to annex a draft Assignee Deed of Covenant to the document. For a draft deed of covenant that could be adapted and annexed in a schedule to this document, see 
                        <link href="w-005-4027" style="ACTLinkPLCtoPLC">
                          <ital>Standard document, Deed of covenant (overage obligations)</ital>
                        </link>
                        .
                      </paratext>
                    </para>
                  </division>
                </drafting.note>
              </defn.item>
              <defn.item id="a842466">
                <defn.term>Assignment</defn.term>
                <defn>
                  <para>
                    <paratext>an assignment of the benefit of the Buyer's covenants in relation to any matters contained in this deed.</paratext>
                  </para>
                </defn>
                <drafting.note id="a176658" jurisdiction="">
                  <head align="left" preservecase="true">
                    <headtext>Assignment</headtext>
                  </head>
                  <division id="a000013" level="1">
                    <para>
                      <paratext>
                        This definition is used in 
                        <internal.reference refid="a326933">clause 3</internal.reference>
                        . For more information, see 
                        <internal.reference refid="a346802">Drafting note, Benefit can be assigned</internal.reference>
                        .
                      </paratext>
                    </para>
                  </division>
                </drafting.note>
              </defn.item>
              <defn.item id="a618587">
                <defn.term>Base Value</defn.term>
                <defn>
                  <para>
                    <paratext>
                      where an Overage Payment has become due under 
                      <internal.reference refid="a763311">clause 2.1</internal.reference>
                       due to the occurrence of a Trigger Date, the Market Value at that Trigger Date of all the Development Land with the benefit of the Relevant Planning Permission in respect of which that Overage Payment has become due:
                    </paratext>
                  </para>
                  <list type="loweralpha">
                    <list.item>
                      <para>
                        <paratext>disregarding any effect on value of that Relevant Planning Permission; [and]</paratext>
                      </para>
                    </list.item>
                    <list.item>
                      <para>
                        <paratext>
                          assuming that there is no expectation of the grant of any Planning Permission[. 
                          <bold>OR</bold>
                           ; and]
                        </paratext>
                      </para>
                    </list.item>
                    <list.item>
                      <para>
                        <paratext>[[OTHER ASSUMPTIONS AND DISREGARDS].]</paratext>
                      </para>
                    </list.item>
                  </list>
                </defn>
                <drafting.note id="a734581" jurisdiction="">
                  <head align="left" preservecase="true">
                    <headtext>Base Value</headtext>
                  </head>
                  <division id="a000014" level="1">
                    <para>
                      <paratext>
                        An Overage Payment will become due on each Trigger Date that occurs during the Overage Period (see 
                        <internal.reference refid="a942847">Drafting note, Trigger Date</internal.reference>
                        ). For each Planning Permission granted during the Overage Period, a Trigger Date will occur on the earlier of the date during the Overage Period on which:
                      </paratext>
                    </para>
                    <list type="bulleted">
                      <list.item>
                        <para>
                          <paratext>
                            Implementation of that Planning Permission occurs (see 
                            <internal.reference refid="a569804">Drafting note, Implementation</internal.reference>
                            ).
                          </paratext>
                        </para>
                      </list.item>
                      <list.item>
                        <para>
                          <paratext>
                            Completion of an Overage Disposal occurs. This will occur when the land disposed of includes the whole or any part of the Property with the benefit of that Planning Permission (see 
                            <internal.reference refid="a845228">Drafting note, Overage Disposal</internal.reference>
                            ).
                          </paratext>
                        </para>
                      </list.item>
                    </list>
                    <para>
                      <paratext>
                        An Overage Payment can only become due once for each Planning Permission granted during the Overage Period. Once an Overage Payment has become due in respect of a Planning Permission, that Planning Permission ceases to be a Relevant Planning Permission and a further Overage Payment cannot become due in respect of it. For more information, see 
                        <internal.reference refid="a450948">Drafting note, Multiple Trigger Dates possible</internal.reference>
                        .
                      </paratext>
                    </para>
                    <para>
                      <paratext>
                        Each Overage Payment will be due and calculated 
                        <bold>only</bold>
                         in relation to the part of the Property benefitting from the Relevant Planning Permission which was the subject of the Trigger Date that gave rise to that Overage Payment (see 
                        <internal.reference refid="a573739">Drafting note, Overage Payment</internal.reference>
                        ). However, it is important to note that this may comprise more than the Development Land disposed of by an Overage Disposal. The Overage Payment will be calculated in relation to 
                        <bold>all</bold>
                         of the land within the Property that benefits from the Relevant Planning Permission. That will be the case even though an Overage Disposal may have only disposed of part of the Development Land benefitting from that Relevant Planning Permission. For an example of when and how this could occur, see Event 5 within 
                        <internal.reference refid="a122458">Drafting note, Worked example of Trigger Dates</internal.reference>
                        .
                      </paratext>
                    </para>
                    <para>
                      <paratext>
                        To calculate an Overage Payment, the Base Value of the relevant Development Land is deducted from the Enhanced Value of that Development Land (see 
                        <internal.reference refid="a151144">Drafting note, Enhanced Value</internal.reference>
                        ) to calculate the difference. The agreed percentage is then applied to that difference and the resulting figure is the Overage Payment. For more information, see 
                        <internal.reference refid="a573739">Drafting note, Overage Payment</internal.reference>
                        .
                      </paratext>
                    </para>
                    <para>
                      <paratext>The definition of Base Value sets out the starting point for calculating any increase in the value of the relevant Development Land due to the grant of the Relevant Planning Permission in respect of which the Trigger Date has occurred.</paratext>
                    </para>
                    <para>
                      <paratext>
                        The Base Value is the Market Value of 
                        <bold>all</bold>
                         of the Development Land with the benefit of the Relevant Planning Permission for which that Overage Payment has become due (see 
                        <internal.reference refid="a630895">Drafting note, Market Value</internal.reference>
                        ):
                      </paratext>
                    </para>
                    <list type="bulleted">
                      <list.item>
                        <para>
                          <paratext>On the Trigger Date which gave rise to the Overage Payment that is being calculated. This means that any general inflationary rise or fall in property prices since the Buyer's acquisition of the Property is ignored for the purposes of calculating the Base Value.</paratext>
                        </para>
                      </list.item>
                      <list.item>
                        <para>
                          <paratext>Disregarding any effect on value of the Relevant Planning Permission(s) in respect of which the Overage Payment has become due.</paratext>
                        </para>
                      </list.item>
                      <list.item>
                        <para>
                          <paratext>
                            On the assumption that there is no expectation of the grant of any Planning Permission. The standard document assumes that the purchase price paid by the Buyer for the Property did not include any hope value (that is, an element of market value that reflects the development potential of the property) (see 
                            <internal.reference refid="a769271">Drafting note, Drafting assumptions</internal.reference>
                            ). Accordingly, any expectation of the grant of any Planning Permission should be ignored for the purposes of calculating the Base Value so that the Seller will receive a proportion of the hope value when the Overage Payment is calculated. If the Base Value takes into account an anticipated grant of Planning Permission, this could increase the Base Value of the Property, reducing the amount of the Overage Payment for the Seller.
                          </paratext>
                        </para>
                      </list.item>
                    </list>
                    <para>
                      <paratext>
                        The parties should also consider whether to ignore the expectation of obtaining planning permission for any other type of scheme, particularly if Planning Permission is precisely (rather than widely) defined. In 
                        <link href="D-023-2717" style="ACTLinkURL">
                          <ital>Walton Homes Ltd v Staffordshire County Council [2013] EWHC 2554 (Ch)</ital>
                        </link>
                        , the agreement provided for the property to be valued on the basis that "the planning permission did not exist". This wording made it uncertain whether the decision of the planning inspector to recommend the grant of planning permission and the resolution of the planning committee to grant the permission should be ignored for valuation purposes.
                      </paratext>
                    </para>
                    <para>
                      <paratext>It may be appropriate to define the Base Value as equivalent to the purchase price paid on the Buyer's acquisition of the Property (or an apportioned amount of the purchase price if Planning Permission for less than the whole of the Property is obtained) in either of the following circumstances:</paratext>
                    </para>
                    <list type="bulleted">
                      <list.item>
                        <para>
                          <paratext>Where the Overage Period is short.</paratext>
                        </para>
                      </list.item>
                      <list.item>
                        <para>
                          <paratext>Where the purchase price paid by the Buyer for the Property did include an element of hope value. The Buyer may require this as an alternative to a valuation that excludes the expectation of the grant of any Planning Permission. The Buyer may argue that it will have paid twice for hope value if the hope value is also disregarded when calculating the Overage Payment.</paratext>
                        </para>
                      </list.item>
                    </list>
                    <para>
                      <paratext>Defining the Base Value as the equivalent of the purchase price paid by the Buyer (or an apportioned part of it) would avoid the possible delays and potential arguments over the value of the Property before the grant of the Relevant Planning Permission for which the Overage Payment has become due (although there could still be disagreement about how best to apportion the purchase price if Planning Permission for less than the whole of the Property is obtained). If the Base Value is defined as the equivalent of the purchase price paid by the Buyer, the Buyer may then wish to include indexation provisions to take account of possible inflation in property values during the Overage Period.</paratext>
                    </para>
                    <para>
                      <paratext>
                        <bold>Each party should seek specialist advice from a valuation surveyor on this definition and on any assumptions and disregards to be included.</bold>
                      </paratext>
                    </para>
                  </division>
                </drafting.note>
              </defn.item>
              <defn.item id="a809113">
                <defn.term>Deed of Covenant</defn.term>
                <defn>
                  <para>
                    <paratext>a deed of covenant with the Seller containing covenants in the same terms as those given by the Buyer in this deed with such minor modifications as the Seller may agree.</paratext>
                  </para>
                </defn>
                <drafting.note id="a938907" jurisdiction="">
                  <head align="left" preservecase="true">
                    <headtext>Deed of Covenant</headtext>
                  </head>
                  <division id="a000015" level="1">
                    <para>
                      <paratext>This definition envisages the Buyer's successor in title entering into similar covenants to those entered into by the Buyer in this deed (subject to any minor modifications agreed by the Seller).</paratext>
                    </para>
                    <para>
                      <paratext>The parties may, however, prefer to annex a draft Deed of Covenant to the document. When preparing this draft, bear in mind that this must be flexible enough to provide for the following eventualities:</paratext>
                    </para>
                    <list type="bulleted">
                      <list.item>
                        <para>
                          <paratext>The Seller having assigned its overage rights to another party.</paratext>
                        </para>
                      </list.item>
                      <list.item>
                        <para>
                          <paratext>The Buyer's successor acquiring only part of the Property that is subject to the overage provisions.</paratext>
                        </para>
                      </list.item>
                      <list.item>
                        <para>
                          <paratext>The Buyer's successor acquiring a leasehold or other interest in the Property, rather than the freehold.</paratext>
                        </para>
                      </list.item>
                    </list>
                    <para>
                      <paratext>
                        For a draft deed of covenant that could be annexed to this document, see 
                        <link href="w-005-4027" style="ACTLinkPLCtoPLC">
                          <ital>Standard document, Deed of covenant (overage obligations)</ital>
                        </link>
                        .
                      </paratext>
                    </para>
                  </division>
                </drafting.note>
              </defn.item>
              <defn.item id="a252195">
                <defn.term>Default Rate</defn.term>
                <defn>
                  <para>
                    <paratext>[4]% per annum above the Interest Rate.</paratext>
                  </para>
                </defn>
                <drafting.note id="a806686" jurisdiction="">
                  <head align="left" preservecase="true">
                    <headtext>Default Rate</headtext>
                  </head>
                  <division id="a000016" level="1">
                    <para>
                      <paratext>
                        If the Buyer does not make an Overage Payment on its due date (that is, its Payment Date), 
                        <internal.reference refid="a866079">clause 2.5</internal.reference>
                         requires the Buyer to pay Default Rate interest on the late payment. For more information, see 
                        <internal.reference refid="a440769">Drafting note, Interest Rate</internal.reference>
                        .
                      </paratext>
                    </para>
                  </division>
                </drafting.note>
              </defn.item>
              <defn.item id="a709251">
                <defn.term>Determining Authority</defn.term>
                <defn>
                  <para>
                    <paratext>the local planning authority or other appropriate determining body or person.</paratext>
                  </para>
                </defn>
                <drafting.note id="a844869" jurisdiction="">
                  <head align="left" preservecase="true">
                    <headtext>Determining Authority</headtext>
                  </head>
                  <division id="a000017" level="1">
                    <para>
                      <paratext>This definition refers to the body or person to whom the planning application will be submitted or which may grant the Planning Permission.</paratext>
                    </para>
                  </division>
                </drafting.note>
              </defn.item>
              <defn.item id="a927221">
                <defn.term>Development</defn.term>
                <defn>
                  <para>
                    <paratext>[development of the whole or any part or parts of the Property, with or without other land, for [DESCRIPTION OF DEVELOPMENT] including ancillary landscaping and infrastructure.</paratext>
                  </para>
                  <para>
                    <paratext>
                      <bold>OR</bold>
                    </paratext>
                  </para>
                  <para>
                    <paratext>
                      use of the whole or any part or parts of the Property, with or without other land, for any one or more uses comprised in classes [SPECIFY] of the Town and Country Planning (Use Classes) Order 1987 (
                      <ital>SI 1987/764</ital>
                      ) as at the date of this deed together with ancillary uses.
                    </paratext>
                  </para>
                  <para>
                    <paratext>
                      <bold>OR</bold>
                    </paratext>
                  </para>
                  <para>
                    <paratext>any development within the meaning of section 55 of the TCPA 1990 (except [SPECIFY]) of the whole or any part or parts of the Property, with or without other land.</paratext>
                  </para>
                  <para>
                    <paratext>
                      <bold>OR</bold>
                    </paratext>
                  </para>
                  <para>
                    <paratext>[SPECIFY OTHER DEVELOPMENT].]</paratext>
                  </para>
                </defn>
                <drafting.note id="a554380" jurisdiction="">
                  <head align="left" preservecase="true">
                    <headtext>Development</headtext>
                  </head>
                  <division id="a000018" level="1">
                    <para>
                      <paratext>
                        In this standard document, the obligation to make an Overage Payment arises when a Trigger Date occurs in relation to the whole or part of the Property benefitting from a certain type of planning permission, granted during the Overage Period for a particular form of development (see 
                        <internal.reference refid="a942847">Drafting note, Trigger Date</internal.reference>
                        ).
                      </paratext>
                    </para>
                    <para>
                      <paratext>This definition sets out the type(s) of development that are relevant and which will trigger the obligation to pay overage if planning permission for that development is obtained and a Trigger Date occurs in relation to that planning permission.</paratext>
                    </para>
                    <para>
                      <paratext>The parties' surveyors should have agreed the terms that form the basis for this definition. Suggestions are made in the standard document but the planning permission could, for example, be for:</paratext>
                    </para>
                    <list type="bulleted">
                      <list.item>
                        <para>
                          <paratext>The construction of additional units.</paratext>
                        </para>
                      </list.item>
                      <list.item>
                        <para>
                          <paratext>A change of use to a more valuable user.</paratext>
                        </para>
                      </list.item>
                      <list.item>
                        <para>
                          <paratext>Any development that increases the Property's value.</paratext>
                        </para>
                      </list.item>
                    </list>
                    <para>
                      <paratext>
                        If the 
                        <link href="3-508-4390" style="ACTLinkPLCtoPLC">
                          <ital>Town and Country Planning (Use Classes) Order 1987 (SI 1987/764)</ital>
                        </link>
                         (Use Classes Order 1987) is used in the definition, consider whether this should be fixed according to the Use Classes Order 1987 as it stands at the date that this overage deed is entered into (as provided for in this definition). Otherwise, under 
                        <internal.reference refid="a363139">clause 1.3</internal.reference>
                        , the definition includes all subsequent statutory amendments to the Use Classes Order 1987.
                      </paratext>
                    </para>
                    <para>
                      <paratext>
                        From 1 September 2020, the 
                        <link href="https://www.legislation.gov.uk/uksi/2020/757/contents/made" style="ACTLinkURL">
                          <ital>Town and Country (Use Classes) (Amendment) (England) Regulations 2020 (SI 2020/757)</ital>
                        </link>
                         amended the Use Classes Order 1987 to introduce new use classes in England.
                      </paratext>
                    </para>
                    <para>
                      <paratext>For more information on use classes in England see:</paratext>
                    </para>
                    <list type="bulleted">
                      <list.item>
                        <para>
                          <paratext>
                            <link href="w-026-6398" style="ACTLinkPLCtoPLC">
                              <ital>Legal update, Changes to Use Classes Order 1987 from 1 September 2020</ital>
                            </link>
                            .
                          </paratext>
                        </para>
                      </list.item>
                      <list.item>
                        <para>
                          <paratext>
                            <link href="w-027-0214" style="ACTLinkPLCtoPLC">
                              <ital>Practice note, Town and Country Planning (Use Classes) Order 1987 from 1 September 2020</ital>
                            </link>
                            .
                          </paratext>
                        </para>
                      </list.item>
                    </list>
                    <para>
                      <paratext>
                        For more information on use classes in Wales, see 
                        <link href="w-022-4294" style="ACTLinkPLCtoPLC">
                          <ital>Practice note, Use Classes Order in Wales</ital>
                        </link>
                        .
                      </paratext>
                    </para>
                    <division id="a814777" level="2">
                      <head align="left" preservecase="true">
                        <headtext>Considerations for the Seller</headtext>
                      </head>
                      <para>
                        <paratext>The Seller should consider how to treat landscaping and infrastructure. If there is a likelihood that Planning Permission may be granted for the Development of the Property together with adjoining property, care should be taken that the Seller will receive an Overage Payment following a Trigger Date even if Planning Permission was granted just for landscaping on the Property itself.</paratext>
                      </para>
                      <para>
                        <paratext>
                          For an example of the problems that can arise, see 
                          <link href="D-104-8377" style="ACTLinkPLCtoPLC">
                            <ital>Hallam Land Management Ltd v UK Coal Mining Ltd (formerly RJB Mining (UK) Ltd) [2002] EWCA Civ 982</ital>
                          </link>
                           as discussed in 
                          <link href="6-107-1611" style="ACTLinkPLCtoPLC">
                            <ital>Legal update, Interpreting option agreements and the ordinary meaning of development</ital>
                          </link>
                          ). The court had to consider whether development included landscaping.
                        </paratext>
                      </para>
                    </division>
                    <division id="a244621" level="2">
                      <head align="left" preservecase="true">
                        <headtext>Considerations for the Buyer</headtext>
                      </head>
                      <para>
                        <paratext>
                          The definition of development in 
                          <link href="6-508-4398" style="ACTLinkPLCtoPLC">
                            <ital>section 55</ital>
                          </link>
                           of the Town and Country Planning Act 1990 (TCPA 1990) is:
                        </paratext>
                      </para>
                      <display.quote>
                        <para>
                          <paratext>"the carrying out of building, engineering, mining or other operations in, on, over or under land, or the making of any material change in the use of any buildings or other land."</paratext>
                        </para>
                      </display.quote>
                      <para>
                        <paratext>If section 55 of the TCPA 1990 is used in this definition, the Buyer may wish to exclude specified types of Development that will not trigger the overage provisions. This ensures the Buyer retains flexibility to use and manage the Property effectively.</paratext>
                      </para>
                      <para>
                        <paratext>The Buyer may also seek to limit the definition so that an Overage Payment will only be due in respect of a planning permission for a Development that increases the value of the Property by a certain percentage. This is unlikely to be attractive to the Seller as it is more likely to lead to dispute.</paratext>
                      </para>
                    </division>
                  </division>
                </drafting.note>
              </defn.item>
              <defn.item id="a831730">
                <defn.term>Development Land</defn.term>
                <defn>
                  <para>
                    <paratext>the whole or any part or parts of the Property with the benefit of a Relevant Planning Permission.</paratext>
                  </para>
                </defn>
                <drafting.note id="a778484" jurisdiction="">
                  <head align="left" preservecase="true">
                    <headtext>Development Land</headtext>
                  </head>
                  <division id="a000019" level="1">
                    <para>
                      <paratext>
                        If an Overage Payment becomes due, it will be calculated in respect of 
                        <bold>all</bold>
                         the relevant Development Land. Development Land is the whole (or part(s)) of the Property with the benefit of a Relevant Planning Permission. A Relevant Planning Permission is a Planning Permission for which an Overage Payment has not previously become due under the terms of this deed. This means that an Overage Payment will only become due once for each Planning Permission granted during the Overage Period. For more information, see 
                        <internal.reference refid="a450948">Drafting note, Multiple Trigger Dates possible</internal.reference>
                        .
                      </paratext>
                    </para>
                    <para>
                      <paratext>As Planning Permission might be granted for only part of the Property, it is important that the overage provisions apply to the whole or any part of the Property. Otherwise, the Buyer could avoid the obligation to make the Overage Payment by applying for Planning Permission for part of the Property only.</paratext>
                    </para>
                  </division>
                </drafting.note>
              </defn.item>
              <defn.item id="a881015">
                <defn.term>Disposal</defn.term>
                <defn>
                  <para>
                    <paratext>
                      a disposition [within the meaning of section 205(1)(ii) of the Law of Property Act 1925 
                      <bold>OR</bold>
                       which is required to be completed by registration as set out in section 27(2) of the Land Registration Act 2002] other than a Permitted Disposal.
                    </paratext>
                  </para>
                </defn>
                <drafting.note id="a674414" jurisdiction="">
                  <head align="left" preservecase="true">
                    <headtext>Disposal</headtext>
                  </head>
                  <division id="a000020" level="1">
                    <para>
                      <paratext>
                        This definition is relevant to 
                        <internal.reference refid="a676592">clause 5</internal.reference>
                         and the definition of Overage Disposal.
                      </paratext>
                    </para>
                    <para>
                      <paratext>
                        In 
                        <internal.reference refid="a676592">clause 5</internal.reference>
                        , the Buyer covenants not to make any Disposal of the whole or any part or parts of the Property without ensuring that the person to whom that Disposal is being made first enters into a Deed of Covenant with the Seller. This ensures that the Seller can enforce the overage provisions against the Buyer's successors in title through a chain of Deeds of Covenant.
                      </paratext>
                    </para>
                    <para>
                      <paratext>
                        The definition allows the Buyer to make certain Disposals of the whole or any part or parts of the Property without being under an obligation to obtain a Deed of Covenant from the person to whom that Disposal is being made. For more information, see 
                        <internal.reference refid="a249197">Drafting note, Permitted Disposal</internal.reference>
                        .
                      </paratext>
                    </para>
                    <para>
                      <paratext>
                        The standard document includes a separate definition of Overage Disposal. An Overage Disposal is a Disposal where the land disposed of includes any Development Land (see 
                        <internal.reference refid="a845228">Drafting note, Overage Disposal</internal.reference>
                        ). Only completion of an Overage Disposal will trigger an Overage Payment. For example, the following transactions are Disposals but they are not Overage Disposals and would not trigger an Overage Payment:
                      </paratext>
                    </para>
                    <list type="bulleted">
                      <list.item>
                        <para>
                          <paratext>The Buyer disposes of the Property (or a part of it) without having obtained a Relevant Planning Permission.</paratext>
                        </para>
                      </list.item>
                      <list.item>
                        <para>
                          <paratext>The Buyer obtains and implements a Relevant Planning Permission (thereby triggering an Overage Payment) and then disposes of the Property.</paratext>
                        </para>
                      </list.item>
                    </list>
                    <para>
                      <paratext>
                        Therefore, it is important that a disponee under 
                        <bold>any</bold>
                         Disposal of the whole or any part or parts of the Property (not just an Overage Disposal) provides a Deed of Covenant to the Seller. This obliges the disponee to pay overage if it subsequently obtains a Planning Permission and triggers an Overage Payment during the Overage Period.
                      </paratext>
                    </para>
                    <para>
                      <paratext>There are two approaches that could be taken with this definition:</paratext>
                    </para>
                    <list type="bulleted">
                      <list.item>
                        <para>
                          <paratext>Listing dispositions that the Buyer is not allowed to make. This carries a risk that a disposition may be omitted by mistake or that the Buyer might structure a transaction so as to avoid the provisions.</paratext>
                        </para>
                      </list.item>
                      <list.item>
                        <para>
                          <paratext>Imposing a blanket prohibition and listing any agreed exceptions. This is the approach taken in the document.</paratext>
                        </para>
                      </list.item>
                    </list>
                    <para>
                      <paratext>
                        "Disposition" in 
                        <link href="7-507-1296" style="ACTLinkPLCtoPLC">
                          <ital>section 205</ital>
                        </link>
                         of the Law of Property Act 1925 (LPA 1925) includes a mortgage, charge, lease, assent, vesting declaration, vesting instrument, disclaimer, release and every other assurance of property or of an interest therein by any instrument. It also includes a devise, bequest, or an appointment of property contained in a will.
                      </paratext>
                    </para>
                    <para>
                      <paratext>
                        <link href="5-508-2658" style="ACTLinkPLCtoPLC">
                          <ital>Section 27</ital>
                        </link>
                         of the Land Registration Act 2002 (LRA 2002) sets out those dispositions of registered land that are compulsorily registrable. The definition is more limited than that in section 205 of the LPA 1925. For further information, see 
                        <link href="1-107-4669#a835463" style="ACTLinkPLCtoPLC">
                          <ital>Practice note, Dealings with registered land under the Land Registration Act 2002: Registrable dispositions</ital>
                        </link>
                        .
                      </paratext>
                    </para>
                    <para>
                      <paratext>The dispositions that are contained in the statutory provisions could be listed in the definition so that they are clear on the face of the document avoiding the need to check the particular section.</paratext>
                    </para>
                  </division>
                </drafting.note>
              </defn.item>
              <defn.item id="a346205">
                <defn.term>Enhanced Value</defn.term>
                <defn>
                  <para>
                    <paratext>
                      where an Overage Payment has become due under 
                      <internal.reference refid="a763311">clause 2.1</internal.reference>
                       due to the occurrence of a Trigger Date, the Market Value at that Trigger Date of all the Development Land with the benefit of the Relevant Planning Permission for which that Overage Payment has become due:
                    </paratext>
                  </para>
                  <list type="loweralpha">
                    <list.item>
                      <para>
                        <paratext>with the benefit of that Relevant Planning Permission; [and]</paratext>
                      </para>
                    </list.item>
                    <list.item>
                      <para>
                        <paratext>
                          assuming that that Development Land has the benefit of any easements, wayleaves, sight-line covenants and other agreements necessary to provide access, visibility splays or services to or from that Development Land[. 
                          <bold>OR</bold>
                           ; and]
                        </paratext>
                      </para>
                    </list.item>
                    <list.item>
                      <para>
                        <paratext>[[OTHER ASSUMPTIONS AND DISREGARDS].]</paratext>
                      </para>
                    </list.item>
                  </list>
                </defn>
                <drafting.note id="a151144" jurisdiction="">
                  <head align="left" preservecase="true">
                    <headtext>Enhanced Value</headtext>
                  </head>
                  <division id="a000021" level="1">
                    <para>
                      <paratext>
                        The Enhanced Value is used as part of the calculation of the Overage Payment (see 
                        <internal.reference refid="a573739">Drafting note, Overage Payment</internal.reference>
                        ).
                      </paratext>
                    </para>
                    <para>
                      <paratext>
                        The Enhanced Value is the Market Value (see 
                        <internal.reference refid="a630895">Drafting note, Market Value</internal.reference>
                        ) of all of the Development Land with the benefit of the Relevant Planning Permission for which that Overage Payment has become due:
                      </paratext>
                    </para>
                    <list type="bulleted">
                      <list.item>
                        <para>
                          <paratext>
                            At the Trigger Date which gave rise to the Overage Payment that has become due (see 
                            <internal.reference refid="a942847">Drafting note, Trigger Date</internal.reference>
                            ).
                          </paratext>
                        </para>
                      </list.item>
                      <list.item>
                        <para>
                          <paratext>
                            <bold>With</bold>
                             the benefit of the Relevant Planning Permission for which that Overage Payment has become due
                            <ital>.</ital>
                          </paratext>
                        </para>
                      </list.item>
                      <list.item>
                        <para>
                          <paratext>On the assumption that the Development Land has the benefit of any third party rights that are necessary to implement that Relevant Planning Permission. If the Buyer has yet to acquire these, the Enhanced Value of the Development Land might be reduced.</paratext>
                        </para>
                      </list.item>
                    </list>
                    <para>
                      <paratext>
                        Each Overage Payment will be due and calculated 
                        <bold>only</bold>
                         in relation to the part of the Property benefitting from the Relevant Planning Permission for which that Overage Payment has become due (see 
                        <internal.reference refid="a573739">Drafting note, Overage Payment</internal.reference>
                        ). However, it is important to note that this may comprise more than the Development Land disposed of by an Overage Disposal. The Overage Payment will be calculated in relation to 
                        <bold>all</bold>
                         of the land within the Property that benefits from the Relevant Planning Permission. That will be the case even though an Overage Disposal may have only disposed of part of the Development Land benefitting from that Relevant Planning Permission. For an example of when and how this could occur, see Event 5 within 
                        <internal.reference refid="a122458">Drafting note, Worked example of Trigger Dates</internal.reference>
                        .
                      </paratext>
                    </para>
                    <para>
                      <paratext>
                        <bold>Each party should seek specialist advice from a valuation surveyor on this definition and on any assumptions and disregards to be included.</bold>
                      </paratext>
                    </para>
                    <division id="a945380" level="2">
                      <head align="left" preservecase="true">
                        <headtext>Considerations for the Buyer</headtext>
                      </head>
                      <para>
                        <paratext>
                          It may be prudent to amend this definition so that any planning obligations are expressly taken into account when calculating the Enhanced Value of the Development Land. The Buyer may not be able to obtain a Planning Permission without first entering into a planning obligation. For more information, see 
                          <link href="8-384-6163" style="ACTLinkPLCtoPLC">
                            <ital>Practice note, Planning obligations: overview</ital>
                          </link>
                          .
                        </paratext>
                      </para>
                      <para>
                        <paratext>The Buyer might also try to negotiate that the costs it incurred in obtaining the Relevant Planning Permission should be deducted in the formula for calculating the Overage Payment. This can require complex and detailed drafting, particularly where indexation of these costs is also required.</paratext>
                      </para>
                    </division>
                  </division>
                </drafting.note>
              </defn.item>
              <defn.item id="a226837">
                <defn.term>Existing Restriction</defn.term>
                <defn>
                  <para>
                    <paratext>a restriction which is on the registered title to the Property pursuant to this deed immediately prior to the date of completion of an Assignment.</paratext>
                  </para>
                </defn>
                <drafting.note id="a440709" jurisdiction="">
                  <head align="left" preservecase="true">
                    <headtext>Existing Restriction</headtext>
                  </head>
                  <division id="a000022" level="1">
                    <para>
                      <paratext>
                        This definition is used in 
                        <internal.reference refid="a167605">clause 3.3</internal.reference>
                        . For more information, see 
                        <internal.reference refid="a362258">Drafting note, Buyer's obligations in relation to the Existing Restriction following an assignment</internal.reference>
                        .
                      </paratext>
                    </para>
                  </division>
                </drafting.note>
              </defn.item>
              <defn.item id="a303974">
                <defn.term>Implementation</defn.term>
                <defn>
                  <para>
                    <paratext>the implementation of a Relevant Planning Permission by the carrying out of a Material Operation provided that, for the purposes of this deed, implementation of a Relevant Planning Permission shall be deemed to have occurred notwithstanding any breach of a condition to that Relevant Planning Permission.</paratext>
                  </para>
                </defn>
                <drafting.note id="a569804" jurisdiction="">
                  <head align="left" preservecase="true">
                    <headtext>Implementation</headtext>
                  </head>
                  <division id="a000023" level="1">
                    <para>
                      <paratext>Under this standard document, Implementation of a Relevant Planning Permission (that is, a Planning Permission for which an Overage Payment has not previously become due):</paratext>
                    </para>
                    <list type="bulleted">
                      <list.item>
                        <para>
                          <paratext>
                            Can trigger the Buyer's obligation to make an Overage Payment (see 
                            <internal.reference refid="a942847">Drafting note, Trigger Date</internal.reference>
                            ).
                          </paratext>
                        </para>
                      </list.item>
                      <list.item>
                        <para>
                          <paratext>
                            Occurs when a Material Operation is carried out (see 
                            <internal.reference refid="a221881">Drafting note, Material Operation</internal.reference>
                            ).
                          </paratext>
                        </para>
                      </list.item>
                    </list>
                    <para>
                      <paratext>
                        Some planning permissions are subject to conditions that must be complied with before development commences. Where a planning permission is subject to such conditions, the planning permission can only be lawfully implemented if all those conditions are complied with before development starts. Works started in breach of a planning condition do not amount to a lawful implementation of the relevant planning permission (
                        <link href="D-000-0607" style="ACTLinkURL">
                          <ital>Henry Boot Homes Ltd v Bassetlaw District Council [2002] EWCA Civ 983</ital>
                        </link>
                        ). This is an established principle of law, following the Court of Appeal decision in 
                        <link href="D-028-3102" style="ACTLinkURL">
                          <ital>Whitley &amp; Sons v Secretary of State for Wales (1992) 64 P &amp; CR 296</ital>
                        </link>
                        . The 
                        <ital>Whitley</ital>
                         principle provides:
                      </paratext>
                    </para>
                    <list type="bulleted">
                      <list.item>
                        <para>
                          <paratext>When reading the planning permission together with the conditions, is the development (as a whole) permitted by the planning permission and therefore lawful? In other words, have all "true" conditions precedent been complied with?</paratext>
                        </para>
                      </list.item>
                      <list.item>
                        <para>
                          <paratext>If the development does not comply with the conditions, it is a breach of planning permission and therefore unauthorised and unlawful for planning purposes.</paratext>
                        </para>
                      </list.item>
                    </list>
                    <para>
                      <paratext>
                        For more information, see 
                        <link href="w-034-4763" style="ACTLinkPLCtoPLC">
                          <ital>Practice note, Planning permission: lawful implementation</ital>
                        </link>
                        .
                      </paratext>
                    </para>
                    <para>
                      <paratext>Therefore, this definition makes it clear that, for the purposes of the overage obligations in this deed, Implementation is deemed to have occurred notwithstanding any breach of a condition to the Relevant Planning Permission. This helps to protect the Seller against the Buyer trying to avoid the obligation to make an Overage Payment by commencing works in breach of a condition to the Relevant Planning Permission so that, technically, the Relevant Planning Permission has not been lawfully implemented.</paratext>
                    </para>
                  </division>
                </drafting.note>
              </defn.item>
              <defn.item id="a486285">
                <defn.term>Independent Surveyor</defn.term>
                <defn>
                  <para>
                    <paratext>a Fellow of the Royal Institution of Chartered Surveyors with at least ten years' experience in valuing properties similar to the Property, for uses similar to the Development [and whose usual place of practice is within a [NUMBER] mile radius of the Property].</paratext>
                  </para>
                </defn>
                <drafting.note id="a817368" jurisdiction="">
                  <head align="left" preservecase="true">
                    <headtext>Independent Surveyor</headtext>
                  </head>
                  <division id="a000024" level="1">
                    <para>
                      <paratext>The Independent Surveyor determines the amount of an Overage Payment if the parties cannot agree. Careful consideration should be given to the qualifications and experience needed for the Independent Surveyor to be appointed. Where there are local issues involved, the parties may want to stipulate that the surveyor's usual place of practice is within a certain radius of the property. However, the requirements should not be too prescriptive as it may make it difficult to find a person with the correct experience.</paratext>
                    </para>
                  </division>
                </drafting.note>
              </defn.item>
              <defn.item id="a469963">
                <defn.term>Interest Rate</defn.term>
                <defn>
                  <para>
                    <paratext>the base rate from time to time of [Barclays Bank plc].</paratext>
                  </para>
                </defn>
                <drafting.note id="a440769" jurisdiction="">
                  <head align="left" preservecase="true">
                    <headtext>Interest Rate</headtext>
                  </head>
                  <division id="a000025" level="1">
                    <para>
                      <paratext>
                        Under 
                        <internal.reference refid="a501552">clause 2.4</internal.reference>
                        , the Buyer must pay interest on an Overage Payment at a base rate from its Trigger Date (see 
                        <internal.reference refid="a942847">Drafting note, Trigger Date</internal.reference>
                        ) to the date that that Overage Payment should be paid (that is, its Payment Date). This is to protect the Seller should there be any delay in agreeing the amount of that Overage Payment.
                      </paratext>
                    </para>
                    <para>
                      <paratext>The document defines the base rate as equivalent to Barclays Bank's base rate, although another rate may be specified.</paratext>
                    </para>
                  </division>
                </drafting.note>
              </defn.item>
              <defn.item id="a955717">
                <defn.term>Market Value</defn.term>
                <defn>
                  <para>
                    <paratext>the estimated amount for which the Development Land in respect of which an Overage Payment is being calculated should exchange between a willing buyer and a willing seller in an arm's length transaction, after proper marketing and where the parties had each acted knowledgeably, prudently and without compulsion, on the basis that:</paratext>
                  </para>
                  <list type="loweralpha">
                    <list.item>
                      <para>
                        <paratext>it is assessed in accordance with paragraph 4 of VPS 4 of the RICS Valuation – Global Standards (November 2021);</paratext>
                      </para>
                    </list.item>
                    <list.item>
                      <para>
                        <paratext>the provisions of this deed are disregarded; [and]</paratext>
                      </para>
                    </list.item>
                    <list.item>
                      <para>
                        <paratext>[that Development Land has vacant possession; [and]]</paratext>
                      </para>
                    </list.item>
                    <list.item>
                      <para>
                        <paratext>
                          that Development Land is assumed to be free from all encumbrances [other than [SPECIFY ENCUMBRANCE]][. 
                          <bold>OR</bold>
                           ; [and]]
                        </paratext>
                      </para>
                    </list.item>
                    <list.item>
                      <para>
                        <paratext>
                          [any damage to or destruction of that Development Land occurring after the date of this deed is assumed to have been fully reinstated[. 
                          <bold>OR</bold>
                           ; and]]
                        </paratext>
                      </para>
                    </list.item>
                    <list.item>
                      <para>
                        <paratext>[[OTHER ASSUMPTIONS AND DISREGARDS].]</paratext>
                      </para>
                    </list.item>
                  </list>
                </defn>
                <drafting.note id="a630895" jurisdiction="">
                  <head align="left" preservecase="true">
                    <headtext>Market Value</headtext>
                  </head>
                  <division id="a000026" level="1">
                    <para>
                      <paratext>
                        This definition is based on the definition contained in paragraph 4 of VPS 4 of the 
                        <link href="https://www.rics.org/uk/upholding-professional-standards/sector-standards/valuation/red-book/red-book-global/" style="ACTLinkURL">
                          <ital>RICS Valuation - Global Standards</ital>
                        </link>
                         (Red Book) which was issued in November 2021 and became effective on 31 January 2022.
                      </paratext>
                    </para>
                    <para>
                      <paratext>The Red Book deals with issues such as marriage value and special purchasers. These issues must otherwise be dealt with in the standard document.</paratext>
                    </para>
                    <para>
                      <paratext>Although there is an assumption that the Development Land is free from all encumbrances, for the avoidance of doubt there is also an express provision that the overage provisions must be disregarded for the purposes of calculating the Market Value. If the overage obligations are to be taken into account, this could reduce the valuation and, therefore, the amount of the Overage Payment.</paratext>
                    </para>
                    <para>
                      <paratext>The assumption that the Development Land is free from encumbrances must be amended to take account of the particular circumstances. As a general principle, the Seller will not want any future encumbrances created by the Buyer to reduce the Market Value.</paratext>
                    </para>
                    <para>
                      <paratext>
                        However, the Buyer will want the valuation to take account of any encumbrances subject to which it has purchased the Property and that are specified in the transfer. If a third party has the benefit of a restrictive covenant, right of way or right of light over the Development Land, the Buyer may be liable to pay a significant sum for the release of the right before the Development can proceed. For more information, see 
                        <link anchor="a623730" href="4-200-2514" style="ACTLinkPLCtoPLC">
                          <ital>Practice note, Overage payments: Reservation of rights</ital>
                        </link>
                        .
                      </paratext>
                    </para>
                    <para>
                      <paratext>There are also optional assumptions that:</paratext>
                    </para>
                    <list type="bulleted">
                      <list.item>
                        <para>
                          <paratext>The Development Land has vacant possession. This may not be the case in reality.</paratext>
                        </para>
                      </list.item>
                      <list.item>
                        <para>
                          <paratext>The Development Land has been reinstated if it has been damaged during the Overage Period. This may be appropriate if the Property is not bare land and has buildings or other fixtures on it.</paratext>
                        </para>
                      </list.item>
                    </list>
                    <para>
                      <paratext>The Seller may also want an assumption that the Development Land is not contaminated. If the Buyer has contaminated the Development Land since its purchase, the Seller would not want the Market Value to be reduced as a consequence.</paratext>
                    </para>
                    <para>
                      <paratext>
                        <bold>Each party should seek specialist advice from a valuation surveyor on this definition and on any assumptions and disregards to be included.</bold>
                      </paratext>
                    </para>
                  </division>
                </drafting.note>
              </defn.item>
              <defn.item id="a921220">
                <defn.term>Material Operation</defn.term>
                <defn>
                  <para>
                    <paratext>has the same meaning as in section 56 of the TCPA 1990 [but disregarding for the purposes of this deed and for no other purpose, the following operations:</paratext>
                  </para>
                  <list type="loweralpha">
                    <list.item>
                      <para>
                        <paratext>demolition works;</paratext>
                      </para>
                    </list.item>
                    <list.item>
                      <para>
                        <paratext>site clearance;</paratext>
                      </para>
                    </list.item>
                    <list.item>
                      <para>
                        <paratext>ground investigations;</paratext>
                      </para>
                    </list.item>
                    <list.item>
                      <para>
                        <paratext>site survey works;</paratext>
                      </para>
                    </list.item>
                    <list.item>
                      <para>
                        <paratext>temporary access construction works;</paratext>
                      </para>
                    </list.item>
                    <list.item>
                      <para>
                        <paratext>archaeological investigation; and</paratext>
                      </para>
                    </list.item>
                    <list.item>
                      <para>
                        <paratext>erection of any fences and hoardings].</paratext>
                      </para>
                    </list.item>
                  </list>
                </defn>
                <drafting.note id="a221881" jurisdiction="">
                  <head align="left" preservecase="true">
                    <headtext>Material Operation</headtext>
                  </head>
                  <division id="a000027" level="1">
                    <para>
                      <paratext>
                        This definition is used in the definition of Implementation (see 
                        <internal.reference refid="a569804">Drafting note, Implementation</internal.reference>
                        ).
                      </paratext>
                    </para>
                    <para>
                      <paratext>
                        <link href="4-508-6826" style="ACTLinkPLCtoPLC">
                          <ital>Section 56(2)</ital>
                        </link>
                         of the TCPA 1990 states that:
                      </paratext>
                    </para>
                    <para>
                      <paratext>"development shall be taken to be begun on the earliest date on which any material operation comprised in the development begins to be carried out."</paratext>
                    </para>
                    <para>
                      <paratext>These material operations are listed in section 56(4) of the TCPA 1990 and include:</paratext>
                    </para>
                    <list type="bulleted">
                      <list.item>
                        <para>
                          <paratext>Any work of construction in the course of the erection of a building.</paratext>
                        </para>
                      </list.item>
                      <list.item>
                        <para>
                          <paratext>Any work of demolition of the building.</paratext>
                        </para>
                      </list.item>
                      <list.item>
                        <para>
                          <paratext>The digging of a trench which is to contain the foundations, or part of the foundations, of a building.</paratext>
                        </para>
                      </list.item>
                      <list.item>
                        <para>
                          <paratext>The laying of any underground main pipe to the foundations or part of the foundations of a building or to any trench referred to above.</paratext>
                        </para>
                      </list.item>
                      <list.item>
                        <para>
                          <paratext>Any operation in the course of laying out or constructing a road or part of a road.</paratext>
                        </para>
                      </list.item>
                      <list.item>
                        <para>
                          <paratext>Any change in the use of the land which constitutes material development.</paratext>
                        </para>
                      </list.item>
                    </list>
                    <para>
                      <paratext>Case law has established the following principles:</paratext>
                    </para>
                    <list type="bulleted">
                      <list.item>
                        <para>
                          <paratext>A "material operation" must clearly relate to the planning permission.</paratext>
                        </para>
                      </list.item>
                      <list.item>
                        <para>
                          <paratext>
                            The amount of work carried out is irrelevant; it does not have to be extensive (
                            <link href="D-028-3121" style="ACTLinkURL">
                              <ital>Malvern Hills District Council v Secretary of State for the Environment (1983) 46 P &amp; CR 58</ital>
                            </link>
                            ). So, for example, the pegging out of an access road and removing top soil has been held to be a "material operation".
                          </paratext>
                        </para>
                      </list.item>
                      <list.item>
                        <para>
                          <paratext>
                            The developer does not have to intend to proceed to complete the development (
                            <link href="D-028-3141" style="ACTLinkURL">
                              <ital>Riordan Communications Ltd v South Buckinghamshire District Council (2001) 81 P &amp; CR 8</ital>
                            </link>
                            ).
                          </paratext>
                        </para>
                      </list.item>
                    </list>
                    <para>
                      <paratext>
                        For more information, see 
                        <link anchor="a945629" href="w-034-4763" style="ACTLinkPLCtoPLC">
                          <ital>Practice note, Planning permission: lawful implementation : Carrying out material operation comprised in development</ital>
                        </link>
                        .
                      </paratext>
                    </para>
                    <para>
                      <paratext>The Buyer may wish to exclude certain preparatory works that would otherwise constitute Material Operations to avoid unintentionally triggering the obligation to pay the Overage Payment. These could include the following:</paratext>
                    </para>
                    <list type="bulleted">
                      <list.item>
                        <para>
                          <paratext>Demolition works.</paratext>
                        </para>
                      </list.item>
                      <list.item>
                        <para>
                          <paratext>Site clearance.</paratext>
                        </para>
                      </list.item>
                      <list.item>
                        <para>
                          <paratext>Site survey works.</paratext>
                        </para>
                      </list.item>
                      <list.item>
                        <para>
                          <paratext>Archaeological works.</paratext>
                        </para>
                      </list.item>
                      <list.item>
                        <para>
                          <paratext>Erection of any fences and hoardings.</paratext>
                        </para>
                      </list.item>
                      <list.item>
                        <para>
                          <paratext>Temporary access construction works.</paratext>
                        </para>
                      </list.item>
                    </list>
                    <para>
                      <paratext>Where this is the case, include the optional wording in square brackets and amend as appropriate.</paratext>
                    </para>
                  </division>
                </drafting.note>
              </defn.item>
              <defn.item id="a459888">
                <defn.term>Overage Disposal</defn.term>
                <defn>
                  <para>
                    <paratext>a Disposal [at arm's length in the open market] where the land disposed of includes any Development Land.</paratext>
                  </para>
                </defn>
                <drafting.note id="a845228" jurisdiction="">
                  <head align="left" preservecase="true">
                    <headtext>Overage Disposal</headtext>
                  </head>
                  <division id="a000028" level="1">
                    <para>
                      <paratext>
                        Completion of an Overage Disposal will trigger an Overage Payment (see 
                        <internal.reference refid="a942847">Drafting note, Trigger Date</internal.reference>
                        ).
                      </paratext>
                    </para>
                    <para>
                      <paratext>
                        An Overage Disposal is a Disposal where the land disposed of 
                        <bold>includes</bold>
                         any Development Land. Development Land is the whole (or part) of the Property which has the benefit of a Relevant Planning Permission (see 
                        <internal.reference refid="a778484">Drafting note, Development Land</internal.reference>
                        ).
                      </paratext>
                    </para>
                    <para>
                      <paratext>
                        An Overage Disposal could dispose of other land in addition to Development Land. For example, the land disposed of under an Overage Disposal could include 
                        <bold>all</bold>
                         of the following:
                      </paratext>
                    </para>
                    <list type="bulleted">
                      <list.item>
                        <para>
                          <paratext>A part of the Property that has the benefit of a Relevant Planning Permission (that is, Development Land).</paratext>
                        </para>
                      </list.item>
                      <list.item>
                        <para>
                          <paratext>A part of the Property that does not have the benefit of any Relevant Planning Permission and/or an adjoining site (whether or not that adjoining site benefits from the same Relevant Planning Permission that benefits the Development Land).</paratext>
                        </para>
                      </list.item>
                    </list>
                    <para>
                      <paratext>
                        Each Overage Payment will be due and calculated 
                        <bold>only</bold>
                         in relation to the part of the Property benefiting from the Relevant Planning Permission which was the subject of the Trigger Date that gave rise to that Overage Payment (see 
                        <internal.reference refid="a573739">Drafting note, Overage Payment</internal.reference>
                        ). However, it is important to note that this may comprise more than the Development Land disposed of by the Overage Disposal. The Overage Payment will be calculated in relation to 
                        <bold>all</bold>
                         of the land within the Property that benefits from the Relevant Planning Permission. That will be the case even though the Overage Disposal only disposed of part of the Development Land benefitting from that Relevant Planning Permission. For an example of when and how this could occur, see Event 5 within 
                        <internal.reference refid="a122458">Drafting note, Worked example of Trigger Dates</internal.reference>
                        .
                      </paratext>
                    </para>
                    <para>
                      <paratext>
                        The seller may not want to include the optional wording which limits Overage Disposals to Disposals made by the buyer at arm's length in the open market.  If the seller is willing to limit the definition of Overage Disposals, the Seller may prefer wording that specifically excludes Disposals to those who are connected to the Buyer (perhaps by reference to the definitions of "holding company" or "subsidiary" in 
                        <link href="6-505-7253" style="ACTLinkPLCtoPLC">
                          <ital>section 1159</ital>
                        </link>
                         of the 
                        <link href="3-503-8567" style="ACTLinkPLCtoPLC">
                          <ital>Companies Act 2006</ital>
                        </link>
                        ) so that it is only intra-group transfers that would not be an Overage Disposal.  The seller may also want to expressly state that it is only such intra-group transfers that are made in the course of a group re-organisation that are excluded. How this issue is resolved will depend on the relative bargaining strength of the parties. The standard document should be amended to reflect the terms agreed between the parties.
                      </paratext>
                    </para>
                    <para>
                      <paratext>
                        The standard document includes a separate definition of Disposal (see 
                        <internal.reference refid="a674414">Drafting note, Disposal</internal.reference>
                        ). It is important that a disponee under 
                        <bold>any</bold>
                         Disposal of the whole or any part or parts of the Property (not just an Overage Disposal) is obliged to provide a Deed of Covenant to the Seller under 
                        <internal.reference refid="a738089">clause 5.1</internal.reference>
                        . This means that, if the Buyer makes a Disposal of the whole or part of the Property and no part of the Property disposed of is Development Land, that Disposal will not be an Overage Disposal. However, the disponee will still be required to enter into a Deed of Covenant to oblige it to pay overage if it subsequently obtains a Relevant Planning Permission and a Trigger Date occurs in respect of that Relevant Planning Permission.
                      </paratext>
                    </para>
                  </division>
                </drafting.note>
              </defn.item>
              <defn.item id="a463585">
                <defn.term>Overage Payment</defn.term>
                <defn>
                  <para>
                    <paratext>a sum calculated in accordance with the following formula:</paratext>
                  </para>
                  <para>
                    <paratext>
                      <bold>(A - B) x [NUMBER]% </bold>
                    </paratext>
                  </para>
                  <para>
                    <paratext>Where:</paratext>
                  </para>
                  <para>
                    <paratext>
                      <bold>A</bold>
                       = Enhanced Value; and
                    </paratext>
                  </para>
                  <para>
                    <paratext>
                      <bold>B</bold>
                       = Base Value.
                    </paratext>
                  </para>
                </defn>
                <drafting.note id="a573739" jurisdiction="">
                  <head align="left" preservecase="true">
                    <headtext>Overage Payment</headtext>
                  </head>
                  <division id="a000029" level="1">
                    <para>
                      <paratext>The Overage Payment is an additional amount over and above the purchase price being paid by the Buyer for the Property.</paratext>
                    </para>
                    <para>
                      <paratext>
                        To calculate the Overage Payment due in respect of the relevant Development Land, the Base Value of that Development Land is deducted from the Enhanced Value of that Development Land to calculate the difference (see 
                        <internal.reference refid="a734581">Drafting note, Base Value</internal.reference>
                         and 
                        <internal.reference refid="a151144">Drafting note, Enhanced Value</internal.reference>
                        ). The agreed percentage is then applied to that difference and the resulting figure is the Overage Payment due from the Buyer to the Seller.
                      </paratext>
                    </para>
                    <para>
                      <paratext>The Overage Payment may, however, be calculated in many ways. For example, it could be:</paratext>
                    </para>
                    <list type="bulleted">
                      <list.item>
                        <para>
                          <paratext>A fixed amount.</paratext>
                        </para>
                      </list.item>
                      <list.item>
                        <para>
                          <paratext>Determined by the number of units for which the Relevant Planning Permission is obtained.</paratext>
                        </para>
                      </list.item>
                      <list.item>
                        <para>
                          <paratext>Determined by the area for which the Relevant Planning Permission is obtained.</paratext>
                        </para>
                      </list.item>
                      <list.item>
                        <para>
                          <paratext>An agreed percentage of any increase in value, less a deduction for costs incurred by the Buyer in obtaining the Relevant Planning Permission.</paratext>
                        </para>
                      </list.item>
                    </list>
                    <para>
                      <paratext>The definition of the Overage Payment must reflect the precise terms agreed between the parties or their surveyors and this definition should be amended accordingly.</paratext>
                    </para>
                    <para>
                      <paratext>
                        Care should be taken that the Overage Payment is not expressed to be part of the purchase price for the Property being paid by the Buyer, otherwise there is a risk of a seller's lien arising. A seller's lien can be created where a buyer does not pay the purchase price in full on completion. A seller's lien would not be in the Buyer's interests (particularly if the Buyer has a lender) and from the Seller's perspective, there are more effective ways of securing the Buyer's obligation to make the Overage Payment. The Buyer may want to include an express statement excluding any chance of a seller's lien arising. For more information, see 
                        <link href="4-200-2514#a415735" style="ACTLinkPLCtoPLC">
                          <ital>Practice note, Overage payments: Seller's lien</ital>
                        </link>
                        .
                      </paratext>
                    </para>
                  </division>
                </drafting.note>
              </defn.item>
              <defn.item id="a753708">
                <defn.term>Overage Period</defn.term>
                <defn>
                  <para>
                    <paratext>[NUMBER] years starting on the date of this deed and ending at midnight on [DATE].</paratext>
                  </para>
                </defn>
                <drafting.note id="a601150" jurisdiction="">
                  <head align="left" preservecase="true">
                    <headtext>Overage Period</headtext>
                  </head>
                  <division id="a000030" level="1">
                    <para>
                      <paratext>The length of the Overage Period represents how long after completion the Buyer's potential obligation to make any Overage Payments will last. This depends on what the parties have negotiated: the Seller will want this to be as long as possible, whereas the Buyer will wish to limit it. The period should reflect the realistic timescale within which Planning Permission is likely to be obtained and either implemented or the Property (or relevant part) with the benefit of that  Planning Permission sold. Most overage periods will be in the region of five to 20 years.</paratext>
                    </para>
                    <para>
                      <paratext>The Overage Period should not be so short that the Buyer can easily avoid making any Overage Payments by waiting until the Overage Period expires ("land-banking" the Property). On the other hand, it should not restrict the Buyer's use of the Property unreasonably over a long period. If the period is too long, the Property may be less attractive to purchasers and this may have an effect on the purchase price that the Buyer is willing to pay to the Seller for the Property.</paratext>
                    </para>
                    <para>
                      <paratext>
                        The document assumes that the Overage Period will be for a fixed period of five to 20 years. Although some cautious practitioners used to be of the view that the perpetuity rules applied to overage arrangements, property documents that come into effect on, or after, 6 April 2010 are no longer subject to any perpetuity rules. For more information, see 
                        <link href="2-501-4661" style="ACTLinkPLCtoPLC">
                          <ital>Practice note, Perpetuities: rules for property transactions</ital>
                        </link>
                        .
                      </paratext>
                    </para>
                  </division>
                </drafting.note>
              </defn.item>
              <defn.item id="a635896">
                <defn.term>Overage Period Expiry Date</defn.term>
                <defn>
                  <para>
                    <paratext>the date on which the Overage Period ends.</paratext>
                  </para>
                </defn>
                <drafting.note id="a149606" jurisdiction="">
                  <head align="left" preservecase="true">
                    <headtext>Overage Period Expiry Date</headtext>
                  </head>
                  <division id="a000031" level="1">
                    <para>
                      <paratext>
                        This definition is used in 
                        <internal.reference refid="a834221">clause 7(d)</internal.reference>
                        . For more information, see 
                        <internal.reference refid="a277930">Drafting note, Withdrawal of restriction</internal.reference>
                        .
                      </paratext>
                    </para>
                  </division>
                </drafting.note>
              </defn.item>
              <defn.item id="a690030">
                <defn.term>Payment Date</defn.term>
                <defn>
                  <para>
                    <paratext>
                      the date on which an Overage Payment is to be made in accordance with 
                      <internal.reference refid="a297749">clause 2.2</internal.reference>
                      .
                    </paratext>
                  </para>
                </defn>
                <drafting.note id="a585863" jurisdiction="">
                  <head align="left" preservecase="true">
                    <headtext>Payment Date</headtext>
                  </head>
                  <division id="a000032" level="1">
                    <para>
                      <paratext>
                        Under 
                        <internal.reference refid="a297749">clause 2.2</internal.reference>
                        , a Payment Date is the date on which the Buyer must pay an Overage Payment that has fallen due under 
                        <internal.reference refid="a763311">clause 2.1</internal.reference>
                        . It is the later of:
                      </paratext>
                    </para>
                    <list type="bulleted">
                      <list.item>
                        <para>
                          <paratext>The date which is an agreed period after the Trigger Date which caused that Overage Payment to become due.</paratext>
                        </para>
                      </list.item>
                      <list.item>
                        <para>
                          <paratext>The date which is an agreed period after the amount of that Overage Payment is agreed or determined in accordance with the terms of this deed.</paratext>
                        </para>
                      </list.item>
                    </list>
                  </division>
                </drafting.note>
              </defn.item>
              <defn.item id="a470096">
                <defn.term>Permitted Disposal</defn.term>
                <defn>
                  <para>
                    <paratext>any of the following:</paratext>
                  </para>
                  <list type="loweralpha">
                    <list.item>
                      <para>
                        <paratext>the grant of easements or rights, transfer, lease or dedication to a local or other public authority of the whole or any part or parts of the Property pursuant to a requirement in an agreement or unilateral undertaking under section 106 of the TCPA 1990;</paratext>
                      </para>
                    </list.item>
                    <list.item>
                      <para>
                        <paratext>the grant of easements or rights, transfer, lease or dedication to a highways authority of the whole or any part or parts of the Property to comply with highways requirements or in connection with the adoption or dedication of public highway; [or]</paratext>
                      </para>
                    </list.item>
                    <list.item>
                      <para>
                        <paratext>
                          the grant of easements or rights, transfer, lease or dedication to a utilities company of the whole or any part or parts of the Property for an electricity substation, gas governor, sewage or water pumping station, drainage balancing device or other similar matters for the provision of services[. 
                          <bold>OR</bold>
                           ; or]
                        </paratext>
                      </para>
                    </list.item>
                    <list.item>
                      <para>
                        <paratext>[[OTHER].]</paratext>
                      </para>
                    </list.item>
                  </list>
                </defn>
                <drafting.note id="a249197" jurisdiction="">
                  <head align="left" preservecase="true">
                    <headtext>Permitted Disposal</headtext>
                  </head>
                  <division id="a000033" level="1">
                    <para>
                      <paratext>
                        The Buyer is allowed to make certain Disposals of the whole or any part or parts of the Property without being under the obligation in 
                        <internal.reference refid="a738089">clause 5.1</internal.reference>
                         to obtain a Deed of Covenant from the person to whom that Disposal is being made. The Seller will want to define any Permitted Disposals restrictively.
                      </paratext>
                    </para>
                    <para>
                      <paratext>This definition permits dispositions by the Buyer in connection with the following:</paratext>
                    </para>
                    <list type="bulleted">
                      <list.item>
                        <para>
                          <paratext>
                            <link href="2-381-9662" style="ACTLinkPLCtoPLC">
                              <bold>
                                <ital>Section 106 agreements</ital>
                              </bold>
                            </link>
                            .
                          </paratext>
                        </para>
                      </list.item>
                      <list.item>
                        <para>
                          <paratext>Transfer of roads to the local highways authority.</paratext>
                        </para>
                      </list.item>
                      <list.item>
                        <para>
                          <paratext>Provision of statutory services.</paratext>
                        </para>
                      </list.item>
                    </list>
                    <para>
                      <paratext>
                        The list is 
                        <bold>not</bold>
                         definitive and the Buyer should amend the list to reflect its specific needs during the Overage Period. For example, the Buyer might seek exceptions for:
                      </paratext>
                    </para>
                    <list type="bulleted">
                      <list.item>
                        <para>
                          <paratext>Disposals of particular defined areas of the Property.</paratext>
                        </para>
                      </list.item>
                      <list.item>
                        <para>
                          <paratext>The grant of licences or short tenancies.</paratext>
                        </para>
                      </list.item>
                      <list.item>
                        <para>
                          <paratext>The grant of easements.</paratext>
                        </para>
                      </list.item>
                      <list.item>
                        <para>
                          <paratext>
                            Sales of affordable housing (see 
                            <link anchor="a132723" href="4-200-2514" style="ACTLinkPLCtoPLC">
                              <ital>Practice note, Overage payments: Drafting considerations</ital>
                            </link>
                             which discusses 
                            <link href="D-101-7441" style="ACTLinkPLCtoPLC">
                              <ital>Burrows Investments Ltd v Ward Homes Ltd [2017] EWCA Civ 1577</ital>
                            </link>
                            ).
                          </paratext>
                        </para>
                      </list.item>
                      <list.item>
                        <para>
                          <paratext>Mortgages/charges. The Buyer may want to exclude mortgages/charges so that it can raise finance on the Property. The Buyer should not accept an obligation that it will obtain a Deed of Covenant from a mortgagee/chargee. In the current economic climate it is very unlikely that a mortgagee/chargee would agree to provide funding on this basis.</paratext>
                        </para>
                        <para>
                          <paratext>The Seller may seek that the Buyer agrees not to grant a mortgage or charge unless it contains the mortgagee/chargee's agreement that it will not exercise its power of sale without procuring that the person to whom it is selling enters into a Deed of Covenant with the Seller. The Buyer may also resist this. The Buyer is likely to argue that this obligation would also be unattractive to lenders and make it more difficult to obtain finance.</paratext>
                        </para>
                        <para>
                          <paratext>
                            The Seller may take some comfort that it is more often the case that a mortgagee/chargee does not want to go into possession and will instruct a receiver to sell the Property acting as agent of the mortgagor. A receiver would be caught by any restriction entered on the title to the Property. However, a well-drafted contract for a sale by a receiver will always include an option for the mortgagee to execute the transfer as mortgagee (see, for example, 
                            <link anchor="a390786" href="6-385-1792" style="ACTLinkPLCtoPLC">
                              <ital>Standard document, Contract for the sale of freehold land by an LPA receiver: Clause 11.4</ital>
                            </link>
                            ). Therefore, provided that the mortgage/charge has priority over the restriction, this would enable the mortgagee/chargee to overreach and sell the Property free of problematic issues such as this. For more information, see 
                            <link anchor="a386358" href="6-385-5568" style="ACTLinkPLCtoPLC">
                              <ital>Practice note, Enforcing security: overview: Effect of exercising power of sale</ital>
                            </link>
                            .
                          </paratext>
                        </para>
                        <para>
                          <paratext>How this issue is resolved will depend on the relative bargaining strength of the parties.</paratext>
                        </para>
                      </list.item>
                    </list>
                  </division>
                </drafting.note>
              </defn.item>
              <defn.item id="a166401">
                <defn.term>Planning Permission</defn.term>
                <defn>
                  <para>
                    <paratext>any of the following which are granted during the Overage Period for the Development by a Determining Authority:</paratext>
                  </para>
                  <list type="loweralpha">
                    <list.item>
                      <para>
                        <paratext>an outline planning permission; [or]</paratext>
                      </para>
                    </list.item>
                    <list.item>
                      <para>
                        <paratext>a detailed planning permission; [or]</paratext>
                      </para>
                    </list.item>
                    <list.item>
                      <para>
                        <paratext>
                          [a technical details consent[. 
                          <bold>OR</bold>
                           ;]
                        </paratext>
                      </para>
                    </list.item>
                  </list>
                  <para>
                    <paratext>
                      [[including 
                      <bold>OR</bold>
                       excluding] a planning permission issued pursuant to an application under section 73 of the TCPA 1990.]
                    </paratext>
                  </para>
                </defn>
                <drafting.note id="a108220" jurisdiction="">
                  <head align="left" preservecase="true">
                    <headtext>Planning Permission</headtext>
                  </head>
                  <division id="a000034" level="1">
                    <para>
                      <paratext>
                        An Overage Payment will become due on each Trigger Date that occurs during the Overage Period (see 
                        <internal.reference refid="a763311">clause 2.1</internal.reference>
                        ). A Trigger Date will occur in relation to each Planning Permission on the earlier of the date of:
                      </paratext>
                    </para>
                    <list type="bulleted">
                      <list.item>
                        <para>
                          <paratext>
                            Its Implementation (see 
                            <internal.reference refid="a569804">Drafting note, Implementation</internal.reference>
                            ).
                          </paratext>
                        </para>
                      </list.item>
                      <list.item>
                        <para>
                          <paratext>
                            Completion of an Overage Disposal where the land disposed of includes the whole or any part(s) of the Property with the benefit of that Planning Permission (see 
                            <internal.reference refid="a845228">Drafting note, Overage Disposal</internal.reference>
                            ).
                          </paratext>
                        </para>
                      </list.item>
                    </list>
                    <para>
                      <paratext>
                        For more information, see 
                        <internal.reference refid="a942847">Drafting note, Trigger Date</internal.reference>
                        .
                      </paratext>
                    </para>
                    <para>
                      <paratext>Planning permissions can be:</paratext>
                    </para>
                    <list type="bulleted">
                      <list.item>
                        <para>
                          <paratext>Granted by the LPA or the Secretary of State.</paratext>
                        </para>
                      </list.item>
                      <list.item>
                        <para>
                          <paratext>Granted on appeal.</paratext>
                        </para>
                      </list.item>
                      <list.item>
                        <para>
                          <paratext>
                            Deemed by a development order such as the 
                            <link href="6-607-3445" style="ACTLinkPLCtoPLC">
                              <ital>Town and Country Planning (General Permitted Development) (England) Order 2015 (SI 2015/596)</ital>
                            </link>
                             for England, the 
                            <link href="6-508-4384" style="ACTLinkPLCtoPLC">
                              <ital>Town and Country Planning (General Permitted Development) Order 1995 (SI 1995/418)</ital>
                            </link>
                             for Wales or a 
                            <link href="7-203-2722" style="ACTLinkPLCtoPLC">
                              <bold>
                                <ital>local development order</ital>
                              </bold>
                            </link>
                             (see 
                            <link href="3-386-1085" style="ACTLinkPLCtoPLC">
                              <ital>Practice note, Local Development Orders</ital>
                            </link>
                            ).
                          </paratext>
                        </para>
                      </list.item>
                    </list>
                    <para>
                      <paratext>
                        For further information on planning permissions, see 
                        <link href="5-534-3585" style="ACTLinkPLCtoPLC">
                          <ital>Practice note, Planning permissions: an overview</ital>
                        </link>
                        .
                      </paratext>
                    </para>
                    <division id="a739614" level="2">
                      <head align="left" preservecase="true">
                        <headtext>Deemed planning permissions excluded</headtext>
                      </head>
                      <para>
                        <paratext>This definition covers express planning permission granted by the LPA or other appropriate determining body or person. The definition does not include:</paratext>
                      </para>
                      <list type="bulleted">
                        <list.item>
                          <para>
                            <paratext>
                              The grant of deemed planning permission under the relevant Town and Country Planning (General Permitted Development) Order. 
                              <link href="w-031-9163" style="ACTLinkPLCtoPLC">
                                <ital>Practice note, Changes of use and the need for planning permission from 1 August 2021</ital>
                              </link>
                               contains more information on the position in England.
                            </paratext>
                          </para>
                        </list.item>
                        <list.item>
                          <para>
                            <paratext>
                              The grant of deemed planning permission by a local development order. For more information, see 
                              <link href="3-386-1085" style="ACTLinkPLCtoPLC">
                                <ital>Practice note, Local Development Orders</ital>
                              </link>
                              .
                            </paratext>
                          </para>
                        </list.item>
                      </list>
                      <para>
                        <paratext>This is because overage provisions are generally entered into to catch "windfall" planning permissions which permit a more valuable development than the planning permission which has already been granted or is expected to be granted following completion. Deemed planning permissions are excluded as this would mean that any permitted development, however minor, would trigger a valuation and an overage payment if a Trigger Date occurs in relation to any deemed planning permission(s). This could be administratively burdensome and expensive for both parties. The standard document should be amended if it is intended that deemed planning permissions should be caught.</paratext>
                      </para>
                    </division>
                    <division id="a309664" level="2">
                      <head align="left" preservecase="true">
                        <headtext>Technical Details Consent</headtext>
                      </head>
                      <para>
                        <paratext>Include optional Paragraph (c) of this definition if the Property is in England.</paratext>
                      </para>
                      <para>
                        <paratext>The Housing and Planning Act 2016 amended the TCPA 1990 to provide an alternative way of obtaining planning permission in England which separates the consideration of matters of principle for proposed development from the technical detail of the development.</paratext>
                      </para>
                      <para>
                        <paratext>The type of development for which permission in principle can be granted is housing-led although other non-residential elements such as retail and community use can be included providing these uses are compatible with the proposed residential development.</paratext>
                      </para>
                      <para>
                        <paratext>The perceived advantage of this route is that the applicant can establish that, in theory, planning permission will be granted for the development it proposes without having to go to the expense of preparing all the information necessary for a full planning permission. These costs will only be incurred when the applicant has the comfort of an in principle decision.</paratext>
                      </para>
                      <para>
                        <paratext>LPAs can grant permission in principle in two ways:</paratext>
                      </para>
                      <list type="bulleted">
                        <list.item>
                          <para>
                            <paratext>
                              On receipt of a valid application (see 
                              <link anchor="a312570" href="w-028-3081" style="ACTLinkPLCtoPLC">
                                <ital>Practice note, Permission in principle and the approval of technical details consent: Permission in principle granted by application</ital>
                              </link>
                              ).
                            </paratext>
                          </para>
                        </list.item>
                        <list.item>
                          <para>
                            <paratext>
                              By entering a site in Part 2 of the brownfield land register (see 
                              <link anchor="a386587" href="w-028-3081" style="ACTLinkPLCtoPLC">
                                <ital>Practice note, Permission in principle and the approval of technical details consent: Permission in principle obtained through allocation on a brownfield land register</ital>
                              </link>
                              ).
                            </paratext>
                          </para>
                        </list.item>
                      </list>
                      <para>
                        <paratext>
                          On its own, permission in principle does not allow development of the land. 
                          <link href="0-508-6885" style="ACTLinkPLCtoPLC">
                            <ital>Section 336</ital>
                          </link>
                           of the TCPA 1990 defines “planning permission” as “permission under Part III or section 293A but does not include permission in principle” and 
                          <link href="7-508-4393" style="ACTLinkPLCtoPLC">
                            <ital>section 57</ital>
                          </link>
                           of the TCPA 1990 continues to provide that in order to develop the land planning permission is still required. A permission in principle is, therefore, not a Planning Permission for the purposes of this standard document.
                        </paratext>
                      </para>
                      <para>
                        <paratext>
                          Where permission in principle is granted for land, an applicant may obtain planning permission by applying for technical details consent (TDC) (
                          <link href="6-508-8344" style="ACTLinkPLCtoPLC">
                            <ital>section 70(2ZZB)</ital>
                          </link>
                          <ital>, TCPA 1990</ital>
                          ). TDC covers matters such as the design of buildings, development layout and landscaping schemes. The granting of TDC has the effect of granting planning permission for the development. Therefore, under this standard document, an Overage Payment will be triggered on the earlier of a disposal of the Property with the benefit of a TDC and the implementation of a TDC.
                        </paratext>
                      </para>
                      <para>
                        <paratext>
                          For more information about permissions in principle and TDCs, see 
                          <link href="w-028-3081" style="ACTLinkPLCtoPLC">
                            <ital>Practice note, Permission in principle and the approval of technical details consent</ital>
                          </link>
                          .
                        </paratext>
                      </para>
                    </division>
                    <division id="a486939" level="2">
                      <head align="left" preservecase="true">
                        <headtext>Should implementation or disposal with benefit of a planning permission granted pursuant to a section 73 application trigger overage?</headtext>
                      </head>
                      <para>
                        <paratext>
                          The parties should consider whether the obligation to pay overage should be triggered by a Trigger Date occurring in relation to a planning permission granted following an application under 
                          <link href="2-509-0018" style="ACTLinkPLCtoPLC">
                            <ital>section 73</ital>
                          </link>
                           of the TCPA 1990 (see 
                          <link anchor="a185194" href="5-534-3585" style="ACTLinkPLCtoPLC">
                            <ital>Practice note, Planning permissions: an overview: Section 73 application for minor material amendments</ital>
                          </link>
                          )
                        </paratext>
                      </para>
                      <para>
                        <paratext>The planning permission granted pursuant to an application under section 73 will technically be a new planning permission. The Seller may want to include such permissions so that, if the section 73 permission results in a more valuable development, then the Seller will share in any increase in value through the required Overage Payment.</paratext>
                      </para>
                      <para>
                        <paratext>However, a Buyer is likely to object to their inclusion on the basis that this makes the definition of Planning Permission too wide and could result in more Overage Payments.</paratext>
                      </para>
                      <para>
                        <paratext>How this issue is resolved will depend on the relative bargaining strength of the parties and this definition should be amended to reflect the terms agreed between the parties.</paratext>
                      </para>
                    </division>
                    <division id="a592435" level="2">
                      <head align="left" preservecase="true">
                        <headtext>Should overage payments be payable only in relation to Relevant Planning Permissions obtained by or behalf of the Buyer?</headtext>
                      </head>
                      <para>
                        <paratext>This document is drafted on the basis that any Relevant Planning Permission obtained during the Overage Period will trigger an Overage Payment on the earlier of its Implementation or completion of a relevant Overage Disposal. It is irrelevant who obtained that Relevant Planning Permission.</paratext>
                      </para>
                      <para>
                        <paratext>
                          A third party over whom the Buyer has no control could, theoretically, submit a successful planning application for a Relevant Planning Permission. For example, in 
                          <link href="D-000-0680" style="ACTLinkPLCtoPLC">
                            <ital>Micro Design Group Ltd and another v BDW Trading Ltd [2008] EWCA Civ 448</ital>
                          </link>
                          , the sellers of a development site argued that planning permission, which they had obtained, triggered the payment of overage by the buyer. The Court of Appeal held that on the construction of the overage deed, the sellers were not entitled to overage. For more information, see 
                          <link href="4-200-2514#a132723" style="ACTLinkPLCtoPLC">
                            <ital>Practice note, Overage payments: Drafting considerations</ital>
                          </link>
                          .
                        </paratext>
                      </para>
                      <para>
                        <paratext>The Buyer will have control over whether or not it implements a Relevant Planning Permission for which it (or someone under its control) did not apply. Therefore, the Buyer should pay overage if it chooses to implement such a Relevant Planning Permission.</paratext>
                      </para>
                      <para>
                        <paratext>However, the Buyer may wish to amend the standard document so that an Overage Payment will be triggered only if an Overage Disposal is completed where the Development Land disposed of benefits from a Relevant Planning Permission granted following a planning application made by or on behalf of the Buyer. The Buyer would not then have to make a payment if an unconnected third party submits a successful planning application and the Buyer makes an Overage Disposal with the benefit of that Relevant Planning Permission.</paratext>
                      </para>
                      <para>
                        <paratext>The Seller will argue that it is irrelevant whether an Overage Payment to the Seller is triggered in relation to a Relevant Planning Permission granted on an application made by the Buyer (or somebody on its behalf) or a third party. As long as the Relevant Planning Permission has increased the value of the Property and the Buyer has benefited, the Seller should be entitled to an Overage Payment.</paratext>
                      </para>
                      <para>
                        <paratext>How this issue is resolved will depend on the relative bargaining strength of the parties.</paratext>
                      </para>
                    </division>
                    <division id="a380734" level="2">
                      <head align="left" preservecase="true">
                        <headtext>Should an overage payment be payable only in relation to any Relevant Planning Permission which is no longer open to challenge on its implementation or completion of the relevant Overage Disposal?</headtext>
                      </head>
                      <para>
                        <paratext>This standard document is drafted on the basis that any Relevant Planning Permission obtained during the Overage Period will trigger an Overage Payment on the earlier of its Implementation or completion of a relevant Overage Disposal. Note that a Relevant Planning Permission does not have to be immune from challenge by a third party in order for an overage payment to be triggered.</paratext>
                      </para>
                      <para>
                        <paratext>The Buyer may try to amend this standard document so that it is only required to pay overage if the Relevant Planning Permission is no longer open to challenge on implementation or completion of a disposal. The Buyer may argue that it should not have to pay overage in relation to a planning permission which is subsequently quashed after an Overage Payment has become due in respect of it. However, the Seller should resist this for the following reasons:</paratext>
                      </para>
                      <list type="bulleted">
                        <list.item>
                          <para>
                            <paratext>If overage is only payable by the Buyer in relation to a Relevant Planning Permission which is no longer open to challenge, the Buyer could easily avoid having to make an overage payment by simply either implementing that planning permission or completing a disposal just before the expiry of the period when that planning permission could be challenged. In which case, no overage would be payable because the permission was not technically free from challenge at the point of implementation or disposal, but, in reality, there was almost no risk of the permission being quashed. However, the Buyer will have benefitted from an uplift in value because of the betterment of the planning position and, on completion of a disposal with the benefit of that planning permission, will have realised funds from which it could have paid the overage.</paratext>
                          </para>
                        </list.item>
                        <list.item>
                          <para>
                            <paratext>If a Relevant Planning Permission had to be free from challenge in order to trigger an overage payment, the Seller would have to wait until the next Trigger Date (if, indeed, there is another one during the Overage Period) before the overage payment becomes due in respect of that planning permission (if it was still subsisting and immune from challenge at that point). For example:</paratext>
                          </para>
                          <list type="bulleted">
                            <list.item>
                              <para>
                                <paratext>if the Buyer (B1) disposed of the property without the planning permission being immune from challenge on completion of that disposal, if a Trigger Date in respect of the Planning Permission subsequently occurred, the overage payment in respect of that planning permission would be due from the person (B2) who bought from B1. B2 would have to pay the overage in respect of a planning permission obtained by B1 and from which B1 benefitted through an uplift in the purchase price when it sold to B2. B1 improved the planning position and benefitted from it. Therefore, B1 should pay the overage in respect of that planning permission and should pay at the time it has the funds to pay the overage (which is immediately following completion of the disposal to B2); or</paratext>
                              </para>
                            </list.item>
                            <list.item>
                              <para>
                                <paratext>if B1 implemented the planning permission without that planning permission being immune from challenge, the only Trigger Date that could occur in respect of that planning permission is if there is a subsequent Overage Disposal. This is because a planning permission can only be implemented once. B1 might not make an Overage Disposal during the Overage Period. In which case, no overage will ever become due in respect of that planning permission even though B1 will have benefitted from an uplift in the value of the land due to the betterment of the planning position. Therefore, B1 should pay the overage in respect of that planning permission and should pay on implementation of that planning permission.</paratext>
                              </para>
                            </list.item>
                          </list>
                        </list.item>
                      </list>
                      <list type="bulleted">
                        <list.item>
                          <para>
                            <paratext>If the Buyer is concerned about paying overage in respect of a planning permission that is then quashed after its implementation or completion of an Overage Disposal, the Buyer can avoid this risk by delaying implementation or completion of the disposal until after the date on which the Relevant Planning Permission is no longer open to challenge. In the case of a disposal, the Buyer’s purchaser will be buying the land with the benefit of planning and so will usually only want to buy the land if it is assured that the planning permission is free from challenge on completion. The timing of any implementation or disposal will usually be within the Buyer’s control. Accordingly, it is fair that the risk of implementing or disposing of the land while a planning permission is not immune from challenge should lie with the Buyer and not the Seller.</paratext>
                          </para>
                        </list.item>
                      </list>
                      <para>
                        <paratext>If the Buyer is not prepared to accept this risk, the standard document will require amendment to reflect the parties’ agreed terms. For example, the parties could agree that, if on the earlier of Implementation or completion of an Overage Disposal, the Relevant Planning Permission is not immune from challenge, the Buyer must pay the overage payment into an escrow account for release to the Seller when the Relevant Planning Permission becomes immune from challenge or release back to the Buyer if the Relevant Planning Permission subsequently quashed.</paratext>
                      </para>
                      <para>
                        <paratext>How this issue is resolved will depend on the relative bargaining strength of the parties. The standard document should be amended to reflect the terms agreed between the parties.</paratext>
                      </para>
                    </division>
                  </division>
                </drafting.note>
              </defn.item>
              <defn.item id="a293296">
                <defn.term>Property</defn.term>
                <defn>
                  <para>
                    <paratext>[the freehold property at [ADDRESS] registered at HM Land Registry with title [absolute] under title number[s] [NUMBER[S]].</paratext>
                  </para>
                  <para>
                    <paratext>
                      <bold>OR</bold>
                    </paratext>
                  </para>
                  <para>
                    <paratext>the freehold property at [ADDRESS] shown more particularly delineated in [COLOUR] on the plan attached to this deed and being part of the land registered at HM Land Registry with title [absolute] under title number[s] [NUMBER[S]].</paratext>
                  </para>
                  <para>
                    <paratext>
                      <bold>OR</bold>
                    </paratext>
                  </para>
                  <para>
                    <paratext>the freehold property at [ADDRESS] being the whole of the land comprised in a conveyance dated [DATE] between [PARTIES].</paratext>
                  </para>
                  <para>
                    <paratext>
                      <bold>OR</bold>
                    </paratext>
                  </para>
                  <para>
                    <paratext>the freehold property at [ADDRESS] shown more particularly delineated in [COLOUR] on the plan attached to this deed and being part of the land comprised in a conveyance dated [DATE] between [PARTIES].]</paratext>
                  </para>
                </defn>
                <drafting.note id="a162726" jurisdiction="">
                  <head align="left" preservecase="true">
                    <headtext>Property</headtext>
                  </head>
                  <division id="a000035" level="1">
                    <para>
                      <paratext>
                        The Property is the land owned by the Seller which is to be transferred to the Buyer and made subject to the overage provisions contained in this document. The standard document assumes that the Property is a freehold situated in England or Wales (see 
                        <internal.reference refid="a769271">Drafting note, Drafting assumptions</internal.reference>
                        ).
                      </paratext>
                    </para>
                    <para>
                      <paratext>The document should contain a clear and accurate description of the physical extent of the Property which will be subject to the overage provisions.</paratext>
                    </para>
                    <para>
                      <paratext>Alternative definitions are given for the Property. Depending on the circumstances, a combination of these may be needed. Any that are not required should be deleted.</paratext>
                    </para>
                  </division>
                </drafting.note>
              </defn.item>
              <defn.item id="a583130">
                <defn.term>Relevant Planning Permission</defn.term>
                <defn>
                  <para>
                    <paratext>a Planning Permission in respect of which an Overage Payment has not previously become due under the terms of this deed.</paratext>
                  </para>
                </defn>
                <drafting.note id="a221008" jurisdiction="">
                  <head align="left" preservecase="true">
                    <headtext>Relevant Planning Permission</headtext>
                  </head>
                  <division id="a000036" level="1">
                    <para>
                      <paratext>A Relevant Planning Permission is a Planning Permission in respect of which an Overage Payment has not previously become due. This means that an Overage Payment will only be due once in respect of each Planning Permission granted during the Overage Period. In relation to each Relevant Planning Permission, an Overage Payment will be due on the earlier of the following dates:</paratext>
                    </para>
                    <list type="bulleted">
                      <list.item>
                        <para>
                          <paratext>Its Implementation.</paratext>
                        </para>
                      </list.item>
                      <list.item>
                        <para>
                          <paratext>Completion of an Overage Disposal where the land disposed of includes the whole or any pat(s) of the Property with the benefit of that Relevant Planning Permission.</paratext>
                        </para>
                      </list.item>
                    </list>
                    <para>
                      <paratext>
                        For more information, see 
                        <internal.reference refid="a942847">Drafting note, Trigger Date</internal.reference>
                        .
                      </paratext>
                    </para>
                  </division>
                </drafting.note>
              </defn.item>
              <defn.item id="a936900">
                <defn.term>Satisfactory Consent</defn.term>
                <defn>
                  <para>
                    <paratext>
                      a consent in accordance with the requirements of the restriction referred to in 
                      <internal.reference refid="a1022440">clause 5.2</internal.reference>
                       and the requirements of HM Land Registry from time to time.
                    </paratext>
                  </para>
                </defn>
              </defn.item>
              <defn.item id="a832241">
                <defn.term>TCPA 1990</defn.term>
                <defn>
                  <para>
                    <paratext>Town and Country Planning Act 1990.</paratext>
                  </para>
                </defn>
              </defn.item>
              <defn.item id="a399942">
                <defn.term>Trigger Date</defn.term>
                <defn>
                  <para>
                    <paratext>in respect of each Relevant Planning Permission, the earlier of the date of:</paratext>
                  </para>
                  <list type="loweralpha">
                    <list.item>
                      <para>
                        <paratext>Implementation of that Relevant Planning Permission; and</paratext>
                      </para>
                    </list.item>
                    <list.item>
                      <para>
                        <paratext>completion of an Overage Disposal where the land disposed of includes the whole or any part or parts of the Property with the benefit of that Relevant Planning Permission.</paratext>
                      </para>
                    </list.item>
                  </list>
                </defn>
                <drafting.note id="a942847" jurisdiction="">
                  <head align="left" preservecase="true">
                    <headtext>Trigger Date</headtext>
                  </head>
                  <division id="a000037" level="1">
                    <para>
                      <paratext>
                        An Overage Payment will be due on each occasion that a Trigger Date occurs during the Overage Period (see 
                        <internal.reference refid="a573739">Drafting note, Overage Payment</internal.reference>
                        ).
                      </paratext>
                    </para>
                    <para>
                      <paratext>A Trigger Date will occur in relation to each Relevant Planning Permission on the earlier of the date on which:</paratext>
                    </para>
                    <list type="bulleted">
                      <list.item>
                        <para>
                          <paratext>
                            Implementation of that Relevant Planning Permission occurs (see 
                            <internal.reference refid="a569804">Drafting note, Implementation</internal.reference>
                            ).
                          </paratext>
                        </para>
                      </list.item>
                      <list.item>
                        <para>
                          <paratext>
                            Completion of an Overage Disposal where the land disposed of includes any Development Land with the benefit of that Relevant Planning Permission (see 
                            <internal.reference refid="a845228">Drafting note, Overage Disposal</internal.reference>
                            ).
                          </paratext>
                        </para>
                      </list.item>
                    </list>
                    <para>
                      <paratext>
                        Development Land is the whole or any part of the Property which has the benefit of a Relevant Planning Permission. A Relevant Planning Permission is a Planning Permission in respect of which an Overage Payment has not previously become payable (see 
                        <internal.reference refid="a221008">Drafting note, Relevant Planning Permission</internal.reference>
                        ). Therefore, once a Trigger Date has occurred for a Planning Permission, that Planning Permission ceases to be a Relevant Planning Permission and a further Overage Payment cannot become due for that Planning Permission. A further Overage Payment can only become due if another Relevant Planning Permission is granted in respect of any part of the Property and a Trigger Date occurs in relation to that Relevant Planning Permission.
                      </paratext>
                    </para>
                    <para>
                      <paratext>
                        The parties must ensure that the trigger for the payment of overage correctly reflects the parties' intentions and the seller must ensure that the obligation to make the overage payment is adequately secured (see 
                        <internal.reference refid="a207206">Drafting note, Seller's conveyancer's responsibility to ensure that payment is properly secured</internal.reference>
                        ). In particular, it is important to note that in this standard document an Overage Payment will 
                        <bold>not</bold>
                         be triggered by:
                      </paratext>
                    </para>
                    <list type="bulleted">
                      <list.item>
                        <para>
                          <paratext>
                            <bold>An agreement for an Overage Disposal that is exchanged but not completed until after the Overage Period ends, even if that agreement is substantially performed before the Overage Period ends</bold>
                            . For more information about substantial performance, see 
                            <link href="w-006-4227" style="ACTLinkPLCtoPLC">
                              <ital>Practice notes, SDLT: substantial performance</ital>
                            </link>
                             and 
                            <link href="w-007-5057" style="ACTLinkPLCtoPLC">
                              <ital>Welsh LTT: substantial performance</ital>
                            </link>
                            . The standard document will require amendment if the Seller requires an Overage Payment to be triggered by either or both of the following:
                          </paratext>
                        </para>
                        <list type="bulleted">
                          <list.item>
                            <para>
                              <paratext>completion of an Overage Disposal pursuant to an agreement that was entered into during the Overage Period but only completed after the Overage Period; or</paratext>
                            </para>
                          </list.item>
                          <list.item>
                            <para>
                              <paratext>substantial performance of an agreement for an Overage Disposal.</paratext>
                            </para>
                          </list.item>
                        </list>
                        <para>
                          <paratext>However, the Buyer is likely to object to any such provisions. How this issue is resolved will depend on the relative bargaining strength of the parties.</paratext>
                        </para>
                      </list.item>
                    </list>
                    <list type="bulleted">
                      <list.item>
                        <para>
                          <paratext>
                            <bold>Where the buyer is a company, a change in the ownership of that company (sometimes referred to as a "change of control")</bold>
                            . This may be a particular concern to the seller where the buyer (or a subsequent corporate owner of the Property during the Overage Period) is a 
                            <link href="4-107-7534" style="ACTLinkPLCtoPLC">
                              <ital>Special Purpose Vehicle</ital>
                            </link>
                             (SPV). In which case, the seller may be concerned that that shareholders of that company might be able to effectively circumvent the overage obligation by selling the shares in that company during the Overage Period, rather than by selling the Property itself.
                          </paratext>
                        </para>
                        <para>
                          <paratext>
                            The standard document will require substantive amendment if the Seller requires an Overage Payment to be triggered by a disposal of all (or a majority) of the shares in a corporate buyer (or a subsequent corporate owner of the Property) during the Overage Period. See 
                            <link href="5-380-9360" style="ACTLinkPLCtoPLC">
                              <ital>Standard clause, Anti-embarrassment clause: share purchase agreement</ital>
                            </link>
                             for provisions that could potentially be adapted as a starting point for bespoke drafting. However, note that:
                          </paratext>
                        </para>
                        <list type="bulleted">
                          <list.item>
                            <para>
                              <paratext>
                                a restriction registered against the title to the Property (see 
                                <internal.reference refid="a730591">Drafting note, Entry of a restriction</internal.reference>
                                ) would not provide security for the seller in such circumstances. This is because there would be no transfer of ownership of the Property itself. A restriction would only be effective to prevent registration where there has been a change in the ownership (or other relevant disposition) of the Property itself. Therefore, the parties would need to consider and agree another method for securing the overage in those circumstances (see 
                                <link anchor="a142020" href="4-200-2514" style="ACTLinkPLCtoPLC">
                                  <ital>Practice note, Overage payments: Methods of securing overage</ital>
                                </link>
                                ); and
                              </paratext>
                            </para>
                          </list.item>
                          <list.item>
                            <para>
                              <paratext>monitoring changes in share ownership in a company will be difficult for the seller. Companies are not required to notify Companies House (or any other public register) when their shares are transferred. Therefore, any transfer would only be apparent from the Companies House register on an annual basis when the company's annual return is filed. The seller would, therefore, need to rely on contractual obligations on the buyer (or a subsequent corporate owner of the Property during the Overage Period) to notify any transfer of shares that is relevant in the context of the overage arrangements.</paratext>
                            </para>
                          </list.item>
                        </list>
                        <para>
                          <paratext>
                            Alternatively, the seller may seek to impose a contractual obligation aimed at preventing a transfer of the shares in a company that owns the Property during the Overage Period (as opposed to triggering the overage payment on a share sale). However, such an obligation would need to be undertaken by the shareholders in that company, rather than the company itself. The only step that a company could take to prevent its ownership from changing would be to refuse to register any transfer of shares that is submitted during the Overage Period.  However, the company would only be able to do that if its articles of association include an express power to that effect (see 
                            <link anchor="a254268" href="7-523-5028" style="ACTLinkPLCtoPLC">
                              <ital>Practice note: overview, Transfer of shares: Right to refuse to register a transfer</ital>
                            </link>
                            ). Even if such a restriction is included in the company's articles, the shareholders in the company could amend the articles at any time to remove the relevant restriction. This would mean that the company would be powerless to block a share transfer.
                          </paratext>
                        </para>
                      </list.item>
                    </list>
                  </division>
                  <division id="a122458" level="1">
                    <head align="left" preservecase="true">
                      <headtext>Worked example of Trigger Dates</headtext>
                    </head>
                    <division id="a711903" level="2">
                      <head align="left" preservecase="true">
                        <headtext>Background</headtext>
                      </head>
                      <para>
                        <paratext>The Seller (S) sold the Property to the Buyer (B).</paratext>
                      </para>
                      <para>
                        <paratext>On completion of the sale, S and B entered into an overage deed on the terms of this standard document. In particular, S and B agreed in the overage deed that an Overage Disposal was a Disposal at arm's length in the open market to an unconnected disponee where the land disposed of includes the whole or any part or parts of the Property which is Development Land at the date of that Disposal.</paratext>
                      </para>
                    </division>
                    <division id="a875739" level="2">
                      <head align="left" preservecase="true">
                        <headtext>Events occurring during the Overage Period</headtext>
                      </head>
                      <para>
                        <paratext>The following events occurred in the following order during the Overage Period and all the sales that occurred were at arm's length in the open market to an unconnected disponee and each disponee provided a Deed of Covenant to S:</paratext>
                      </para>
                      <list type="bulleted">
                        <list.item>
                          <para>
                            <paratext>
                              <bold>Event 1.</bold>
                               B obtained a Planning Permission (PP1) in relation to the whole of the Property. B immediately sold the whole of the Property to C with the benefit of PP1. PP1 was a Relevant Planning Permission because no Overage Payment had previously become payable in respect of PP1. Therefore, the whole of the Property was Development Land and:
                            </paratext>
                          </para>
                          <list type="bulleted">
                            <list.item>
                              <para>
                                <paratext>the sale of the Property to C was an Overage Disposal;</paratext>
                              </para>
                            </list.item>
                            <list.item>
                              <para>
                                <paratext>on completion of the sale, a Trigger Date occurred; and</paratext>
                              </para>
                            </list.item>
                            <list.item>
                              <para>
                                <paratext>an Overage Payment became due from B to S.</paratext>
                              </para>
                            </list.item>
                          </list>
                        </list.item>
                      </list>
                      <list type="bulleted">
                        <list.item>
                          <para>
                            <paratext>
                              <bold>Event 2.</bold>
                               C immediately sold the whole of the Property to D with the benefit of PP1. An Overage Payment had already become due in relation to PP1. Therefore:
                            </paratext>
                          </para>
                          <list type="bulleted">
                            <list.item>
                              <para>
                                <paratext>PP1 was not a Relevant Planning Permission because an Overage Payment had previously become due in respect of it. Accordingly, the land disposed of to D was not Development Land;</paratext>
                              </para>
                            </list.item>
                            <list.item>
                              <para>
                                <paratext>C's sale of the land to D was not an Overage Disposal; and</paratext>
                              </para>
                            </list.item>
                            <list.item>
                              <para>
                                <paratext>no Overage Payment became due from C to S because no Trigger Date had occurred.</paratext>
                              </para>
                            </list.item>
                          </list>
                        </list.item>
                      </list>
                      <list type="bulleted">
                        <list.item>
                          <para>
                            <paratext>
                              <bold>Event 3.</bold>
                               D obtained a further Planning Permission (PP2) in respect of the whole of the Property and immediately implemented PP2. PP2 was a Relevant Planning Permission because no Overage Payment had previously become payable in respect of PP2. Therefore:
                            </paratext>
                          </para>
                          <list type="bulleted">
                            <list.item>
                              <para>
                                <paratext>the Implementation of PP2 meant that a Trigger Date had occurred; and</paratext>
                              </para>
                            </list.item>
                            <list.item>
                              <para>
                                <paratext>an Overage Payment became due from D to S.</paratext>
                              </para>
                            </list.item>
                          </list>
                        </list.item>
                      </list>
                      <list type="bulleted">
                        <list.item>
                          <para>
                            <paratext>
                              <bold>Event 4.</bold>
                               Immediately following the Implementation of PP2, D sold the whole of the Property to E. PP2 was not a Relevant Planning Permission because an Overage Payment had previously become due in relation to PP2. Therefore:
                            </paratext>
                          </para>
                          <list type="bulleted">
                            <list.item>
                              <para>
                                <paratext>the land sold to E was not Development Land;</paratext>
                              </para>
                            </list.item>
                            <list.item>
                              <para>
                                <paratext>the sale to E was not an Overage Disposal; and</paratext>
                              </para>
                            </list.item>
                            <list.item>
                              <para>
                                <paratext>no Overage Payment became due from D to S because no Trigger Date had occurred.</paratext>
                              </para>
                            </list.item>
                          </list>
                        </list.item>
                      </list>
                      <list type="bulleted">
                        <list.item>
                          <para>
                            <paratext>
                              <bold>Event 5.</bold>
                               E obtained a third Planning Permission (PP3) for the whole of the Property. E then sold half of the Property (X) to F. E retained the other half of the Property (Y). PP3 was a Relevant Planning Permission because no Overage Payment had previously become due in relation to PP3. Therefore:
                            </paratext>
                          </para>
                          <list type="bulleted">
                            <list.item>
                              <para>
                                <paratext>X was Development Land and the sale of X to F was an Overage Disposal;</paratext>
                              </para>
                            </list.item>
                            <list.item>
                              <para>
                                <paratext>a Trigger Date occurred on completion of that Overage Disposal; and</paratext>
                              </para>
                            </list.item>
                            <list.item>
                              <para>
                                <paratext>
                                  an Overage Payment became due from E to S in relation to the 
                                  <bold>whole</bold>
                                   of the Property because it was the whole of the Property that benefitted from PP3 and therefore the whole of the Property was Development Land. This was the case even though only part of the Development Land (that is, X) was disposed of to F.
                                </paratext>
                              </para>
                            </list.item>
                          </list>
                          <para>
                            <paratext>
                              This document assumes that the nature of the proposed development is such that, if planning permission for that development is granted, it would not be appropriate for there to be sales of part of the Property with the benefit of that planning permission (see 
                              <internal.reference refid="a769271">Drafting note, Drafting assumptions</internal.reference>
                              ). If this is not the case, the standard document will require substantive amendment.
                            </paratext>
                          </para>
                        </list.item>
                      </list>
                      <list type="bulleted">
                        <list.item>
                          <para>
                            <paratext>
                              <bold>Event 6.</bold>
                               F then implemented PP3 on X. An Overage Payment had previously become due in relation to PP3. Therefore:
                            </paratext>
                          </para>
                          <list type="bulleted">
                            <list.item>
                              <para>
                                <paratext>PP3 was no longer a Relevant Planning Permission and, accordingly, no Trigger Date had occurred; and</paratext>
                              </para>
                            </list.item>
                            <list.item>
                              <para>
                                <paratext>no Overage Payment became due.</paratext>
                              </para>
                            </list.item>
                          </list>
                        </list.item>
                      </list>
                    </division>
                  </division>
                </drafting.note>
              </defn.item>
              <defn.item id="a712000">
                <defn.term>VAT</defn.term>
                <defn>
                  <para>
                    <paratext>value added tax [or any equivalent tax] chargeable in the UK.</paratext>
                  </para>
                </defn>
                <drafting.note id="a402567" jurisdiction="">
                  <head align="left" preservecase="true">
                    <headtext>VAT</headtext>
                  </head>
                  <division id="a000038" level="1">
                    <para>
                      <paratext>
                        VAT may be payable on an Overage Payment or on the Seller's legal costs (see 
                        <internal.reference refid="a260613">Drafting note, VAT</internal.reference>
                        ).
                      </paratext>
                    </para>
                  </division>
                </drafting.note>
              </defn.item>
              <defn.item id="a874001">
                <defn.term>Working Day</defn.term>
                <defn>
                  <para>
                    <paratext>any day from Monday to Friday (inclusive) which is not Christmas Day, Good Friday or a statutory Bank Holiday.</paratext>
                  </para>
                </defn>
              </defn.item>
            </subclause1>
            <subclause1 id="a866515">
              <identifier>1.2</identifier>
              <para>
                <paratext>
                  A 
                  <bold>person</bold>
                   includes a natural person, corporate or unincorporated body (whether or not having separate legal personality).
                </paratext>
              </para>
            </subclause1>
            <subclause1 id="a363139">
              <identifier>1.3</identifier>
              <para>
                <paratext>Unless expressly provided otherwise in this deed, a reference to legislation or a legislative provision is a reference to it as amended, extended or re-enacted from time to time.</paratext>
              </para>
            </subclause1>
            <subclause1 id="a171177">
              <identifier>1.4</identifier>
              <para>
                <paratext>Unless expressly provided otherwise in this deed, a reference to legislation or a legislative provision shall include all subordinate legislation made from time to time under that legislation or legislative provision.</paratext>
              </para>
            </subclause1>
            <subclause1 id="a820665">
              <identifier>1.5</identifier>
              <para>
                <paratext>Unless the context otherwise requires, references to clauses are to the clauses of this deed.</paratext>
              </para>
            </subclause1>
            <subclause1 id="a635037">
              <identifier>1.6</identifier>
              <para>
                <paratext>Clause headings shall not affect the interpretation of this deed.</paratext>
              </para>
            </subclause1>
            <subclause1 id="a813100">
              <identifier>1.7</identifier>
              <para>
                <paratext>Unless the context otherwise requires, a reference to one gender shall include a reference to the other genders.</paratext>
              </para>
            </subclause1>
            <subclause1 id="a390529">
              <identifier>1.8</identifier>
              <para>
                <paratext>Any obligation on a party not to do something includes an obligation not to allow that thing to be done and an obligation to use best endeavours to prevent that thing being done by another person.</paratext>
              </para>
            </subclause1>
            <subclause1 id="a403858">
              <identifier>1.9</identifier>
              <para>
                <paratext>
                  Unless the context otherwise requires, any words following the terms 
                  <bold>including</bold>
                  , 
                  <bold>include</bold>
                  , 
                  <bold>in particular</bold>
                  , 
                  <bold>for example</bold>
                   or any similar expression shall be construed as illustrative and shall not limit the sense of the words, description, definition, phrase or term preceding those terms.
                </paratext>
              </para>
            </subclause1>
            <subclause1 id="a239279">
              <identifier>1.10</identifier>
              <para>
                <paratext>Unless the context otherwise requires, words in the singular shall include the plural and in the plural shall include the singular.</paratext>
              </para>
            </subclause1>
            <subclause1 id="a400057">
              <identifier>1.11</identifier>
              <para>
                <paratext>
                  A reference to 
                  <bold>writing</bold>
                   or 
                  <bold>written</bold>
                   [includes fax but not email 
                  <bold>OR</bold>
                   excludes fax and email].
                </paratext>
              </para>
            </subclause1>
            <subclause1 id="a829163">
              <identifier>1.12</identifier>
              <para>
                <paratext>In this deed, a reference to:</paratext>
              </para>
              <subclause2 id="a196025">
                <identifier>(a)</identifier>
                <para>
                  <paratext>the Seller includes its personal representatives, heirs and permitted assigns but not other successors; and</paratext>
                </para>
              </subclause2>
              <subclause2 id="a597317">
                <identifier>(b)</identifier>
                <para>
                  <paratext>the Buyer includes its successors in title.</paratext>
                </para>
                <drafting.note id="a678009" jurisdiction="">
                  <head align="left" preservecase="true">
                    <headtext>References to Buyer and Seller</headtext>
                  </head>
                  <division id="a000039" level="1">
                    <para>
                      <paratext>
                        This 
                        <internal.reference refid="a829163">clause 1.12</internal.reference>
                         makes it clear that, in this deed, a reference to:
                      </paratext>
                    </para>
                    <list type="bulleted">
                      <list.item>
                        <para>
                          <paratext>
                            The Seller includes its personal representatives, heirs and anyone to whom the benefit of the Buyer's covenants in this deed has been assigned. It is not appropriate for references to the Seller in this deed to include its successors in title. This is because the right to receive overage payments is a personal right, rather than one that should benefit the Seller's retained land (if indeed the Seller retains any land). Instead, the benefit of the Buyer's covenants in this deed is a chose in action and can be assigned to a third party by the Seller (see 
                            <internal.reference refid="a139935">clause 3.1</internal.reference>
                             and 
                            <internal.reference refid="a346802">Drafting note, Benefit can be assigned</internal.reference>
                            ). Accordingly, references to the Seller should include such assignees rather than successors in title.
                          </paratext>
                        </para>
                        <para>
                          <paratext>
                            The original Seller will remain liable under its contractual obligations in this deed even if it assigns the benefit of the Buyer's covenants in relation to any matters contained in this Standard document. If a release is required, the Seller must try to negotiate express release provisions. For more information, see 
                            <internal.reference refid="a589286">Drafting note, Release of the Seller</internal.reference>
                            .
                          </paratext>
                        </para>
                      </list.item>
                    </list>
                    <list type="bulleted">
                      <list.item>
                        <para>
                          <paratext>
                            The Buyer includes its successors in title. Under this standard document, if the Buyer makes a Disposal of the Property, the disponee must enter into a Deed of Covenant with the Seller, containing similar obligations to the Buyer's obligations in this document (see 
                            <internal.reference refid="a428032">Drafting note, No Disposal without Deed of Covenant</internal.reference>
                            ). The original Buyer will remain liable under its contractual obligations in this deed even if it makes a Disposal of the Property. If a release is required, the Buyer must try to negotiate express release provisions. For more information, see 
                            <internal.reference refid="a734719">Drafting note, Release of the Buyer</internal.reference>
                            .
                          </paratext>
                        </para>
                      </list.item>
                    </list>
                  </division>
                </drafting.note>
              </subclause2>
            </subclause1>
          </clause>
          <clause id="a684497">
            <identifier>2.</identifier>
            <head align="left" preservecase="true">
              <headtext>Overage Payment</headtext>
            </head>
            <drafting.note id="a754070" jurisdiction="">
              <head align="left" preservecase="true">
                <headtext>Obligation to pay Overage Payment</headtext>
              </head>
              <division id="a000040" level="1">
                <para>
                  <paratext>For each Relevant Planning Permission, the trigger for an Overage Payment is the earlier of the following occurring during the Overage Period:</paratext>
                </para>
                <list type="bulleted">
                  <list.item>
                    <para>
                      <paratext>
                        Implementation of that Relevant Planning Permission (see 
                        <internal.reference refid="a569804">Drafting note, Implementation</internal.reference>
                        ).
                      </paratext>
                    </para>
                  </list.item>
                  <list.item>
                    <para>
                      <paratext>Completion of an Overage Disposal where the land disposed of includes any Development Land with the benefit of that Relevant Planning Permission.</paratext>
                    </para>
                  </list.item>
                </list>
                <para>
                  <paratext>
                    For more information, see 
                    <internal.reference refid="a942847">Drafting note, Trigger Date</internal.reference>
                    .
                  </paratext>
                </para>
                <para>
                  <paratext>However, if the trigger for an overage payment is instead:</paratext>
                </para>
                <list type="bulleted">
                  <list.item>
                    <para>
                      <paratext>
                        The grant of planning permission, see 
                        <link href="6-200-2513" style="ACTLinkPLCtoPLC">
                          <ital>Standard document, Positive overage covenant with restriction: overage payable on grant of planning permission</ital>
                        </link>
                        .
                      </paratext>
                    </para>
                  </list.item>
                  <list.item>
                    <para>
                      <paratext>
                        The implementation of planning permission, see 
                        <link href="6-588-3026" style="ACTLinkPLCtoPLC">
                          <ital>Standard document, Positive overage covenant with restriction: overage payable on implementation of planning permission</ital>
                        </link>
                        .
                      </paratext>
                    </para>
                  </list.item>
                  <list.item>
                    <para>
                      <paratext>
                        The buyer selling (or "turning") the property for a higher price within an agreed overage period without necessarily improving the planning position or selling a completed development (often referred to as "turn overage" or "anti-embarrassment overage"), see 
                        <link href="1-595-3045" style="ACTLinkPLCtoPLC">
                          <ital>Standard document, Positive overage covenant with restriction: Turn overage (overage payable on disposal)</ital>
                        </link>
                        .
                      </paratext>
                    </para>
                  </list.item>
                  <list.item>
                    <para>
                      <paratext>
                        The buyer disposing of the property with the benefit of planning permission granted during the agreed overage period, see 
                        <link href="7-596-4625" style="ACTLinkPLCtoPLC">
                          <ital>Standard document, Positive overage covenant with restriction: overage payable on disposal of property with benefit of planning permission</ital>
                        </link>
                        .
                      </paratext>
                    </para>
                  </list.item>
                  <list.item>
                    <para>
                      <paratext>
                        Disposals of part of a completed residential development, see 
                        <link href="8-619-8086" style="ACTLinkPLCtoPLC">
                          <ital>Standard document, Positive overage covenant with restriction: sales overage (overage based on proceeds from sales of part of a completed residential development)</ital>
                        </link>
                        .
                      </paratext>
                    </para>
                  </list.item>
                </list>
                <para>
                  <paratext>
                    For details of other potential trigger events, see 
                    <link href="4-200-2514#a1002342" style="ACTLinkPLCtoPLC">
                      <ital>Practice note, Overage payments: Introduction</ital>
                    </link>
                    .
                  </paratext>
                </para>
                <para>
                  <paratext>
                    For information about how the Overage Payment is to be calculated, see 
                    <internal.reference refid="a573739">Drafting note, Overage Payment</internal.reference>
                    .
                  </paratext>
                </para>
                <division id="a629597" level="2">
                  <head align="left" preservecase="true">
                    <headtext>Considerations for the Seller</headtext>
                  </head>
                  <para>
                    <paratext>The Seller could negotiate to include the following as triggers for an Overage Payment:</paratext>
                  </para>
                  <list type="bulleted">
                    <list.item>
                      <para>
                        <paratext>
                          The issue of a 
                          <link href="1-107-5876" style="ACTLinkPLCtoPLC">
                            <bold>
                              <ital>Certificate of lawfulness of existing use or development</ital>
                            </bold>
                          </link>
                           (CLEUD). For more information, see 
                          <link href="2-385-4981#a519030" style="ACTLinkPLCtoPLC">
                            <ital>Practice note, Immunity from planning enforcement action: CLEUDs and proving immunity from planning enforcement action</ital>
                          </link>
                          .
                        </paratext>
                      </para>
                      <para>
                        <paratext>If the grant of a CLEUD is to be a trigger, amendments will be required to the valuation provisions and, in particular, the definition of Base Value. The Seller will want the Overage Payment to be based on the difference in the value of the Property before the grant of the CLEUD and the value at the date of grant of the CLEUD.</paratext>
                      </para>
                      <para>
                        <paratext>
                          The Buyer might avoid that trigger by not applying for a CLEUD and rely instead on obtaining immunity from planning enforcement. 
                          <internal.reference refid="a688628">clause 6</internal.reference>
                           obliges the Buyer to obtain any express planning permission required for Development. The Seller might seek to widen that obligation to include an obligation to obtain CLEUDs. Such obligation may make it more difficult for the Buyer to avoid the overage provisions (or at least make the Buyer contractually liable for damages).
                        </paratext>
                      </para>
                    </list.item>
                  </list>
                  <list type="bulleted">
                    <list.item>
                      <para>
                        <paratext>
                          The issue of a 
                          <link href="9-107-5877" style="ACTLinkPLCtoPLC">
                            <bold>
                              <ital>Certificate of lawfulness of proposed use or development </ital>
                            </bold>
                          </link>
                           (CLOPUD).
                        </paratext>
                      </para>
                      <para>
                        <paratext>If the grant of a CLOPUD is to be treated as equivalent to the grant of Planning Permission, amendments may also be required to the valuation provisions. Note that the Buyer could avoid the overage provision by not applying for a CLOPUD and carrying out its Development anyway.</paratext>
                      </para>
                    </list.item>
                  </list>
                  <para>
                    <paratext>The Seller may wish to state specifically that the overage provisions only have effect if a Planning Permission increases the Market Value of the Development Land. This would guard against the risk of a Planning Permission, in unusual circumstances, reducing the value of the Property and raising the inference of a reverse Overage Payment from the Seller to the Buyer arising.</paratext>
                  </para>
                </division>
                <division id="a803089" level="2">
                  <head align="left" preservecase="true">
                    <headtext>Considerations for the Buyer</headtext>
                  </head>
                  <para>
                    <paratext>
                      The Buyer may be concerned that an Overage Payment could become due on the implementation of Planning Permission because implementation of Planning Permission in itself releases no funds to the Buyer from which to make the Overage Payment. The Buyer may, for cashflow reasons, require the trigger event to be only an Overage Disposal with the benefit of a Planning Permission (whether or not that Planning Permission has been implemented). The Buyer would then be able to pay the overage out of the proceeds of sale. This document is not suitable for such use as substantive amendments would be required. Instead, see 
                      <link href="7-596-4625" style="ACTLinkPLCtoPLC">
                        <ital>Standard document, Positive overage covenant with restriction: overage payable on disposal of property with benefit of planning permission</ital>
                      </link>
                      .
                    </paratext>
                  </para>
                </division>
              </division>
            </drafting.note>
            <subclause1 id="a763311">
              <identifier>2.1</identifier>
              <para>
                <paratext>On each occasion that a Trigger Date occurs during the Overage Period, an Overage Payment shall immediately become due from the Buyer to the Seller.</paratext>
              </para>
              <drafting.note id="a410658" jurisdiction="">
                <head align="left" preservecase="true">
                  <headtext>Overage Payment due immediately</headtext>
                </head>
                <division id="a000041" level="1">
                  <para>
                    <paratext>
                      An Overage Payment immediately becomes due from the Buyer to the Seller if a Trigger Date occurs at any time during the Overage Period (see 
                      <internal.reference refid="a942847">Drafting note, Trigger Date</internal.reference>
                      ).
                    </paratext>
                  </para>
                  <para>
                    <paratext>
                      The Buyer's obligation to pay an Overage Payment arises immediately on a Trigger Date, even though the amount of the Overage Payment may still have to be ascertained (see 
                      <internal.reference refid="a297749">clause 2.2</internal.reference>
                      ). This is particularly important if a legal charge is also being used to secure the Overage Payments because a power of sale may not arise until the amounts are ascertained. In 
                      <link href="D-000-0668" style="ACTLinkURL">
                        <ital>Groveholt Ltd v Hughes [2005] EWCA Civ 897</ital>
                      </link>
                      , the Court of Appeal held that a legal charge used to secure an overage payment did not give rise to a power of sale on the grant of the planning permission. On the construction of the document, the preparatory costs needed for the overage formula also had to be ascertained before the overage payments became payable.
                    </paratext>
                  </para>
                  <para>
                    <paratext>
                      For more information, see 
                      <link href="7-201-0956" style="ACTLinkPLCtoPLC">
                        <ital>Legal update, Effect of disclaimer on the right to enforce overage payments under a charge (Court of Appeal)</ital>
                      </link>
                      .
                    </paratext>
                  </para>
                  <para>
                    <paratext>It is, therefore, important that the Overage Payment becomes due when a Trigger Date occurs, rather than on the date that the amount of the Overage Payment is determined.</paratext>
                  </para>
                </division>
              </drafting.note>
            </subclause1>
            <subclause1 id="a297749">
              <identifier>2.2</identifier>
              <para>
                <paratext>
                  The Buyer covenants that it shall pay each Overage Payment due under 
                  <internal.reference refid="a763311">clause 2.1</internal.reference>
                   to the Seller on the later of:
                </paratext>
              </para>
              <subclause2 id="a261289">
                <identifier>(a)</identifier>
                <para>
                  <paratext>
                    the date which is [NUMBER] [Working Days 
                    <bold>OR</bold>
                     weeks] from and including the relevant Trigger Date for that Overage Payment; and
                  </paratext>
                </para>
              </subclause2>
              <subclause2 id="a1032935">
                <identifier>(b)</identifier>
                <para>
                  <paratext>
                    the date which is [NUMBER] [Working Days 
                    <bold>OR</bold>
                     weeks] from and including the date on which the amount of that Overage Payment is agreed or determined in accordance with the terms of this deed.
                  </paratext>
                </para>
              </subclause2>
            </subclause1>
            <subclause1 id="a983574">
              <identifier>2.3</identifier>
              <para>
                <paratext>An Overage Payment shall be due in respect of each and every Trigger Date that occurs during the Overage Period notwithstanding that a Trigger Date may have previously occurred for the Property or any part or parts of it.</paratext>
              </para>
              <drafting.note id="a450948" jurisdiction="">
                <head align="left" preservecase="true">
                  <headtext>Multiple Trigger Dates possible</headtext>
                </head>
                <division id="a265185" level="1">
                  <head align="left" preservecase="true">
                    <headtext>Overage Payment due in respect of each and every Trigger Date</headtext>
                  </head>
                  <para>
                    <paratext>An Overage Payment will be due on each occasion that a Trigger Date occurs during the Overage Period. If only one Overage Payment could become due, the Buyer could trigger the Overage Payment at a low level and would then be free to apply for a new, more valuable, Relevant Planning Permission which would not trigger the overage obligations if the Buyer either implements that Relevant Planning Permission or disposes of the Property (or any part of it) with the benefit of that Relevant Planning Permission before it has been implemented.</paratext>
                  </para>
                </division>
                <division id="a846157" level="1">
                  <head align="left" preservecase="true">
                    <headtext>Applies to each and every part of the Property</headtext>
                  </head>
                  <para>
                    <paratext>The Buyer might apply for a Planning Permission for just part of the Property, rather than the whole, so the obligation to make an Overage Payment must apply should there be a series of applications for Planning Permission, each in respect of different parts of the Property which are then implemented or disposed of, thereby giving rise to a Trigger Date. Otherwise, the Buyer could easily avoid having to make an Overage Payment by obtaining a Planning Permission for a small part of the Property only and either implementing that Planning Permission or disposing of that small part of the Property with the benefit of the Planning Permission before it is implemented.</paratext>
                  </para>
                </division>
                <division id="a760810" level="1">
                  <head align="left" preservecase="true">
                    <headtext>Successive Planning Permissions</headtext>
                  </head>
                  <para>
                    <paratext>The document provides for the possibility of Planning Permission being granted for the same part or parts of the Property. If a further Planning Permission is granted for the same area during the Overage Period, a further Overage Payment will become due if a Trigger Date occurs in relation to that further Planning Permission.</paratext>
                  </para>
                  <para>
                    <paratext>
                      For each Planning Permission, an Overage Payment will only be due once for each part of the Property benefitting from that Planning Permission. Once a Trigger Date has occurred for a Relevant Planning Permission, that Planning Permission ceases to be a Planning Permission (see 
                      <internal.reference refid="a221008">Drafting note, Relevant Planning Permission</internal.reference>
                      ). A further Overage Payment cannot become payable in relation to that Planning Permission. Another Overage Payment can only become payable if another Relevant Planning Permission is granted and a Trigger Date occurs in relation to that Relevant Planning Permission. For more information, see 
                      <internal.reference refid="a942847">Drafting note, Trigger Date</internal.reference>
                      .
                    </paratext>
                  </para>
                </division>
              </drafting.note>
            </subclause1>
            <subclause1 id="a501552">
              <identifier>2.4</identifier>
              <para>
                <paratext>
                  The Buyer covenants with the Seller that it shall pay interest at the Interest Rate to the Seller on each Overage Payment that becomes due under 
                  <internal.reference refid="a763311">clause 2.1</internal.reference>
                  . Such interest shall accrue on a daily basis for the period from and including the Trigger Date in respect of that Overage Payment to but excluding the Payment Date in respect of that Overage Payment.
                </paratext>
              </para>
              <drafting.note id="a750025" jurisdiction="">
                <head align="left" preservecase="true">
                  <headtext>Interest until due date</headtext>
                </head>
                <division id="a000042" level="1">
                  <para>
                    <paratext>The Buyer is required to pay base rate interest on an Overage Payment from the relevant Trigger Date to the date that that Overage Payment should be made (that is, its Payment Date). This protects the Seller in the event that it takes some time to agree or determine the amount of the Overage Payment.</paratext>
                  </para>
                </division>
              </drafting.note>
            </subclause1>
            <subclause1 id="a866079">
              <identifier>2.5</identifier>
              <para>
                <paratext>The Buyer further covenants with the Seller that it shall pay interest at the Default Rate to the Seller on any Overage Payment that is not paid on its Payment Date. Such interest shall accrue on a daily basis for the period from and including the relevant Payment Date to and including the date of payment (whether before or after any judgment) and shall not affect any other remedy the Seller may have.</paratext>
              </para>
              <drafting.note id="a617804" jurisdiction="">
                <head align="left" preservecase="true">
                  <headtext>Default Rate interest on late payments</headtext>
                </head>
                <division id="a000043" level="1">
                  <para>
                    <paratext>
                      Under 
                      <internal.reference refid="a866079">clause 2.5</internal.reference>
                      , the Buyer must pay Default Rate interest to the Seller if an Overage Payment is not paid strictly on its due date (that is, the Payment Date). The Buyer may wish to amend this so it has a few days within which to make the payment before the obligation to pay Default Rate interest arises.
                    </paratext>
                  </para>
                </division>
              </drafting.note>
            </subclause1>
            <subclause1 id="a457500">
              <identifier>2.6</identifier>
              <para>
                <paratext>The Buyer covenants with the Seller that it shall:</paratext>
              </para>
              <subclause2 id="a137064">
                <identifier>(a)</identifier>
                <para>
                  <paratext>supply the Seller with a copy of any planning application in relation to the Property submitted by or on behalf of the Buyer during the Overage Period within [NUMBER] Working Days of its submission to the Determining Authority;</paratext>
                </para>
              </subclause2>
              <subclause2 id="a780927">
                <identifier>(b)</identifier>
                <para>
                  <paratext>supply the Seller with a copy of any Planning Permission within [NUMBER] Working Days of the date of its grant;</paratext>
                </para>
              </subclause2>
              <subclause2 id="a716813">
                <identifier>(c)</identifier>
                <para>
                  <paratext>
                    allow the Seller and its surveyor access to the Property at all reasonable times and on [reasonable 
                    <bold>OR</bold>
                     not less than [NUMBER] Working Days'] prior [written] notice to inspect whether Implementation of any Relevant Planning Permission has occurred.
                  </paratext>
                </para>
              </subclause2>
              <subclause2 id="a526649">
                <identifier>(d)</identifier>
                <para>
                  <paratext>supply the Seller with a copy of any agreement for a Disposal of the whole or any part or parts of the Property or Permitted Disposal that is entered into by the Buyer during the Overage Period within [NUMBER] Working Days of that agreement being entered into;</paratext>
                </para>
              </subclause2>
              <subclause2 id="a441248">
                <identifier>(e)</identifier>
                <para>
                  <paratext>notify the Seller in writing within [NUMBER] Working Days of completion of any Permitted Disposal and at the same time supply the Seller with:</paratext>
                </para>
                <subclause3 id="a597881">
                  <identifier>(i)</identifier>
                  <para>
                    <paratext>a copy of the instrument effecting that Permitted Disposal; and</paratext>
                  </para>
                </subclause3>
                <subclause3 id="a490249">
                  <identifier>(ii)</identifier>
                  <para>
                    <paratext>appropriate evidence that is satisfactory to the Seller (acting reasonably) that such Permitted Disposal is not a Disposal of the whole or any part or parts of the Property; and</paratext>
                  </para>
                </subclause3>
              </subclause2>
              <subclause2 id="a523033">
                <identifier>(f)</identifier>
                <para>
                  <paratext>notify the Seller in writing within [NUMBER] Working Days of completion of any Disposal of the whole or any part or parts of the Property during the Overage Period that the Buyer considers is not an Overage Disposal and at the same time supply the Seller with:</paratext>
                </para>
                <subclause3 id="a805716">
                  <identifier>(i)</identifier>
                  <para>
                    <paratext>a copy of the instrument effecting that Disposal; and</paratext>
                  </para>
                </subclause3>
                <subclause3 id="a596493">
                  <identifier>(ii)</identifier>
                  <para>
                    <paratext>appropriate evidence that is satisfactory to the Seller (acting reasonably) that such Disposal is not an Overage Disposal; and</paratext>
                  </para>
                </subclause3>
              </subclause2>
              <subclause2 id="a554182">
                <identifier>(g)</identifier>
                <para>
                  <paratext>notify the Seller in writing of the occurrence of any Trigger Date during the Overage Period within [NUMBER] Working Days of that Trigger Date occurring and at the same time supply the Seller with:</paratext>
                </para>
                <subclause3 id="a997950">
                  <identifier>(i)</identifier>
                  <para>
                    <paratext>where that Trigger Date has occurred due to the completion of an Overage Disposal, a copy of the instrument effecting that Overage Disposal;</paratext>
                  </para>
                </subclause3>
                <subclause3 id="a465366">
                  <identifier>(ii)</identifier>
                  <para>
                    <paratext>a statement of the amount of the Overage Payment that the Buyer considers is due; and</paratext>
                  </para>
                </subclause3>
                <subclause3 id="a343788">
                  <identifier>(iii)</identifier>
                  <para>
                    <paratext>
                      appropriate evidence that is satisfactory to the Seller (acting reasonably) of how the figure in 
                      <internal.reference refid="a465366">clause 2.6(g)(ii)</internal.reference>
                       was calculated.
                    </paratext>
                  </para>
                  <drafting.note id="a427814" jurisdiction="">
                    <head align="left" preservecase="true">
                      <headtext>Notification and access for inspection</headtext>
                    </head>
                    <division id="a000044" level="1">
                      <para>
                        <paratext>
                          <internal.reference refid="a866079">clause 2.5</internal.reference>
                           obliges the Buyer to:
                        </paratext>
                      </para>
                      <list type="bulleted">
                        <list.item>
                          <para>
                            <paratext>Supply the Seller with a copy of any planning application in relation to the Property the Buyer makes during the Overage Period. This will put the Seller on notice that a Planning Permission may be granted in due course. The Buyer must, however, ensure that this is limited to copies of planning applications made by the Buyer or on its behalf, as in theory a third party could make a planning application without its prior knowledge.</paratext>
                          </para>
                        </list.item>
                        <list.item>
                          <para>
                            <paratext>Notify the Seller if Planning Permission is granted during the Overage Period. Even if the Buyer was not the party responsible for making the planning application, it should, as the owner of the Property, have been notified that Planning Permission has been granted. Otherwise, the Seller may be unaware that a Planning Permission has been granted.</paratext>
                          </para>
                        </list.item>
                        <list.item>
                          <para>
                            <paratext>Allow the Seller and its surveyor access to the Property to inspect whether Implementation of any Relevant Planning Permission has occurred.</paratext>
                          </para>
                        </list.item>
                        <list.item>
                          <para>
                            <paratext>Supply the Seller with a copy of any agreement for any Disposal or Permitted Disposal of the whole or any part or parts of the Property that is entered into by the Buyer during the Overage Period.</paratext>
                          </para>
                          <para>
                            <paratext>This will put the Seller on notice that a Disposal of the whole or any part or parts of the Property may be completed in due course and enables it to consider whether that Disposal is an Overage Disposal that will trigger an Overage Payment or whether that Permitted Disposal is indeed a Permitted Disposal.</paratext>
                          </para>
                          <para>
                            <paratext>If it is an Overage Disposal, then the Seller can start considering the establishment of the values needed for the calculation of the Overage Payment.</paratext>
                          </para>
                        </list.item>
                      </list>
                      <list type="bulleted">
                        <list.item>
                          <para>
                            <paratext>Notify the Seller in writing of completion of any Permitted Disposal during the Overage Period and supply the Seller with:</paratext>
                          </para>
                          <list type="bulleted">
                            <list.item>
                              <para>
                                <paratext>a copy of the document that effects that Permitted Disposal; and</paratext>
                              </para>
                            </list.item>
                            <list.item>
                              <para>
                                <paratext>appropriate evidence that is satisfactory to the Seller (acting reasonably) that the Permitted Disposal is not a Disposal.</paratext>
                              </para>
                            </list.item>
                          </list>
                          <para>
                            <paratext>This gives the Seller an opportunity to challenge the Buyer's evidence if it does not agree that the Permitted Disposal is not a Disposal.</paratext>
                          </para>
                        </list.item>
                      </list>
                      <list type="bulleted">
                        <list.item>
                          <para>
                            <paratext>Notify the Seller in writing of completion of any Disposal during the Overage Period that the Buyer considers is not an Overage Disposal and supply the Seller with:</paratext>
                          </para>
                          <list type="bulleted">
                            <list.item>
                              <para>
                                <paratext>a copy of the document that effects that Disposal; and</paratext>
                              </para>
                            </list.item>
                            <list.item>
                              <para>
                                <paratext>appropriate evidence that is satisfactory to the Seller (acting reasonably) that the Disposal is not an Overage Disposal.</paratext>
                              </para>
                            </list.item>
                          </list>
                          <para>
                            <paratext>This gives the Seller an opportunity to challenge the Buyer's evidence if it does not agree that the Disposal is not an Overage Disposal.</paratext>
                          </para>
                        </list.item>
                      </list>
                      <list type="bulleted">
                        <list.item>
                          <para>
                            <paratext>Notify the Seller in writing of the occurrence of any Trigger Date during the Overage Period within an agreed number of Working Days of that Trigger Date occurring. Otherwise, the Seller may be unaware that the overage provisions have become operable. At the same time, the Buyer must supply to the Seller:</paratext>
                          </para>
                          <list type="bulleted">
                            <list.item>
                              <para>
                                <paratext>where the Trigger Date has occurred due to the completion of an Overage Disposal, a copy of the document that effected that Overage Disposal;</paratext>
                              </para>
                            </list.item>
                            <list.item>
                              <para>
                                <paratext>a statement of the amount of the Overage Payment that the Buyer considers is due; and</paratext>
                              </para>
                            </list.item>
                            <list.item>
                              <para>
                                <paratext>appropriate evidence that is satisfactory to the Seller (acting reasonably) of how that figure was calculated.</paratext>
                              </para>
                            </list.item>
                          </list>
                          <para>
                            <paratext>This gives the Seller an opportunity to challenge the Buyer's proposed figure for the Overage Payment if it does not agree with it.</paratext>
                          </para>
                        </list.item>
                      </list>
                    </division>
                  </drafting.note>
                </subclause3>
              </subclause2>
            </subclause1>
          </clause>
          <clause id="a326933">
            <identifier>3.</identifier>
            <head align="left" preservecase="true">
              <headtext>Seller can assign benefit</headtext>
            </head>
            <drafting.note id="a346802" jurisdiction="">
              <head align="left" preservecase="true">
                <headtext>Benefit can be assigned</headtext>
              </head>
              <division id="a000045" level="1">
                <para>
                  <paratext>
                    The right to receive Overage Payments is a 
                    <link href="2-107-5828" style="ACTLinkPLCtoPLC">
                      <bold>
                        <ital>chose in action</ital>
                      </bold>
                    </link>
                     and can be assigned by the Seller. For the avoidance of doubt, this clause states that the Seller may freely assign the benefit of the Buyer's covenants to a third party.
                  </paratext>
                </para>
                <para>
                  <paratext>
                    For the assignment to be recognised in law, the assignment must be absolute, in writing and express written notice of the assignment must be given to the Buyer (
                    <link href="2-505-5703" style="ACTLinkPLCtoPLC">
                      <ital>section 136</ital>
                    </link>
                    , 
                    <ital>LPA 1925</ital>
                    ). For more information, see 
                    <link href="5-107-3823" style="ACTLinkPLCtoPLC">
                      <ital>Standard clause, Assignment and other dealings</ital>
                    </link>
                    .
                  </paratext>
                </para>
                <division id="a589286" level="2">
                  <head align="left" preservecase="true">
                    <headtext>Release of the Seller</headtext>
                  </head>
                  <para>
                    <paratext>In addition to the obligations set out in this clause, the Seller may also seek a covenant from the Buyer to release the Seller personally from the Seller's obligations on an Assignment. This is a matter for negotiation between the parties but the Buyer is likely to insist on the following minimum pre-conditions:</paratext>
                  </para>
                  <list type="bulleted">
                    <list.item>
                      <para>
                        <paratext>The Assignee has entered into an Assignee Deed of Covenant with the Buyer.</paratext>
                      </para>
                    </list.item>
                    <list.item>
                      <para>
                        <paratext>The Seller has complied with all its other obligations in this deed.</paratext>
                      </para>
                    </list.item>
                  </list>
                  <para>
                    <paratext>A personal release is the preferable option from the Seller's perspective. However, if the Seller is unable to negotiate a personal release, it would have to seek and rely on indemnity covenants from the Assignee.</paratext>
                  </para>
                </division>
              </division>
            </drafting.note>
            <subclause1 id="a139935">
              <identifier>3.1</identifier>
              <para>
                <paratext>
                  Subject to 
                  <internal.reference refid="a985945">clause 3.2</internal.reference>
                  , the benefit of the Buyer's covenants in relation to any matters contained in this deed is assignable by the Seller.
                </paratext>
              </para>
            </subclause1>
            <subclause1 id="a985945">
              <identifier>3.2</identifier>
              <para>
                <paratext>The Seller covenants with the Buyer not to make any Assignment at any time during the Overage Period without first procuring that the prospective Assignee has executed an Assignee Deed of Covenant.</paratext>
              </para>
              <drafting.note id="a270313" jurisdiction="">
                <head align="left" preservecase="true">
                  <headtext>Assignee must provide deed of covenant</headtext>
                </head>
                <division id="a000046" level="1">
                  <para>
                    <paratext>
                      This standard document contains a number of covenants on the part of the Seller (for example, the obligations on the Seller in 
                      <internal.reference refid="a434967">clause 7</internal.reference>
                      ). The burden of those covenants cannot be assigned. There will be a restriction registered against the Buyer's title prohibiting it from freely disposing of its interest in the Property. Therefore, the Buyer will want assurance that, if the Seller assigns the benefit of the Buyer's covenants to a third party, the Assignee will be bound to perform the Seller's covenants from the date of the assignment. To achieve this, the standard document obliges the Seller to obtain a deed of covenant in which the Assignee will covenant directly with the Buyer to perform covenants in the same form as those given by the Seller in this standard document.
                    </paratext>
                  </para>
                </division>
              </drafting.note>
            </subclause1>
            <subclause1 id="a167605">
              <identifier>3.3</identifier>
              <para>
                <paratext>The Buyer covenants with the Seller that following an Assignment and receipt by the Buyer of an Assignee Deed of Covenant properly executed by the Assignee:</paratext>
              </para>
              <subclause2 id="a256219">
                <identifier>(a)</identifier>
                <para>
                  <paratext>the Buyer shall:</paratext>
                </para>
                <subclause3 id="a590351">
                  <identifier>(i)</identifier>
                  <para>
                    <paratext>not object to an application by the Seller or Assignee to alter an Existing Restriction to replace the Seller's name and address with the name and address of the Assignee as the person whose consent is required to comply with the Existing Restriction;</paratext>
                  </para>
                </subclause3>
                <subclause3 id="a476606">
                  <identifier>(ii)</identifier>
                  <para>
                    <paratext>not object to an application by the Seller or Assignee to cancel an Existing Restriction; or</paratext>
                  </para>
                </subclause3>
                <subclause3 id="a828933">
                  <identifier>(iii)</identifier>
                  <para>
                    <paratext>in relation to any application by the Seller or Assignee to withdraw an Existing Restriction, immediately on receipt of a written request from the Seller or Assignee provide its consent to that withdrawal in accordance with the requirements of HM Land Registry from time to time and to provide the Seller or Assignee with all necessary assistance and documentation to permit withdrawal of that Existing Restriction; [and]</paratext>
                  </para>
                </subclause3>
              </subclause2>
              <subclause2 id="a508723">
                <identifier>(b)</identifier>
                <para>
                  <paratext>immediately on receipt of a written request from the Seller or Assignee, the Buyer shall provide:</paratext>
                </para>
                <subclause3 id="a833471">
                  <identifier>(i)</identifier>
                  <para>
                    <paratext>its consent in accordance with the requirements of HM Land Registry from time to time to the entry of the following restriction against the registered title to the Property at HM Land Registry:</paratext>
                  </para>
                  <para>
                    <paratext>"No [disposition or specify type of disposition] of the registered estate [(other than a charge)] by the proprietor of the registered estate[, or by the proprietor of any registered charge, not being a charge registered before the entry of this restriction,] is to be registered without a written consent signed by [ASSIGNEE] of [address] [or their personal representatives] [or [their conveyancer or specify appropriate details]]."; and</paratext>
                  </para>
                </subclause3>
                <subclause3 id="a592781">
                  <identifier>(ii)</identifier>
                  <para>
                    <paratext>
                      the Seller or Assignee with all necessary assistance and documentation to permit entry of that restriction[. 
                      <bold>OR</bold>
                       ; and]
                    </paratext>
                  </para>
                </subclause3>
              </subclause2>
              <subclause2 id="a488486">
                <identifier>(c)</identifier>
                <para>
                  <paratext>[immediately on receipt of a written request from the Seller or Assignee, the Buyer shall provide:</paratext>
                </para>
                <subclause3 id="a528174">
                  <identifier>(i)</identifier>
                  <para>
                    <paratext>its consent in accordance with the requirements of HM Land Registry from time to time to the entry of a restriction in the following form against the registered title to the Property at HM Land Registry in respect of any charge registered against that title after the date of this deed:</paratext>
                  </para>
                  <para>
                    <paratext>"No [disposition or specify type of disposition] by the proprietor of the registered charge dated [DATE] referred to above is to be registered without a written consent signed by [ASSIGNEE] of [address] [or their personal representatives] [or [their conveyancer or specify appropriate details]]."]; and</paratext>
                  </para>
                </subclause3>
                <subclause3 id="a980793">
                  <identifier>(ii)</identifier>
                  <para>
                    <paratext>the Seller or Assignee with all necessary assistance and documentation to permit entry of any such restriction.]</paratext>
                  </para>
                  <drafting.note id="a362258" jurisdiction="">
                    <head align="left" preservecase="true">
                      <headtext>Buyer's obligations in relation to the Existing Restriction following an assignment</headtext>
                    </head>
                    <division id="a000047" level="1">
                      <para>
                        <paratext>
                          The standard document uses a standard Form N restriction to protect the Buyer’s obligation to procure a deed of covenant from a disponee under a Disposal (see 
                          <internal.reference refid="a1022440">clause 5.2</internal.reference>
                           and 
                          <internal.reference refid="a541637">Drafting note, Which form of restriction should be used?</internal.reference>
                          ). A Form N restriction requires that the consent to the registration of the disposition is required from the person whose name and address is expressly stated in the restriction. Following an assignment of the benefit of the Buyer’s covenants by the Seller, the assignee will require the benefit of a Form N restriction to ensure that, after completion of the assignment, the assignee’s consent is required for the registration of a disposition, instead of the Seller’s consent.
                        </paratext>
                      </para>
                      <para>
                        <paratext>
                          Paragraph 3.8 of 
                          <link href="9-106-6726" style="ACTLinkPLCtoPLC">
                            <ital>LR Practice Guide 19 - Notices, restrictions and protection of third party interests</ital>
                          </link>
                           states:
                        </paratext>
                      </para>
                      <display.quote>
                        <para>
                          <paratext>"Sometimes it is necessary to alter the wording of a restriction to allow it to continue to work as intended when circumstances have changed.</paratext>
                        </para>
                      </display.quote>
                      <display.quote>
                        <para>
                          <paratext>Common examples include when the address of the person with the benefit of the restriction has changed or where the title number referred to in a restriction has changed.</paratext>
                        </para>
                      </display.quote>
                      <display.quote>
                        <para>
                          <paratext>Application for alteration of a restriction may also be appropriate in other circumstances including: …</paratext>
                        </para>
                      </display.quote>
                      <display.quote>
                        <para>
                          <paratext>•where the right or interest protected by the restriction has been transferred or assigned and where the original applicant for the entry of the restriction had a sufficient interest in the making of the entry – that is, where the restriction was not entered only because the registered proprietor (or person entitled to be registered as proprietor) applied for or consented to the entry of the restriction.</paratext>
                        </para>
                      </display.quote>
                      <display.quote>
                        <para>
                          <paratext>An application to alter a restriction must be made in form AP1 and be accompanied by evidence to justify the alteration requested."</paratext>
                        </para>
                      </display.quote>
                      <para>
                        <paratext>
                          Therefore, it appears that the Land Registry consider it possible for an application to be made to alter the existing restriction that contains the name and address of the Seller to substitute the name and address of the assignee as the person whose consent is required following an assignment. The assignee should make an application to alter the restriction immediately following completion of the assignment. 
                          <internal.reference refid="a590351">clause 3.3(a)(i)</internal.reference>
                           obliges the Buyer not to object to an application to alter the existing Form N restriction that contains the name and address of the Seller.
                        </paratext>
                      </para>
                      <para>
                        <paratext>The existence of a restriction naming whoever has the benefit of the overage as the person who must consent to the registration of any Disposal is of vital importance. If the Land Registry refuse to make an alteration to the Existing Restriction for any reason, the Seller and its assignee will want the assurance that it can either cancel or withdraw the Existing Restriction and apply for a fresh Form N restriction containing the name and address of the assignee to be entered on the title to the Property instead.</paratext>
                      </para>
                      <para>
                        <paratext>
                          Where the restriction on the title to the Property is being cancelled, 
                          <internal.reference refid="a476606">clause 3.3(a)(ii)</internal.reference>
                           obliges the Buyer not to object to an application to cancel the existing Form N restriction that contains the name and address of the Seller. Where, instead, the restriction is being withdrawn, 
                          <internal.reference refid="a828933">clause 3.3(a)(iii)</internal.reference>
                           obliges the Buyer to provide its consent to that withdrawal and to provide all necessary assistance and documentation to permit withdrawal of that restriction. For information on the procedures for cancelling and withdrawing restrictions, see 
                          <link anchor="a1027238" href="2-107-4621" style="ACTLinkPLCtoPLC">
                            <ital>Practice note, Protection of third party rights under the Land Registration Act 2002: Cancellation of a restriction</ital>
                          </link>
                           and 
                          <link anchor="a76600" href="2-107-4621" style="ACTLinkPLCtoPLC">
                            <ital>Withdrawal of a restriction</ital>
                          </link>
                          .
                        </paratext>
                      </para>
                      <para>
                        <paratext>
                          <internal.reference refid="a508723">clause 3.3(b)</internal.reference>
                           obliges the Buyer on request to provide its consent to the entry of a new Form N restriction that names the assignee as the person whose consent is required for the registration of a disposition and provide all necessary assistance and documentation to permit entry of that restriction.
                        </paratext>
                      </para>
                      <para>
                        <paratext>
                          Include optional 
                          <internal.reference refid="a488486">clause 3.3(c)</internal.reference>
                           if the Form N restriction to be entered on the title of the Property in accordance with 
                          <internal.reference refid="a1022440">clause 5.2</internal.reference>
                           is worded to catch dispositions by the proprietor of any registered charge. Whether this is the case will be a matter of negotiation between the parties (see 
                          <internal.reference refid="a249197">Drafting note, Permitted Disposal</internal.reference>
                          ).If optional 
                          <internal.reference refid="a488486">clause 3.3(c)</internal.reference>
                           is included, in respect of any charge registered against that title to the Property after the date of the transfer, the Buyer must provide its consent to the entry of a Form T restriction that names the assignee as the person whose consent is required for the registration of a disposition by the chargee and to provide all necessary assistance and documentation to permit entry of that restriction.
                        </paratext>
                      </para>
                      <para>
                        <paratext>
                          The Buyer’s obligations in 
                          <internal.reference refid="a167605">clause 3.3</internal.reference>
                           are subject to the Buyer having received the executed Assignee Deed of Covenant following an assignment by the Seller of the benefit of the Buyer’s covenants in this Standard document. The Buyer will require this so that it will not have to refrain from objecting or consent to the entry of any fresh restriction on its title in favour of an assignee without the assignee having covenanted directly with it to perform the Seller’s covenants in this standard document.
                        </paratext>
                      </para>
                    </division>
                  </drafting.note>
                </subclause3>
              </subclause2>
            </subclause1>
            <subclause1 id="a125614">
              <identifier>3.4</identifier>
              <para>
                <paratext>The Seller covenants with the Buyer that it shall pay the Buyer's [reasonable] legal [and surveyor's] costs and disbursements [on a full indemnity basis including any irrecoverable VAT] incurred in connection with:</paratext>
              </para>
              <subclause2 id="a740694">
                <identifier>(a)</identifier>
                <para>
                  <paratext>each Assignee Deed of Covenant; and</paratext>
                </para>
              </subclause2>
              <subclause2 id="a482429">
                <identifier>(b)</identifier>
                <para>
                  <paratext>
                    the withdrawal of an Existing Restriction pursuant to 
                    <internal.reference refid="a828933">clause 3.3(a)(iii)</internal.reference>
                    ; [and]
                  </paratext>
                </para>
              </subclause2>
              <subclause2 id="a378307">
                <identifier>(c)</identifier>
                <para>
                  <paratext>
                    entry of the restriction against the title to the Property pursuant to 
                    <internal.reference refid="a508723">clause 3.3(b)</internal.reference>
                    [. 
                    <bold>OR</bold>
                     ; and]
                  </paratext>
                </para>
              </subclause2>
              <subclause2 id="a699665">
                <identifier>(d)</identifier>
                <para>
                  <paratext>
                    [the entry of any restriction against the title to the Property pursuant to 
                    <internal.reference refid="a488486">clause 3.3(c)</internal.reference>
                    ].
                  </paratext>
                </para>
                <drafting.note id="a636084" jurisdiction="">
                  <head align="left" preservecase="true">
                    <headtext>Buyer's costs</headtext>
                  </head>
                  <division id="a000048" level="1">
                    <para>
                      <paratext>
                        The Seller is obliged to pay the Buyer's costs of in relation to any Assignee Deed of Covenant and complying with 
                        <internal.reference refid="a167605">clause 3.3</internal.reference>
                        . The Buyer will be incurring costs as a result of the Seller's assignment and it is reasonable that the Seller should cover the Buyer's costs in these circumstances. The clause does not refer to 
                        <internal.reference refid="a590351">clause 3.3(a)(i)</internal.reference>
                         or 
                        <internal.reference refid="a476606">clause 3.3(a)(ii)</internal.reference>
                        . This is because those clauses require the Buyer not to object to an application to alter or cancel the restriction and the Buyer will not incur any costs by complying with that provision.
                      </paratext>
                    </para>
                  </division>
                </drafting.note>
              </subclause2>
            </subclause1>
          </clause>
          <clause id="a82484">
            <identifier>4.</identifier>
            <head align="left" preservecase="true">
              <headtext>Amount of Overage Payment</headtext>
            </head>
            <subclause1 id="a520418">
              <identifier>4.1</identifier>
              <para>
                <paratext>
                  If the parties agree the amount of an Overage Payment at any time after the relevant Trigger Date for that Overage Payment, the Buyer and the Seller shall immediately sign and date a memorandum recording the amount of that Overage Payment and the date of the memorandum shall be the date of agreement for the purposes of 
                  <internal.reference refid="a1032935">clause 2.2(b)</internal.reference>
                  .
                </paratext>
              </para>
              <drafting.note id="a359681" jurisdiction="">
                <head align="left" preservecase="true">
                  <headtext>Memorandum of agreement</headtext>
                </head>
                <division id="a000049" level="1">
                  <para>
                    <paratext>The memorandum:</paratext>
                  </para>
                  <list type="bulleted">
                    <list.item>
                      <para>
                        <paratext>Avoids there being any subsequent doubt as to the amount agreed between the parties.</paratext>
                      </para>
                    </list.item>
                    <list.item>
                      <para>
                        <paratext>Provides a fixed date from which the date for payment can be calculated.</paratext>
                      </para>
                    </list.item>
                  </list>
                </division>
              </drafting.note>
            </subclause1>
            <subclause1 id="a941034">
              <identifier>4.2</identifier>
              <para>
                <paratext>
                  If the Buyer and the Seller fail to agree on the amount of an Overage Payment within [NUMBER] [Working Days 
                  <bold>OR</bold>
                   weeks] from and including the relevant Trigger Date for that Overage Payment, either party may refer the matter for determination by an Independent Surveyor.
                </paratext>
              </para>
              <drafting.note id="a679209" jurisdiction="">
                <head align="left" preservecase="true">
                  <headtext>Appointment of Independent Surveyor</headtext>
                </head>
                <division id="a000050" level="1">
                  <para>
                    <paratext>
                      The parties should consider what will happen if they are unable to agree the amount of the Overage Payment. It is essential to provide for a mechanism dealing with this eventuality. 
                      <internal.reference refid="a941034">clause 4.2</internal.reference>
                       provides for expert determination.
                    </paratext>
                  </para>
                  <para>
                    <paratext>Expert determination is a binding, potentially inquisitorial, process that can offer an effective means of settling a technical issue or dispute between contracting parties. Expert determination is used as an alternative to the more formal procedures of arbitration, which are embodied in the Arbitration Act 1996 (AA 1996), or litigation. For more information, see:</paratext>
                  </para>
                  <list type="bulleted">
                    <list.item>
                      <para>
                        <paratext>
                          <link href="8-107-4185" style="ACTLinkPLCtoPLC">
                            <ital>Practice note, Expert determination</ital>
                          </link>
                          .
                        </paratext>
                      </para>
                    </list.item>
                    <list.item>
                      <para>
                        <paratext>
                          <link href="2-101-9050" style="ACTLinkPLCtoPLC">
                            <ital>Standard document, Terms of reference</ital>
                          </link>
                          .
                        </paratext>
                      </para>
                    </list.item>
                  </list>
                </division>
              </drafting.note>
            </subclause1>
            <subclause1 id="a702491">
              <identifier>4.3</identifier>
              <para>
                <paratext>The parties shall agree on the appointment of the Independent Surveyor and shall agree with the Independent Surveyor the terms of the appointment.</paratext>
              </para>
            </subclause1>
            <subclause1 id="a413605">
              <identifier>4.4</identifier>
              <para>
                <paratext>
                  If the parties are unable to agree on an Independent Surveyor or the terms of the appointment within [NUMBER] [Working Days 
                  <bold>OR</bold>
                   weeks] from and including the date on which the matter was referred for determination under 
                  <internal.reference refid="a941034">clause 4.2</internal.reference>
                  , either party shall then be entitled to request the President for the time being of the Royal Institution of Chartered Surveyors to appoint the Independent Surveyor and to agree with the Independent Surveyor the terms of the appointment.
                </paratext>
              </para>
            </subclause1>
            <subclause1 id="a345963">
              <identifier>4.5</identifier>
              <para>
                <paratext>The Independent Surveyor is required to prepare a written decision and give notice (including a written copy) of the decision on the amount of the Overage Payment to the parties within [20 Working Days] from and including the date of the Independent Surveyor's appointment.</paratext>
              </para>
            </subclause1>
            <subclause1 id="a979827">
              <identifier>4.6</identifier>
              <para>
                <paratext>If the Independent Surveyor dies or becomes unwilling or incapable of acting, or does not deliver the decision within the time required by this clause then:</paratext>
              </para>
              <subclause2 id="a681129">
                <identifier>(a)</identifier>
                <para>
                  <paratext>either party may apply to the President of the Royal Institution of Chartered Surveyors to discharge the Independent Surveyor and to appoint a replacement Independent Surveyor; and</paratext>
                </para>
              </subclause2>
              <subclause2 id="a410051">
                <identifier>(b)</identifier>
                <para>
                  <paratext>this clause shall apply to the new Independent Surveyor as if they were the first Independent Surveyor appointed.</paratext>
                </para>
              </subclause2>
            </subclause1>
            <subclause1 id="a586390">
              <identifier>4.7</identifier>
              <para>
                <paratext>The parties are entitled to make submissions to the Independent Surveyor [including oral submissions] and shall provide (or procure that others provide) the Independent Surveyor with such assistance and documents as the Independent Surveyor reasonably requires for the purpose of reaching a decision.</paratext>
              </para>
              <drafting.note id="a230740" jurisdiction="">
                <head align="left" preservecase="true">
                  <headtext>Parties' submissions</headtext>
                </head>
                <division id="a000051" level="1">
                  <para>
                    <paratext>
                      <internal.reference refid="a586390">clause 4.7</internal.reference>
                       is required because the Independent Surveyor is to act as an expert (see 
                      <internal.reference refid="a679209">Drafting note, Appointment of Independent Surveyor</internal.reference>
                      ). An expert's remit is entirely dependent on contractual provisions as there are no back-up rules of procedure and process.
                    </paratext>
                  </para>
                </division>
              </drafting.note>
            </subclause1>
            <subclause1 id="a517437">
              <identifier>4.8</identifier>
              <para>
                <paratext>The Independent Surveyor shall act as an expert and not as an arbitrator. The Independent Surveyor's written decision shall be final and binding on the parties in the absence of manifest error or fraud.</paratext>
              </para>
              <drafting.note id="a367426" jurisdiction="">
                <head align="left" preservecase="true">
                  <headtext>Decision final and binding</headtext>
                </head>
                <division id="a000052" level="1">
                  <para>
                    <paratext>
                      <internal.reference refid="a517437">clause 4.8</internal.reference>
                       is required because the Independent Surveyor is to act as an expert (see 
                      <internal.reference refid="a679209">Drafting note, Appointment of Independent Surveyor</internal.reference>
                      ). 
                      <internal.reference refid="a517437">clause 4.8</internal.reference>
                       would not be required if the Independent Surveyor acts as an arbitrator as there are rights of appeal against an arbitrator's decision under the 
                      <link href="8-508-2633" style="ACTLinkPLCtoPLC">
                        <ital>Arbitration Act 1996</ital>
                      </link>
                      .
                    </paratext>
                  </para>
                </division>
              </drafting.note>
            </subclause1>
            <subclause1 id="a707984">
              <identifier>4.9</identifier>
              <para>
                <paratext>The Buyer and the Seller agree to pay the Independent Surveyor's costs in the proportions determined by the Independent Surveyor within [NUMBER] Working Days from and including a demand for payment. If they are not so paid, the party against whom the costs were not awarded shall be entitled to pay the Independent Surveyor the sums due and recover the amount from the other party on demand.</paratext>
              </para>
              <drafting.note id="a431514" jurisdiction="">
                <head align="left" preservecase="true">
                  <headtext>Payment of costs</headtext>
                </head>
                <division id="a000053" level="1">
                  <para>
                    <paratext>
                      <internal.reference refid="a707984">clause 4.9</internal.reference>
                       leaves the Independent Surveyor to decide in what proportions the parties should pay the costs. However, it is open to the parties to specify in the document that they should be borne equally or in some other proportions.
                    </paratext>
                  </para>
                  <para>
                    <paratext>One party is expressly allowed to pay all of the costs if the other party defaults in paying their share. They may then seek to recover the payment from the defaulting party. This protects against the risk of a situation arising where the Independent Surveyor will not release the decision until the costs have been paid in full.</paratext>
                  </para>
                </division>
              </drafting.note>
            </subclause1>
            <subclause1 id="a452285">
              <identifier>4.10</identifier>
              <para>
                <paratext>
                  In default of agreement pursuant to 
                  <internal.reference refid="a520418">clause 4.1</internal.reference>
                  , the Overage Payment shall be the amount determined by the Independent Surveyor and the date of issue of the Independent Surveyor's written decision shall be taken as the date of determination for the purposes of 
                  <internal.reference refid="a1032935">clause 2.2(b)</internal.reference>
                  .
                </paratext>
              </para>
            </subclause1>
          </clause>
          <clause id="a676592">
            <identifier>5.</identifier>
            <head align="left" preservecase="true">
              <headtext>Disposals and restriction</headtext>
            </head>
            <subclause1 id="a738089">
              <identifier>5.1</identifier>
              <para>
                <paratext>The Buyer covenants with the Seller not to make any Disposal of the whole or any part or parts of the Property at any time during the Overage Period without first procuring that the person to whom that Disposal is being made has executed a Deed of Covenant.</paratext>
              </para>
              <drafting.note id="a428032" jurisdiction="">
                <head align="left" preservecase="true">
                  <headtext>No Disposal without Deed of Covenant</headtext>
                </head>
                <division id="a000054" level="1">
                  <para>
                    <paratext>The Buyer is not allowed to make a Disposal of the whole or any part or parts of the Property without first ensuring that the person to whom that Disposal is being made enters into similar covenants with the Seller.</paratext>
                  </para>
                  <para>
                    <paratext>
                      Without this protection, the Seller would be unable to enforce the overage obligations against the Buyer's successors in title. A covenant that requires expenditure of money is a positive covenant and the burden (the obligation to observe it) does not generally run with the land and bind successors in title. For more information, see 
                      <link href="1-506-8268" style="ACTLinkPLCtoPLC">
                        <ital>Practice note, Positive covenants in transfers: what to consider?</ital>
                      </link>
                      .
                    </paratext>
                  </para>
                  <para>
                    <paratext>
                      On its own, a personal contractual commitment is, therefore, generally inadequate from the Seller's point of view. The obligation is personal to the original parties and the Seller has no recourse to the land or the Buyer's successors in title. For more information on the use of personal obligations in overage, see 
                      <link href="4-200-2514#a831889" style="ACTLinkPLCtoPLC">
                        <ital>Practice note, Overage payments: Personal obligation</ital>
                      </link>
                      .
                    </paratext>
                  </para>
                  <para>
                    <paratext>By requiring that any disponee on a Disposal gives direct covenants to the Seller to comply with the overage provisions, the Seller will have the means to enforce the obligation to make overage payments against future landowners.</paratext>
                  </para>
                  <para>
                    <paratext>
                      This obligation applies on 
                      <bold>all</bold>
                       Disposals of the whole or any part or parts of the Property (not just Overage Disposals). For more information, see 
                      <internal.reference refid="a674414">Drafting note, Disposal</internal.reference>
                      .
                    </paratext>
                  </para>
                  <para>
                    <paratext>
                      The definition of Disposal excludes Permitted Disposals. This enables the Buyer to make certain disposals of the whole or part of the Property without being under an obligation to obtain a Deed of Covenant from the person to whom that disposal is being made. For more information, see 
                      <internal.reference refid="a249197">Drafting note, Permitted Disposal</internal.reference>
                      .
                    </paratext>
                  </para>
                </division>
              </drafting.note>
            </subclause1>
            <subclause1 id="a1022440">
              <identifier>5.2</identifier>
              <para>
                <paratext>[The Buyer consents to the entry of the following restriction against the Buyer's title to the Property at HM Land Registry following the registration of the transfer of the Property to the Buyer and shall provide the Seller with all necessary assistance and/or documentation to permit entry of the restriction:</paratext>
              </para>
              <para>
                <paratext>
                  <bold>OR</bold>
                </paratext>
              </para>
              <para>
                <paratext>The Buyer shall apply for the entry of the following restriction against the Buyer's title to the Property at HM Land Registry simultaneously with the registration of the transfer of the Property to the Buyer and shall procure that the restriction has priority to any mortgage or charge entered into by the Buyer:]</paratext>
              </para>
              <para>
                <paratext>
                  "No [disposition 
                  <ital>or specify type of disposition</ital>
                  ] of the registered estate [(other than a charge)] by the proprietor of the registered estate[, or by the proprietor of any registered charge, not being a charge registered before the entry of this restriction,] is to be registered without a written consent signed by [SELLER] of [ADDRESS] [or their personal representatives] [or [their conveyancer 
                  <ital>or specify appropriate details</ital>
                  ]]."
                </paratext>
              </para>
              <drafting.note id="a730591" jurisdiction="">
                <head align="left" preservecase="true">
                  <headtext>Entry of a restriction</headtext>
                </head>
                <division id="a000055" level="1">
                  <division id="a899506" level="2">
                    <head align="left" preservecase="true">
                      <headtext>Use of restrictions in overage scenarios</headtext>
                    </head>
                    <para>
                      <paratext>
                        The use of restrictions in relation to overage payments has not been expressly tested in the courts. However, in 
                        <link href="https://uk.practicallaw.thomsonreuters.com/D-006-8016?originationContext=document&amp;amp;transitionType=PLDocumentLink&amp;amp;contextData=(sc.Default)" style="ACTLinkURL">
                          <ital>Akasuc Enterprise Ltd v Farmar &amp; Shireff [2003] EWHC 1275 (Ch)</ital>
                        </link>
                        , at paragraph 87 Peter Smith J stated, obiter, that it was unlikely that the courts would strike down the statutory power to use such restrictions, given their widespread commercial use.
                      </paratext>
                    </para>
                    <para>
                      <paratext>
                        Also, paragraph 6.16 of 
                        <link href="https://uk.practicallaw.thomsonreuters.com/9-106-6726?originationContext=document&amp;amp;transitionType=DocumentItem&amp;amp;contextData=(sc.Default)" style="ACTLinkURL">
                          <ital>LR Practice Guide 19: Notices, restrictions and the protection of third party interests in the register</ital>
                        </link>
                         makes express reference to the use of restrictions in relation to overage payments.
                      </paratext>
                    </para>
                    <para>
                      <paratext>
                        Once a restriction has been entered on the register, no entry in respect of a disposition to which the restriction applies can be registered unless the entry complies with the terms of the restriction (
                        <link href="https://uk.practicallaw.thomsonreuters.com/7-508-4005?originationContext=document&amp;amp;transitionType=PLDocumentLink&amp;amp;contextData=(sc.Default)" style="ACTLinkURL">
                          <ital>section 41(1)</ital>
                        </link>
                        , LRA 2002).
                      </paratext>
                    </para>
                    <para>
                      <paratext>
                        The restriction should provide protection for the Seller even if the Buyer goes into liquidation or becomes bankrupt. For more information, see 
                        <link href="https://uk.practicallaw.thomsonreuters.com/1-516-9559?originationContext=document&amp;amp;transitionType=DocumentItem&amp;amp;contextData=(sc.Default)" style="ACTLinkURL">
                          <ital>Practice note, Liquidators disclaiming contracts containing overage</ital>
                        </link>
                        .
                      </paratext>
                    </para>
                  </division>
                  <division id="a185590" level="2">
                    <head align="left" preservecase="true">
                      <headtext>Use of a restriction where Buyer has a mortgagee</headtext>
                    </head>
                    <para>
                      <paratext>
                        If the Buyer is purchasing the Property with the assistance of a mortgage, the Seller must consider how to protect itself in relation to the mortgagee. For information on negotiating issues that may arise with mortgagees, see 
                        <internal.reference refid="a249197">Drafting note, Permitted Disposal</internal.reference>
                        .
                      </paratext>
                    </para>
                    <para>
                      <paratext>If the restriction is entered onto the register after the mortgage, on a sale by the mortgagee the Land Registry will cancel the restriction, without any further evidence or application, on the basis that the restriction protected an inferior interest. However, if the restriction is entered onto the register before the mortgage, a disposition by the mortgagee will be caught by the restriction: the purchaser from the mortgagee will have to give a Deed of Covenant to the Seller to comply with the restriction.</paratext>
                    </para>
                    <para>
                      <paratext>The standard document provides for two alternatives:</paratext>
                    </para>
                    <list type="bulleted">
                      <list.item>
                        <para>
                          <paratext>The Seller makes the application for entry of the restriction with the Buyer's consent and the Buyer provides assistance where necessary.</paratext>
                        </para>
                      </list.item>
                      <list.item>
                        <para>
                          <paratext>The Seller imposes an obligation on the Buyer to apply for the restriction and to procure that the restriction has priority to any mortgage or charge entered into by the Buyer. This alternative should be used where the Buyer is obtaining finance on the Property.</paratext>
                        </para>
                      </list.item>
                    </list>
                  </division>
                  <division id="a541637" level="2">
                    <head align="left" preservecase="true">
                      <headtext>Which form of restriction should be used?</headtext>
                    </head>
                    <para>
                      <paratext>The standard document uses the Land Registry's standard form N restriction. This provides the Seller with significant protection because any disponee of the Property cannot register its title until it has obtained the Seller’s consent.</paratext>
                    </para>
                    <para>
                      <paratext>
                        However, 
                        <link href="https://uk.practicallaw.thomsonreuters.com/9-106-6726?originationContext=document&amp;amp;transitionType=DocumentItem&amp;amp;contextData=(sc.Default)" style="ACTLinkURL">
                          <ital>LR Practice Guide 19: Notices, restrictions and the protection of third party interests in the register</ital>
                        </link>
                         does not specify that standard form N restriction must be used and other standard form restrictions may be used where appropriate. In particular, a standard form N restriction may not be acceptable to the Buyer. This is particularly likely to be the case if the parties have agreed a longer overage period than the five to 20 year period assumed by this standard document when, for example, there is a greater risk that the Seller could become harder to trace over time. Instead, a Buyer is likely to prefer a standard form L restriction which includes the option allowing a conveyancer to certify that the obligation to procure a Deed of Covenant executed by the disponee has been fulfilled. This avoids any potential problems of the Seller refusing to provide a consent as is necessary under a form N restriction or the Seller becoming untraceable over the passage of time.
                      </paratext>
                    </para>
                    <para>
                      <paratext>However, the Seller will have reservations about a standard form L restriction in these terms as the disponee or its conveyancer could fraudulently or mistakenly supply a certificate to HM Land Registry and title to the Property would be registered in the disponee's name without the necessary Deed of Covenant having been given.</paratext>
                    </para>
                    <para>
                      <paratext>
                        How this issue is resolved will depend on the relative bargaining strength of the parties but, if the Seller is not prepared to proceed on the basis of a standard form L restriction and instead insists on a standard form N restriction, the Buyer may have to rely on section 41(2) of the LRA 2002 if the Seller fails to issue the relevant consent despite the Buyer having complied with the obligations to procure an executed Deed of Covenant and deliver it to the Seller (see 
                        <internal.reference refid="a603180">Drafting note, What can be done if the Buyer complies with the obligation to procure a Deed of Covenant but the Seller does not provide its consent?</internal.reference>
                        ).
                      </paratext>
                    </para>
                  </division>
                  <division id="a603180" level="2">
                    <head align="left" preservecase="true">
                      <headtext>What can be done if the Buyer complies with the obligation to procure a Deed of Covenant but the Seller does not provide its consent?</headtext>
                    </head>
                    <para>
                      <paratext>Where a restriction is entered in the register, no entry in respect of a disposition to which the restriction applies may be made in the register otherwise than in accordance with the terms of the restriction. Therefore if the Seller fails to give the necessary consent despite receipt of the Deed of Covenant, the Land Registry will refuse to register the disposition.</paratext>
                    </para>
                    <para>
                      <paratext>In these circumstances, the disponee may:</paratext>
                    </para>
                    <list type="bulleted">
                      <list.item>
                        <para>
                          <paratext>
                            Apply for an order that the restriction is disapplied so that the disposition can be registered (
                            <link href="7-508-4005" style="ACTLinkPLCtoPLC">
                              <ital>section 41(2)</ital>
                            </link>
                            <ital>, LRA 2002 and </ital>
                            <link href="5-513-7651" style="ACTLinkPLCtoPLC">
                              <ital>Rule 96</ital>
                            </link>
                            <ital>, Land Registration Rules 2003</ital>
                            ).
                          </paratext>
                        </para>
                        <para>
                          <paratext>There is no doubt that the Land Registrar has power to exercise its discretion in cases where the Seller has become defunct, or cannot be found, or has been dissolved. However, if the Seller were traceable and was merely being recalcitrant, some commentators have expressed doubts as to whether the Land Registrar would exercise its discretion and grant an order under section 41(2) of the LRA 2002 in such circumstances.</paratext>
                        </para>
                        <para>
                          <paratext>Although not ideal because of the ensuing inconvenience, time and expense, the ability to obtain an order from the registrar under section 41(2) of the LRA 2002 may be a useful power in certain circumstances.</paratext>
                        </para>
                      </list.item>
                    </list>
                    <list type="bulleted">
                      <list.item>
                        <para>
                          <paratext>
                            Sue the Seller for specific performance of 
                            <internal.reference refid="a644548">clause 7(c)</internal.reference>
                            .
                          </paratext>
                        </para>
                      </list.item>
                    </list>
                    <para>
                      <paratext>Either is likely to cause delay and incur expense.</paratext>
                    </para>
                  </division>
                  <division id="a766450" level="2">
                    <head align="left" preservecase="true">
                      <headtext>Non-standard form restrictions</headtext>
                    </head>
                    <para>
                      <paratext>If the parties modify a Land Registry standard form restriction, care must be taken in case the modification results in it becoming a non-standard form that may not be accepted. If an application is made for a restriction that is not in one of the standard forms, the registrar may only approve the application if it appears to the registrar that both of the following apply:</paratext>
                    </para>
                    <list type="bulleted">
                      <list.item>
                        <para>
                          <paratext>The terms of the restriction are reasonable.</paratext>
                        </para>
                      </list.item>
                      <list.item>
                        <para>
                          <paratext>Applying the proposed restriction would be straightforward and would not place an unreasonable burden on the registrar.</paratext>
                        </para>
                      </list.item>
                    </list>
                    <para>
                      <paratext>
                        (
                        <link href="https://uk.practicallaw.thomsonreuters.com/1-508-4008?originationContext=document&amp;amp;transitionType=PLDocumentLink&amp;amp;contextData=(sc.Default)" style="ACTLinkURL">
                          <ital>Section 43(3)</ital>
                        </link>
                        <ital>, LRA 2002</ital>
                        .)
                      </paratext>
                    </para>
                    <para>
                      <paratext>It is important that any non-standard restriction is approved in advance by the Land Registry. Even if the parties are happy with the wording, the Land Registry may refuse to register it.</paratext>
                    </para>
                    <para>
                      <paratext>
                        For more information, see 
                        <link anchor="a875928" href="2-107-4621" style="ACTLinkPLCtoPLC">
                          <ital>Practice note, Protection of third party rights under the Land Registration Act 2002: Restrictions</ital>
                        </link>
                        .
                      </paratext>
                    </para>
                  </division>
                </division>
              </drafting.note>
            </subclause1>
          </clause>
          <clause id="a688628">
            <identifier>6.</identifier>
            <head align="left" preservecase="true">
              <headtext>Unlawful development</headtext>
            </head>
            <drafting.note id="a541252" jurisdiction="">
              <head align="left" preservecase="true">
                <headtext>Unlawful development</headtext>
              </head>
              <division id="a000056" level="1">
                <para>
                  <paratext>
                    This 
                    <internal.reference refid="a688628">clause 6</internal.reference>
                     aims to protect the Seller against the Buyer trying to circumvent the overage provisions in the deed by carrying out Development in breach of the obligation under the TCPA 1990 to obtain an express grant of planning permission and relying instead on acquiring immunity from planning enforcement by the expiry of the time limit for planning enforcement action. Planning enforcement action must, in general, be taken within either four or ten years, depending on the nature of the breach (
                    <ital>section 171B, TCPA 1990</ital>
                    ). For more information, see 
                    <link href="2-385-4981" style="ACTLinkPLCtoPLC">
                      <ital>Practice note, Immunity from planning enforcement action</ital>
                    </link>
                    .
                  </paratext>
                </para>
                <para>
                  <paratext>The Seller will want to include an obligation on the Buyer to comply with planning legislation and obtain any necessary express planning permission that is needed for the carrying out of any Development on the Property. This may make it more difficult for the Buyer to avoid the overage provisions (or at least make the Buyer contractually liable for damages if it breaches the obligation). However, an issue for the Seller will be how to monitor whether any unlawful development has taken place during the Overage Period.</paratext>
                </para>
                <para>
                  <paratext>
                    Irrespective of whether the overage agreement contains an obligation such as this 
                    <internal.reference refid="a688628">clause 6</internal.reference>
                    , if the Seller does become aware that the Buyer has carried out any Development in breach of this 
                    <internal.reference refid="a688628">clause 6</internal.reference>
                    , the Seller could report the breach to the LPA. The LPA have the power to take enforcement action (although this power is discretionary, see 
                    <link href="1-385-4972" style="ACTLinkPLCtoPLC">
                      <ital>Practice note, Breach of planning control: an overview</ital>
                    </link>
                    ). The LPA could serve an enforcement notice or request that a retrospective planning application for the Development is submitted.
                  </paratext>
                </para>
                <para>
                  <paratext>
                    A request for a retrospective planning application is likely if the LPA consider that planning permission would be granted. If the LPA do not think that permission is likely to be granted, the LPA is likely to serve an enforcement notice which could be appealed. One of the possible grounds for appeal is that planning permission should be granted (see 
                    <link href="8-385-4978" style="ACTLinkPLCtoPLC">
                      <ital>Practice note, Breach of planning control: planning enforcement notices</ital>
                    </link>
                    ). In those circumstances, the Planning Inspectorate could grant the planning permission.
                  </paratext>
                </para>
                <para>
                  <paratext>
                    The optional wording chosen in this 
                    <internal.reference refid="a688628">clause 6</internal.reference>
                     should match the optional wording chosen in the definition of Planning Permission. For more information, see 
                    <internal.reference refid="a108220">Drafting note, Planning Permission</internal.reference>
                    .
                  </paratext>
                </para>
              </division>
            </drafting.note>
            <subclause1 id="a937947">
              <para>
                <paratext>The Buyer covenants with the Seller that, before carrying out any Development during the Overage Period, the Buyer shall comply with the requirements of the TCPA 1990 to apply for and obtain any of the following by way of a grant by a Determining Authority that may be required for that Development:</paratext>
              </para>
              <subclause2 id="a366825">
                <identifier>(a)</identifier>
                <para>
                  <paratext>an outline planning permission; [or]</paratext>
                </para>
              </subclause2>
              <subclause2 id="a713385">
                <identifier>(b)</identifier>
                <para>
                  <paratext>a detailed planning permission; [or]</paratext>
                </para>
              </subclause2>
              <subclause2 id="a768062">
                <identifier>(c)</identifier>
                <para>
                  <paratext>
                    [a technical details consent[. 
                    <bold>OR</bold>
                     ;]
                  </paratext>
                </para>
              </subclause2>
              <para>
                <paratext>
                  [[including 
                  <bold>OR</bold>
                   excluding] a planning permission issued pursuant to an application under section 73 of the TCPA 1990.]
                </paratext>
              </para>
            </subclause1>
          </clause>
          <clause id="a434967">
            <identifier>7.</identifier>
            <head align="left" preservecase="true">
              <headtext>Seller's obligations</headtext>
            </head>
            <drafting.note id="a965580" jurisdiction="">
              <head align="left" preservecase="true">
                <headtext>Seller's obligations</headtext>
              </head>
              <division id="a000057" level="1">
                <para>
                  <paratext>The Buyer will want certain obligations on the Seller in view of the fact that there will be a restriction registered against its title prohibiting it from freely disposing of its interest in the Property. It may also wish to amend the document to protect it further in the event that the Seller does not for any reason comply with its obligations.</paratext>
                </para>
                <para>
                  <paratext>
                    The Buyer might be able to apply for the cancellation of the restriction under 
                    <link href="7-513-8112" style="ACTLinkPLCtoPLC">
                      <ital>rule 97</ital>
                    </link>
                     of the Land Registration Rules 2003 (
                    <ital>SI 2003/417</ital>
                    ), if it can demonstrate to the Land Registry that the restriction is no longer required. For more information, see 
                    <link href="2-107-4621#a1027238" style="ACTLinkPLCtoPLC">
                      <ital>Practice note, Protection of third party rights under the Land Registration Act 2002: Cancellation of a restriction</ital>
                    </link>
                    .
                  </paratext>
                </para>
                <division id="a734719" level="2">
                  <head align="left" preservecase="true">
                    <headtext>Release of the Buyer</headtext>
                  </head>
                  <para>
                    <paratext>
                      In addition to the obligations set out in 
                      <internal.reference refid="a434967">clause 7</internal.reference>
                      , the Buyer may also seek a covenant from the Seller to release the Buyer personally from the overage obligations on a Disposal of the Property. This is a matter for negotiation between the parties but the Seller is likely to insist on the following minimum pre-conditions:
                    </paratext>
                  </para>
                  <list type="bulleted">
                    <list.item>
                      <para>
                        <paratext>The Buyer is disposing of the freehold of the whole of the Property.</paratext>
                      </para>
                    </list.item>
                    <list.item>
                      <para>
                        <paratext>The new owner has entered into a Deed of Covenant with the Seller.</paratext>
                      </para>
                    </list.item>
                    <list.item>
                      <para>
                        <paratext>The Buyer has complied with all its other obligations in relation to the overage provisions.</paratext>
                      </para>
                    </list.item>
                  </list>
                  <para>
                    <paratext>A personal release is the preferable option from the Buyer's perspective. However, if the Buyer is unable to negotiate a personal release, it would have to seek and rely on indemnity covenants from the new owner.</paratext>
                  </para>
                </division>
              </division>
            </drafting.note>
            <subclause1 id="a462966">
              <para>
                <paratext>The Seller covenants with the Buyer that the Seller shall:</paratext>
              </para>
              <subclause2 id="a724533">
                <identifier>(a)</identifier>
                <para>
                  <paratext>provide Satisfactory Consent for the registration of a Permitted Disposal of the whole or any part or parts of the Property at HM Land Registry immediately on receipt of a written request from the Buyer;</paratext>
                </para>
                <drafting.note id="a346063" jurisdiction="">
                  <head align="left" preservecase="true">
                    <headtext>Written consent for Permitted Disposal</headtext>
                  </head>
                  <division id="a000058" level="1">
                    <para>
                      <paratext>The Buyer is allowed to make Permitted Disposals of the whole or any part or parts of the Property without the need for a Deed of Covenant. Therefore, the Buyer will want the Seller to provide a written consent for the Land Registry in accordance with the terms of the restriction.</paratext>
                    </para>
                  </division>
                </drafting.note>
              </subclause2>
              <subclause2 id="a860024">
                <identifier>(b)</identifier>
                <para>
                  <paratext>
                    following a Permitted Disposal, if reasonably required by the Buyer in order to ensure that the same restriction (or a new restriction in the same terms) as the restriction referred to in 
                    <internal.reference refid="a1022440">clause 5.2</internal.reference>
                     is not entered against the registered title to the Property (or relevant part of the Property in the case of the Permitted Disposal of part of the Property) once the disponee under that Permitted Disposal is registered as the registered proprietor of that title:
                  </paratext>
                </para>
                <subclause3 id="a211861">
                  <identifier>(i)</identifier>
                  <para>
                    <paratext>not object to an application by the Buyer or that disponee to cancel that restriction in relation to the Property (or part of the Property) disposed of under that Permitted Disposal; or</paratext>
                  </para>
                </subclause3>
                <subclause3 id="a459074">
                  <identifier>(ii)</identifier>
                  <para>
                    <paratext>in relation to any application by the Buyer or that disponee to withdraw that restriction, provide immediately on receipt of a written request from the Buyer or that disponee a consent to that withdrawal in accordance with the requirements of HM Land Registry from time to time;</paratext>
                  </para>
                  <drafting.note id="a459868" jurisdiction="">
                    <head align="left" preservecase="true">
                      <headtext>Land Registry may carry forward the restriction on to the disponee’s title following a Permitted Disposal</headtext>
                    </head>
                    <division id="a000059" level="1">
                      <para>
                        <paratext>
                          Paragraph 9 of 
                          <link href="3-106-6994" style="ACTLinkPLCtoPLC">
                            <ital>Land Registry Practice Guide 41, Supplement 4: Developing estates: registration services: plot sales: transfers and leases (practice guide 41, supplement 4)</ital>
                          </link>
                           states that:
                        </paratext>
                      </para>
                      <display.quote>
                        <para>
                          <paratext>
                            "Once entered, a restriction remains in the register until it is cancelled or withdrawn. This means that when registering a transfer of part any restriction appearing in the parent title will 
                            <bold>normally</bold>
                             be carried forward to the transferee’s title unless the restriction is cancelled or withdrawn so far as it affects the land transferred using form RX3 or form RX4" (emphasis added).
                          </paratext>
                        </para>
                      </display.quote>
                      <para>
                        <paratext>
                          Paragraph 3.7.1 of 
                          <link href="9-106-6726" style="ACTLinkPLCtoPLC">
                            <ital>Land Registry Practice guide 19: notices, restrictions and the protection of third party interests in the register</ital>
                          </link>
                           states that:
                        </paratext>
                      </para>
                      <display.quote>
                        <para>
                          <paratext>"Depending on its terms, a restriction may continue to have effect despite numerous changes of proprietorship, other dispositions and the lapse of time.</paratext>
                        </para>
                      </display.quote>
                      <display.quote>
                        <para>
                          <paratext>Someone intending to take a disposition of an estate or charge against which a restriction has been registered should therefore consider whether:</paratext>
                        </para>
                      </display.quote>
                      <display.quote>
                        <para>
                          <paratext>•the disposition will be affected by the restriction and, if so, whether they can comply with its terms</paratext>
                        </para>
                      </display.quote>
                      <display.quote>
                        <para>
                          <paratext>•the restriction may affect any later disposition they may wish to make</paratext>
                        </para>
                      </display.quote>
                      <display.quote>
                        <para>
                          <paratext>In appropriate circumstances they should take steps to ensure the restriction will be cancelled or withdrawn before committing themselves to complete the disposition."</paratext>
                        </para>
                      </display.quote>
                      <para>
                        <paratext>
                          Therefore, it is possible that the Land Registry will carry forward the restriction protecting the obligation to provide a Deed of Covenant on to the disponee’s title following a Permitted Disposal. In this document, it is intended that the disponee under a Permitted Disposal will take free of the overage obligations and will not have to obtain a Deed of Covenant if it makes a subsequent disposal. Accordingly, the restriction should not be carried forward on to the disponee’s title. To guard against this risk, the Buyer will want to include the obligations on the Seller at 
                          <internal.reference refid="a860024">clause 7(b)</internal.reference>
                          :
                        </paratext>
                      </para>
                      <list type="bulleted">
                        <list.item>
                          <para>
                            <paratext>
                              Not to object to an application to cancel the restriction. An application to cancel a restriction must be made on 
                              <link href="4-106-6696" style="ACTLinkPLCtoPLC">
                                <ital>Form RX3: Application to cancel a restriction</ital>
                              </link>
                              . If the restriction refers to a person, the Land Registry will normally notify them of the application and give them an opportunity to object to the proposed cancellation. If the registrar is satisfied the restriction is obsolete, the restriction must be cancelled (
                              <link href="7-513-8112" style="ACTLinkPLCtoPLC">
                                <ital>rule 97</ital>
                              </link>
                              , 
                              <ital>Land Registration Rules 2003</ital>
                               (LRR 2003)). For more information, see 
                              <link anchor="a1027238" href="2-107-4621" style="ACTLinkPLCtoPLC">
                                <ital>Practice note, Protection of third party rights under the Land Registration Act 2002: Cancellation of a restriction</ital>
                              </link>
                              .
                            </paratext>
                          </para>
                        </list.item>
                        <list.item>
                          <para>
                            <paratext>
                              In relation to an application to withdraw that restriction, to provide a consent to the withdrawal in accordance with Land Registry requirements immediately on receipt of a written request. An application can be made for the withdrawal of a restriction (
                              <ital>rule 98, LRR 2003</ital>
                              ). However, the application must be accompanied by the consent of everyone with the benefit of the restriction. The application must be made on 
                              <link href="9-106-6953" style="ACTLinkPLCtoPLC">
                                <ital>Form RX4: Application to withdraw a restriction</ital>
                              </link>
                              . For more information, see 
                              <link anchor="a76600" href="2-107-4621" style="ACTLinkPLCtoPLC">
                                <ital>Practice note, Protection of third party rights under the Land Registration Act 2002: Withdrawal of a restriction</ital>
                              </link>
                              .
                            </paratext>
                          </para>
                        </list.item>
                      </list>
                      <para>
                        <paratext>
                          If the parties do intend the restriction to be carried forward on to the disponee’s title following a Permitted Disposal, then this document must be amended accordingly throughout and, in particular, 
                          <internal.reference refid="a860024">clause 7(b)</internal.reference>
                           should be deleted.
                        </paratext>
                      </para>
                    </division>
                  </drafting.note>
                </subclause3>
              </subclause2>
              <subclause2 id="a644548">
                <identifier>(c)</identifier>
                <para>
                  <paratext>provide Satisfactory Consent for the registration of a Disposal of the whole or any part or parts of the Property at HM Land Registry immediately on receipt of a Deed of Covenant properly executed by the person to whom that Disposal is being made [provided that there are then no outstanding sums due from the Buyer under the terms of this deed]; and</paratext>
                </para>
                <drafting.note id="a239250" jurisdiction="">
                  <head align="left" preservecase="true">
                    <headtext>Written consent on receipt of a Deed of Covenant</headtext>
                  </head>
                  <division id="a000060" level="1">
                    <para>
                      <paratext>The Seller should be required to provide written consent for the Land Registry to a Disposal of the whole or any part or parts of the Property once a properly executed Deed of Covenant has been delivered to it by the person to whom that Disposal is being made. The Seller may wish to have a further pre-condition that the Buyer is not in breach of any of its overage obligations to cover the possibility that an Overage Payment may have become due but has not yet been paid by the Buyer.</paratext>
                    </para>
                  </division>
                </drafting.note>
              </subclause2>
              <subclause2 id="a834221">
                <identifier>(d)</identifier>
                <para>
                  <paratext>
                    apply for the withdrawal of the restriction entered against the title to the Property pursuant to 
                    <internal.reference refid="a1022440">clause 5.2</internal.reference>
                     [within [NUMBER] Working Days after the Overage Period Expiry Date 
                    <bold>OR</bold>
                     :
                  </paratext>
                </para>
                <subclause3 id="a536191">
                  <identifier>(i)</identifier>
                  <para>
                    <paratext>within [NUMBER] Working Days after the Overage Period Expiry Date if at the Overage Period Expiry Date there are no outstanding sums due from the Buyer under the terms of this deed; or</paratext>
                  </para>
                </subclause3>
                <subclause3 id="a859862">
                  <identifier>(ii)</identifier>
                  <para>
                    <paratext>within [NUMBER] Working Days after the date on which the Seller receives in cleared funds any sums due from the Buyer under the terms of this deed which are outstanding at the Overage Period Expiry Date].</paratext>
                  </para>
                  <drafting.note id="a277930" jurisdiction="">
                    <head align="left" preservecase="true">
                      <headtext>Withdrawal of restriction</headtext>
                    </head>
                    <division id="a000061" level="1">
                      <para>
                        <paratext>
                          <internal.reference refid="a834221">clause 7(d)</internal.reference>
                           contains optional wording governing the timing of the seller’s obligation to withdraw the restriction after the end of the overage period. Choose:
                        </paratext>
                      </para>
                      <list type="bulleted">
                        <list.item>
                          <para>
                            <paratext>
                              <bold>The first option</bold>
                               if the seller’s obligation to withdraw the restriction at the end of the overage period is not conditional on the buyer having paid all outstanding sums due under the overage agreement.
                            </paratext>
                          </para>
                        </list.item>
                        <list.item>
                          <para>
                            <paratext>
                              <bold>The second option</bold>
                               if the seller’s obligation to withdraw the restriction at the end of the overage period is conditional on the buyer having paid all outstanding sums due under the overage agreement.
                            </paratext>
                          </para>
                        </list.item>
                      </list>
                      <para>
                        <paratext>
                          The seller will want to include the second option. Retaining the restriction after the end of the overage period if there are outstanding overage payments would enable the seller to prevent registration of a disposition to a disponee until the buyer has paid all outstanding sums. The seller will want the strongest weapons available to protect the overage. In 
                          <link href="https://uk.practicallaw.thomsonreuters.com/D-108-8131?originationContext=document&amp;amp;transitionType=PLDocumentLink&amp;amp;contextData=(sc.Default)&amp;amp;ppcid=4f9a07fef75649a6b80614eb7450f91d&amp;amp;comp=pluk" style="ACTLinkURL">
                            <ital>Carlton Vale Ltd v Gapper [2023] UKUT 141</ital>
                          </link>
                          <ital>, </ital>
                          the Upper Tribunal (Lands Chamber) decided that, as a matter of construction of the particular overage agreement, the restriction should be released following the end of the overage period even though there was an unpaid overage payment at that date. This meant that the beneficiary of the overage no longer had a powerful method of control over the property which was the subject of the overage agreement.
                        </paratext>
                      </para>
                      <para>
                        <paratext>However, the buyer will want to include the first option on the basis that the purpose of the restriction is not to secure the obligation to pay overage itself. The purpose of the restriction is to secure the buyer’s obligation to procure a deed of covenant from a disponee on a disposal during the overage period. The obligation to pay overage is a personal contractual obligation that will not pass automatically to a successor in title of the buyer. The obligation to pay overage is not a proprietary interest. As it is not an interest in land, it cannot be protected by an entry on the register.</paratext>
                      </para>
                      <para>
                        <paratext>At the end of the overage period, the buyer’s obligation to procure a deed of covenant no longer applies. Accordingly, the buyer will argue that the restriction should be removed irrespective of any outstanding overage payments. Otherwise, the seller will be using the restriction mechanism to protect an obligation which it was not designed to protect.</paratext>
                      </para>
                      <para>
                        <paratext>For example, if the buyer disposes of the property after the overage period but, at that point, there is an outstanding overage payment, the buyer will not be obliged to procure a deed of covenant from the disponee and the disponee will not be obliged to pay overage because the overage period has ended. However, there could be a bona fide dispute between the seller and buyer as to whether an overage payment is, in fact, due or, if it is due, the amount of that overage payment. That dispute could take a long time to resolve and throughout that period the disponee would be unable to be registered (and so would not have legal title) because the seller is not obliged is not obliged to withdraw the restriction even though the overage period has ended. The seller still has the benefit of the buyer’s contractual obligation to pay in the original overage agreement (or it will have the benefit of the obligation to pay contained in a deed of covenant from any successor in title to the buyer entered into during the overage period) which the seller can pursue. The buyer will argue that, to have the right to effectively block any registration after the overage period, is a power in excess of the seller’s entitlement given that the purpose of the restriction is to protect the obligation to procure a deed of covenant on a disposal during the overage period, not the obligation to pay.</paratext>
                      </para>
                      <para>
                        <paratext>This issue will be a matter for negotiation between the parties and how it is resolved will depend on the relative bargaining strength of the parties.</paratext>
                      </para>
                      <para>
                        <paratext>
                          For more information on the withdrawal of restrictions, see 
                          <link href="2-107-4621#a76600" style="ACTLinkPLCtoPLC">
                            <ital>Practice note, Protection of third party rights under the Land Registration Act 2002: Withdrawal of a restriction</ital>
                          </link>
                          .
                        </paratext>
                      </para>
                    </division>
                  </drafting.note>
                </subclause3>
              </subclause2>
            </subclause1>
          </clause>
          <clause id="a923433">
            <identifier>8.</identifier>
            <head align="left" preservecase="true">
              <headtext>Seller's costs</headtext>
            </head>
            <drafting.note id="a563735" jurisdiction="">
              <head align="left" preservecase="true">
                <headtext>Seller's costs</headtext>
              </head>
              <division id="a000062" level="1">
                <para>
                  <paratext>The Seller may require the Buyer to pay, or contribute to, the Seller's legal and surveyor's costs in connection with the operation of the overage provisions.</paratext>
                </para>
                <para>
                  <paratext>
                    <internal.reference refid="a923433">clause 8</internal.reference>
                     provides for the Buyer to pay all the Seller's legal (and/or surveyor's) costs on a full indemnity basis (or limited to reasonable costs). It should be amended appropriately to reflect what has been agreed between the parties.
                  </paratext>
                </para>
                <para>
                  <paratext>The basic principle is that the services supplied by the Seller's conveyancer are supplied to the Seller and not to the Buyer even if the Buyer is ultimately bearing the Seller's legal costs. Even where a conveyancer acting for a Seller knows that its costs are ultimately to be borne by the Buyer, the conveyancer's invoice should nevertheless be submitted and addressed to the Seller.</paratext>
                </para>
                <para>
                  <paratext>In quantifying the amount of the indemnity payment required from the Buyer, it is necessary to consider whether or not the Seller will be able to recover the input tax incurred on its conveyancer's costs.</paratext>
                </para>
              </division>
            </drafting.note>
            <subclause1 id="a592312">
              <para>
                <paratext>The Buyer covenants with the Seller that it shall pay the Seller's [reasonable] legal [and surveyor's] costs and disbursements [on a full indemnity basis including any irrecoverable VAT] incurred in connection with:</paratext>
              </para>
              <subclause2 id="a647993">
                <identifier>(a)</identifier>
                <para>
                  <paratext>each Deed of Covenant;</paratext>
                </para>
              </subclause2>
              <subclause2 id="a402322">
                <identifier>(b)</identifier>
                <para>
                  <paratext>
                    the entry and withdrawal of each restriction against the title to the Property except for any entry or withdrawal of any restriction pursuant to 
                    <internal.reference refid="a167605">clause 3.3</internal.reference>
                    ; and
                  </paratext>
                </para>
              </subclause2>
              <subclause2 id="a139335">
                <identifier>(c)</identifier>
                <para>
                  <paratext>the Seller granting written consent to each Permitted Disposal or Disposal of the whole or any part or parts of the Property.</paratext>
                </para>
              </subclause2>
            </subclause1>
          </clause>
          <clause id="a92564">
            <identifier>9.</identifier>
            <head align="left" preservecase="true">
              <headtext>VAT</headtext>
            </head>
            <drafting.note id="a260613" jurisdiction="">
              <head align="left" preservecase="true">
                <headtext>VAT</headtext>
              </head>
              <division id="a000063" level="1">
                <para>
                  <paratext>The normal rules for determining the VAT liability of the property sale apply. For more information, see Practice notes:</paratext>
                </para>
                <list type="bulleted">
                  <list.item>
                    <para>
                      <paratext>
                        <link href="1-107-4240" style="ACTLinkPLCtoPLC">
                          <ital>VAT and property: an outline of the rules</ital>
                        </link>
                        .
                      </paratext>
                    </para>
                  </list.item>
                  <list.item>
                    <para>
                      <paratext>
                        <link href="8-508-0101" style="ACTLinkPLCtoPLC">
                          <ital>The option to tax: overview</ital>
                        </link>
                        .
                      </paratext>
                    </para>
                  </list.item>
                </list>
                <para>
                  <paratext>
                    However, if the amount of overage is not known at completion (as will typically be the case), there are special rules that apply to determine when the VAT is payable. Additionally, the VAT liability of the overage payments will often be determined at the time that the payment is made. This can mean that the VAT liability is different from the VAT liability of the original land supply. For information on how VAT applies to overage payments, see 
                    <link href="0-611-3326#a853640" style="ACTLinkPLCtoPLC">
                      <ital>Practice note, Overage payments: tax: Value added tax</ital>
                    </link>
                    .
                  </paratext>
                </para>
              </division>
            </drafting.note>
            <subclause1 id="a334189">
              <identifier>9.1</identifier>
              <para>
                <paratext>Each amount stated to be payable by the Buyer to the Seller under or pursuant to this deed is exclusive of VAT (if any).</paratext>
              </para>
            </subclause1>
            <subclause1 id="a609313">
              <identifier>9.2</identifier>
              <para>
                <paratext>If any VAT is chargeable on any supply made by the Seller under or pursuant to this deed, the Buyer shall on receipt of a valid VAT invoice, pay the Seller an amount equal to that VAT.</paratext>
              </para>
            </subclause1>
          </clause>
          <clause id="a548140">
            <identifier>10.</identifier>
            <head align="left" preservecase="true">
              <headtext>Notices</headtext>
            </head>
            <drafting.note id="a361988" jurisdiction="">
              <head align="left" preservecase="true">
                <headtext>Notices</headtext>
              </head>
              <division id="a000064" level="1">
                <para>
                  <paratext>
                    Insert the parties' details for service in 
                    <internal.reference refid="a471090">clause 10.3</internal.reference>
                    . When specifying the person for whose attention the notice should be marked, the potential for personnel changes means that it is better to specify a position, such as company secretary or managing director, rather than an individual name. This is particularly important if the Overage Period is lengthy, or the person to be served might be a successor in title to an original party.
                  </paratext>
                </para>
                <para>
                  <paratext>
                    As the definition of Seller includes personal representatives, heirs and permitted assigns and the definition of Buyer includes successors in title (see 
                    <internal.reference refid="a829163">clause 1.12</internal.reference>
                    ), this clause must provide for the situation where notices are served on, or by, the Seller's personal representatives, heirs and permitted assigns or the Buyer's successors in title and not just the original party.
                  </paratext>
                </para>
                <para>
                  <paratext>
                    It is advisable to state expressly in the agreement whether or not service by email is allowed. If it is permitted, include assumptions about deemed service. This clause is drafted on the assumption that the parties do not intend notices to be served by email. If the document is amended to permit service by email, the parties should also amend inconsistent provisions in the document that exclude anything sent by email from being considered to be in writing (such as, the interpretation provisions (see 
                    <internal.reference refid="a400057">clause 1.11</internal.reference>
                    ) and the entire agreement clause). For information on the issues to consider in relation to service by email, see 
                    <link href="3-107-3843" style="ACTLinkPLCtoPLC">
                      <ital>Practice note, Notice clauses</ital>
                    </link>
                    .
                  </paratext>
                </para>
              </division>
            </drafting.note>
            <subclause1 id="a442783">
              <identifier>10.1</identifier>
              <para>
                <paratext>Any notice given under this deed must be in writing [and signed by or on behalf of the party giving it].</paratext>
              </para>
            </subclause1>
            <subclause1 id="a296656">
              <identifier>10.2</identifier>
              <para>
                <paratext>Any notice or document to be given or delivered under this deed must be:</paratext>
              </para>
              <subclause2 id="a510845">
                <identifier>(a)</identifier>
                <para>
                  <paratext>delivered by hand; [or]</paratext>
                </para>
              </subclause2>
              <subclause2 id="a710832">
                <identifier>(b)</identifier>
                <para>
                  <paratext>
                    sent by pre-paid first class post or other next Working Day delivery service[. 
                    <bold>OR</bold>
                     ; or]
                  </paratext>
                </para>
              </subclause2>
              <subclause2 id="a295701">
                <identifier>(c)</identifier>
                <para>
                  <paratext>[sent by fax.]</paratext>
                </para>
              </subclause2>
            </subclause1>
            <subclause1 id="a471090">
              <identifier>10.3</identifier>
              <para>
                <paratext>Any notice or document to be given or delivered under this deed must be sent to the relevant party as follows:</paratext>
              </para>
              <subclause2 id="a150335">
                <identifier>(a)</identifier>
                <para>
                  <paratext>to the Seller at:</paratext>
                </para>
                <para>
                  <paratext>[ADDRESS]</paratext>
                </para>
                <para>
                  <paratext>[Fax: [FAX NUMBER]]</paratext>
                </para>
                <para>
                  <paratext>marked for the attention of [NAME/POSITION];</paratext>
                </para>
              </subclause2>
              <subclause2 id="a762882">
                <identifier>(b)</identifier>
                <para>
                  <paratext>to the Buyer at:</paratext>
                </para>
                <para>
                  <paratext>[ADDRESS]</paratext>
                </para>
                <para>
                  <paratext>[Fax: [FAX NUMBER]]</paratext>
                </para>
                <para>
                  <paratext>marked for the attention of [NAME/POSITION]</paratext>
                </para>
              </subclause2>
              <para>
                <paratext>or as otherwise specified by the relevant party by notice in writing to the other party.</paratext>
              </para>
            </subclause1>
            <subclause1 id="a538992">
              <identifier>10.4</identifier>
              <para>
                <paratext>
                  Any change of the details in 
                  <internal.reference refid="a471090">clause 10.3</internal.reference>
                   specified by the relevant party by notice in writing to the other party will take effect for the party notified of the change at [9.00 am] on the later of:
                </paratext>
              </para>
              <subclause2 id="a733169">
                <identifier>(a)</identifier>
                <para>
                  <paratext>the date, if any, specified in the notice as the effective date for the change; or</paratext>
                </para>
              </subclause2>
              <subclause2 id="a873254">
                <identifier>(b)</identifier>
                <para>
                  <paratext>the date [five] Working Days after deemed receipt of the notice.</paratext>
                </para>
              </subclause2>
            </subclause1>
            <subclause1 id="a639472">
              <identifier>10.5</identifier>
              <para>
                <paratext>
                  Any notice or document given or delivered in accordance with 
                  <internal.reference refid="a442783">clause 10.1</internal.reference>
                  , 
                  <internal.reference refid="a296656">clause 10.2</internal.reference>
                   and 
                  <internal.reference refid="a471090">clause 10.3</internal.reference>
                   will be deemed to have been received:
                </paratext>
              </para>
              <subclause2 id="a722180">
                <identifier>(a)</identifier>
                <para>
                  <paratext>if delivered by hand, on signature of a delivery receipt [or at the time the notice or document is left at the address] provided that if delivery occurs before 9.00 am on a Working Day, the notice will be deemed to have been received at 9.00 am on that day, and if delivery occurs after 5.00 pm on a Working Day, or on a day which is not a Working Day, the notice will be deemed to have been received at 9.00 am on the next Working Day; [or]</paratext>
                </para>
              </subclause2>
              <subclause2 id="a131230">
                <identifier>(b)</identifier>
                <para>
                  <paratext>
                    if sent by pre-paid first class post or other next Working Day delivery service, at [9.00 am] on the [second] Working Day after posting[. 
                    <bold>OR</bold>
                     ; or]
                  </paratext>
                </para>
              </subclause2>
              <subclause2 id="a605000">
                <identifier>(c)</identifier>
                <para>
                  <paratext>[if sent by fax, at the time of transmission provided that if transmission occurs before 9.00 am on a Working Day, the notice or document will be deemed to have been received at 9.00 am on that day, and if transmission occurs after 5.00 pm on a Working Day, or on a day which is not a Working Day, the notice will be deemed to have been received at 9.00 am on the next Working Day.]</paratext>
                </para>
              </subclause2>
            </subclause1>
            <subclause1 id="a896653">
              <identifier>10.6</identifier>
              <para>
                <paratext>In proving delivery of a notice or document, it will be sufficient to prove that:</paratext>
              </para>
              <subclause2 id="a268486">
                <identifier>(a)</identifier>
                <para>
                  <paratext>a delivery receipt was signed [or that the notice or document was left at the address]; [or]</paratext>
                </para>
              </subclause2>
              <subclause2 id="a324980">
                <identifier>(b)</identifier>
                <para>
                  <paratext>
                    the envelope containing the notice or document was properly addressed and posted by pre-paid first class post or other next Working Day delivery service[. 
                    <bold>OR</bold>
                     ; or]
                  </paratext>
                </para>
              </subclause2>
              <subclause2 id="a644125">
                <identifier>(c)</identifier>
                <para>
                  <paratext>[the fax was properly addressed and transmitted.]</paratext>
                </para>
              </subclause2>
            </subclause1>
            <subclause1 id="a484525">
              <identifier>10.7</identifier>
              <para>
                <paratext>A notice given or document delivered under this deed will not be validly given or delivered if sent by email.</paratext>
              </para>
            </subclause1>
            <subclause1 id="a840071">
              <identifier>10.8</identifier>
              <para>
                <paratext>
                  This 
                  <internal.reference refid="a548140">clause 10</internal.reference>
                   does not apply to the service of any proceedings or other documents in any legal action or, where applicable, any arbitration or other method of dispute resolution.
                </paratext>
              </para>
            </subclause1>
          </clause>
          <clause id="a382679">
            <identifier>11.</identifier>
            <head align="left" preservecase="true">
              <headtext>Third party rights</headtext>
            </head>
            <drafting.note id="a470194" jurisdiction="">
              <head align="left" preservecase="true">
                <headtext>Third party rights</headtext>
              </head>
              <division id="a000065" level="1">
                <para>
                  <paratext>
                    For information on this clause, see 
                    <link href="6-107-3846" style="ACTLinkPLCtoPLC">
                      <ital>Standard clause, Third party rights</ital>
                    </link>
                    .
                  </paratext>
                </para>
              </division>
            </drafting.note>
            <subclause1 id="a906064">
              <para>
                <paratext>A person who is not a party to this deed shall not have any rights under the Contracts (Rights of Third Parties) Act 1999 to enforce any term of this deed.</paratext>
              </para>
            </subclause1>
          </clause>
          <clause id="a473013">
            <identifier>12.</identifier>
            <head align="left" preservecase="true">
              <headtext>Entire agreement</headtext>
            </head>
            <drafting.note id="a298727" jurisdiction="">
              <head align="left" preservecase="true">
                <headtext>Entire agreement</headtext>
              </head>
              <division id="a000066" level="1">
                <para>
                  <paratext>For information on:</paratext>
                </para>
                <list type="bulleted">
                  <list.item>
                    <para>
                      <paratext>
                        Entire agreement clauses, see 
                        <link href="3-503-7049" style="ACTLinkPLCtoPLC">
                          <ital>Practice note, Contracts: entire agreement clauses</ital>
                        </link>
                        .
                      </paratext>
                    </para>
                  </list.item>
                  <list.item>
                    <para>
                      <paratext>
                        This entire agreement clause, see integrated drafting notes to 
                        <link href="2-107-3834" style="ACTLinkPLCtoPLC">
                          <ital>Standard clause, Entire agreement</ital>
                        </link>
                        .
                      </paratext>
                    </para>
                  </list.item>
                </list>
              </division>
            </drafting.note>
            <subclause1 id="a551828">
              <identifier>12.1</identifier>
              <para>
                <paratext>
                  This deed [and the documents annexed to it] constitute[s] the whole agreement between the parties and supersede[s] all previous discussions, correspondence, negotiations, arrangements, understandings and agreements between them relating to [its 
                  <bold>OR</bold>
                   their] subject matter.
                </paratext>
              </para>
            </subclause1>
            <subclause1 id="a1049805">
              <identifier>12.2</identifier>
              <para>
                <paratext>Each party acknowledges that in entering into this deed [and any documents annexed to it] it does not rely on, and shall have no remedies in respect of, any representation or warranty (whether made negligently or innocently) other than those set out in this deed [or the documents annexed to it].</paratext>
              </para>
            </subclause1>
            <subclause1 condition="optional" id="a1020036">
              <identifier>12.3</identifier>
              <para>
                <paratext>Nothing in this clause shall limit or exclude any liability for fraud.</paratext>
              </para>
            </subclause1>
          </clause>
          <clause id="a654596">
            <identifier>13.</identifier>
            <head align="left" preservecase="true">
              <headtext>Joint and several liability</headtext>
            </head>
            <drafting.note id="a470937" jurisdiction="">
              <head align="left" preservecase="true">
                <headtext>Joint and several liability</headtext>
              </head>
              <division id="a000067" level="1">
                <para>
                  <paratext>
                    For more information on this clause, see 
                    <link href="0-107-3811" style="ACTLinkPLCtoPLC">
                      <ital>Standard clause, Joint and several liability</ital>
                    </link>
                    .
                  </paratext>
                </para>
              </division>
            </drafting.note>
            <subclause1 id="a235754">
              <para>
                <paratext>Where the Buyer comprises more than one person, those persons shall be jointly and severally liable for the obligations and liabilities of the Buyer arising under this deed and the Seller may take action against, or release or compromise the liability of, or grant time or other indulgence to, any one of those persons without affecting the liability of any other of them.</paratext>
              </para>
            </subclause1>
          </clause>
          <clause id="a205510">
            <identifier>14.</identifier>
            <head align="left" preservecase="true">
              <headtext>Governing law</headtext>
            </head>
            <drafting.note id="a199196" jurisdiction="">
              <head align="left" preservecase="true">
                <headtext>Governing law</headtext>
              </head>
              <division id="a000068" level="1">
                <para>
                  <paratext>The governing law clause provides that the law of England and Wales governs the performance and interpretation of the overage deed, and governs disputes arising under it. It covers both contractual and non-contractual obligations and disputes.</paratext>
                </para>
                <para>
                  <paratext>
                    For information on governing law clauses, see 
                    <link href="8-107-3850" style="ACTLinkPLCtoPLC">
                      <ital>Standard clause, Governing law</ital>
                    </link>
                     and 
                    <link href="4-107-3852" style="ACTLinkPLCtoPLC">
                      <ital>Practice note, Governing law and jurisdiction clauses</ital>
                    </link>
                    .
                  </paratext>
                </para>
              </division>
            </drafting.note>
            <subclause1 id="a942521">
              <para>
                <paratext>This deed and any dispute or claim arising out of or in connection with it or its subject matter or formation (including non-contractual disputes or claims) shall be governed by and construed in accordance with the law of England and Wales.</paratext>
              </para>
            </subclause1>
          </clause>
          <clause id="a467101">
            <identifier>15.</identifier>
            <head align="left" preservecase="true">
              <headtext>Jurisdiction</headtext>
            </head>
            <drafting.note id="a289564" jurisdiction="">
              <head align="left" preservecase="true">
                <headtext>Jurisdiction</headtext>
              </head>
              <division id="a000069" level="1">
                <para>
                  <paratext>The jurisdiction clause relates to the place where a dispute arising under the agreement will be heard. There is an option for exclusive or non-exclusive jurisdiction.</paratext>
                </para>
                <list type="bulleted">
                  <list.item>
                    <para>
                      <paratext>The option for exclusive jurisdiction is intended to prevent one party from bringing proceedings against the other in the courts of any country other than the country set out in the agreement.</paratext>
                    </para>
                  </list.item>
                  <list.item>
                    <para>
                      <paratext>The option for non-exclusive jurisdiction is intended to enable either party to bring proceedings against the other, either in the courts of the chosen country, or in the courts of any other country which has jurisdiction over the dispute under their own jurisdictional rules.</paratext>
                    </para>
                  </list.item>
                </list>
                <para>
                  <paratext>
                    The ability of a party to bring proceedings in the jurisdiction specified will also depend on the type of claim. For more information, see 
                    <link href="3-502-0888" style="ACTLinkPLCtoPLC">
                      <ital>Practice note, Jurisdiction: an overview</ital>
                    </link>
                    .
                  </paratext>
                </para>
                <para>
                  <paratext>
                    The standard document is drafted on the assumption that the parties are located in England and Wales. Where any of the parties is based outside England and Wales, it is usually advisable to include an additional provision appointing an agent in England or Wales for service of process. For more information, see 
                    <link href="9-522-6848" style="ACTLinkPLCtoPLC">
                      <ital>Standard clause, Jurisdiction</ital>
                    </link>
                    .
                  </paratext>
                </para>
                <para>
                  <paratext>For general information on jurisdiction clauses, see Practice notes:</paratext>
                </para>
                <list type="bulleted">
                  <list.item>
                    <para>
                      <paratext>
                        <link href="4-107-3852" style="ACTLinkPLCtoPLC">
                          <ital>Governing law and jurisdiction clauses</ital>
                        </link>
                        .
                      </paratext>
                    </para>
                  </list.item>
                  <list.item>
                    <para>
                      <paratext>
                        <link href="3-502-0888" style="ACTLinkPLCtoPLC">
                          <ital>Jurisdiction: an overview</ital>
                        </link>
                        .
                      </paratext>
                    </para>
                  </list.item>
                </list>
              </division>
            </drafting.note>
            <subclause1 id="a755497">
              <para>
                <paratext>
                  Subject to 
                  <internal.reference refid="a941034">clause 4.2</internal.reference>
                   to 
                  <internal.reference refid="a452285">clause 4.10</internal.reference>
                   (inclusive), each party irrevocably agrees that the courts of England and Wales shall have [exclusive 
                  <bold>OR</bold>
                   non-exclusive] jurisdiction to settle any dispute or claim arising out of or in connection with this deed or its subject matter or formation (including non-contractual disputes or claims).
                </paratext>
              </para>
            </subclause1>
          </clause>
        </operative>
        <testimonium default="true" wording="deed">
          <para>
            <paratext>This document has been executed as a deed and is delivered and takes effect on the date stated at the beginning of it.</paratext>
          </para>
        </testimonium>
        <signature default="true" pagebreak="true" signaturemessage="no">
          <para>
            <paratext>
              <table frame="none" pgwide="1">
                <tgroup cols="3">
                  <colspec colname="1" colnum="1" colwidth="33"/>
                  <colspec colname="2" colnum="2" colwidth="33"/>
                  <colspec colname="3" colnum="3" colwidth="33"/>
                  <tbody>
                    <row>
                      <entry valign="top">
                        <para align="left">
                          <paratext>Signed as a deed by [NAME OF SELLER] in the presence of:</paratext>
                        </para>
                      </entry>
                      <entry valign="top">
                        <para>
                          <paratext/>
                        </para>
                      </entry>
                      <entry valign="top">
                        <para align="left">
                          <paratext>....................</paratext>
                        </para>
                        <para align="left">
                          <paratext>[SIGNATURE OF Seller]</paratext>
                        </para>
                      </entry>
                    </row>
                    <row>
                      <entry valign="top">
                        <para align="left">
                          <paratext>....................</paratext>
                        </para>
                        <para align="left">
                          <paratext>[SIGNATURE OF WITNESS]</paratext>
                        </para>
                        <para align="left">
                          <paratext>[NAME, ADDRESS [AND OCCUPATION] OF WITNESS]</paratext>
                        </para>
                      </entry>
                      <entry valign="top">
                        <para>
                          <paratext/>
                        </para>
                      </entry>
                      <entry valign="top">
                        <para>
                          <paratext/>
                        </para>
                      </entry>
                    </row>
                    <row>
                      <entry valign="top">
                        <para align="left">
                          <paratext>OR</paratext>
                        </para>
                      </entry>
                    </row>
                    <row>
                      <entry valign="top">
                        <para align="left">
                          <paratext>Executed as a deed by [NAME OF SELLER]</paratext>
                        </para>
                        <para align="left">
                          <paratext>acting by [NAME OF FIRST DIRECTOR], a director and [NAME OF SECOND DIRECTOR/SECRETARY], [a director OR its secretary]</paratext>
                        </para>
                      </entry>
                      <entry valign="top">
                        <para>
                          <paratext/>
                        </para>
                      </entry>
                      <entry valign="top">
                        <para align="left">
                          <paratext>....................</paratext>
                        </para>
                        <para align="left">
                          <paratext>[SIGNATURE OF FIRST DIRECTOR]</paratext>
                        </para>
                        <para align="left">
                          <paratext>Director</paratext>
                        </para>
                        <para align="left">
                          <paratext>....................</paratext>
                        </para>
                        <para align="left">
                          <paratext>[SIGNATURE OF SECOND DIRECTOR OR SECRETARY]</paratext>
                        </para>
                        <para align="left">
                          <paratext>[Director OR Secretary]</paratext>
                        </para>
                      </entry>
                    </row>
                    <row>
                      <entry valign="top">
                        <para align="left">
                          <paratext>OR</paratext>
                        </para>
                      </entry>
                    </row>
                    <row>
                      <entry valign="top">
                        <para align="left">
                          <paratext>Executed as a deed by [NAME OF SELLER]</paratext>
                        </para>
                        <para align="left">
                          <paratext>acting by [NAME OF DIRECTOR] a director, in the presence of:</paratext>
                        </para>
                        <para align="left">
                          <paratext>....................</paratext>
                        </para>
                        <para align="left">
                          <paratext>[SIGNATURE OF WITNESS]</paratext>
                        </para>
                        <para align="left">
                          <paratext>[NAME, ADDRESS [AND OCCUPATION] OF WITNESS]</paratext>
                        </para>
                      </entry>
                      <entry valign="top">
                        <para>
                          <paratext/>
                        </para>
                      </entry>
                      <entry valign="top">
                        <para align="left">
                          <paratext>....................</paratext>
                        </para>
                        <para align="left">
                          <paratext>[SIGNATURE OF DIRECTOR]</paratext>
                        </para>
                        <para align="left">
                          <paratext>Director</paratext>
                        </para>
                      </entry>
                    </row>
                    <row>
                      <entry valign="top">
                        <para>
                          <paratext/>
                        </para>
                      </entry>
                    </row>
                    <row>
                      <entry nameend="3" namest="1" valign="top">
                        <para>
                          <paratext/>
                        </para>
                      </entry>
                    </row>
                    <row>
                      <entry valign="top">
                        <para align="left">
                          <paratext>Signed as a deed by [NAME OF BUYER] in the presence of:</paratext>
                        </para>
                      </entry>
                      <entry valign="top">
                        <para>
                          <paratext/>
                        </para>
                      </entry>
                      <entry valign="top">
                        <para align="left">
                          <paratext>....................</paratext>
                        </para>
                        <para align="left">
                          <paratext>[SIGNATURE OF Buyer]</paratext>
                        </para>
                      </entry>
                    </row>
                    <row>
                      <entry valign="top">
                        <para align="left">
                          <paratext>....................</paratext>
                        </para>
                        <para align="left">
                          <paratext>[SIGNATURE OF WITNESS]</paratext>
                        </para>
                        <para align="left">
                          <paratext>[NAME, ADDRESS [AND OCCUPATION] OF WITNESS]</paratext>
                        </para>
                      </entry>
                      <entry valign="top">
                        <para>
                          <paratext/>
                        </para>
                      </entry>
                      <entry valign="top">
                        <para>
                          <paratext/>
                        </para>
                      </entry>
                    </row>
                    <row>
                      <entry valign="top">
                        <para align="left">
                          <paratext>OR</paratext>
                        </para>
                      </entry>
                    </row>
                    <row>
                      <entry valign="top">
                        <para align="left">
                          <paratext>Executed as a deed by [NAME OF BUYER]</paratext>
                        </para>
                        <para align="left">
                          <paratext>acting by [NAME OF FIRST DIRECTOR], a director and [NAME OF SECOND DIRECTOR/SECRETARY], [a director OR its secretary]</paratext>
                        </para>
                      </entry>
                      <entry valign="top">
                        <para>
                          <paratext/>
                        </para>
                      </entry>
                      <entry valign="top">
                        <para align="left">
                          <paratext>....................</paratext>
                        </para>
                        <para align="left">
                          <paratext>[SIGNATURE OF FIRST DIRECTOR]</paratext>
                        </para>
                        <para align="left">
                          <paratext>Director</paratext>
                        </para>
                        <para align="left">
                          <paratext>....................</paratext>
                        </para>
                        <para align="left">
                          <paratext>[SIGNATURE OF SECOND DIRECTOR OR SECRETARY]</paratext>
                        </para>
                        <para align="left">
                          <paratext>[Director OR Secretary]</paratext>
                        </para>
                      </entry>
                    </row>
                    <row>
                      <entry valign="top">
                        <para align="left">
                          <paratext>OR</paratext>
                        </para>
                      </entry>
                    </row>
                    <row>
                      <entry valign="top">
                        <para align="left">
                          <paratext>Executed as a deed by [NAME OF BUYER]</paratext>
                        </para>
                        <para align="left">
                          <paratext>acting by [NAME OF DIRECTOR] a director, in the presence of:</paratext>
                        </para>
                        <para align="left">
                          <paratext>....................</paratext>
                        </para>
                        <para align="left">
                          <paratext>[SIGNATURE OF WITNESS]</paratext>
                        </para>
                        <para align="left">
                          <paratext>[NAME, ADDRESS [AND OCCUPATION] OF WITNESS]</paratext>
                        </para>
                      </entry>
                      <entry valign="top">
                        <para>
                          <paratext/>
                        </para>
                      </entry>
                      <entry valign="top">
                        <para align="left">
                          <paratext>....................</paratext>
                        </para>
                        <para align="left">
                          <paratext>[SIGNATURE OF DIRECTOR]</paratext>
                        </para>
                        <para align="left">
                          <paratext>Director</paratext>
                        </para>
                      </entry>
                    </row>
                    <row>
                      <entry valign="top">
                        <para>
                          <paratext/>
                        </para>
                      </entry>
                    </row>
                    <row>
                      <entry nameend="3" namest="1" valign="top">
                        <para>
                          <paratext/>
                        </para>
                      </entry>
                    </row>
                  </tbody>
                </tgroup>
              </table>
            </paratext>
          </para>
        </signature>
      </body>
      <rev.history>
        <rev.item>
          <rev.title>New clause 3.3(a)(i) added (December 2023)</rev.title>
          <rev.date>20231213</rev.date>
          <rev.author>PL Property</rev.author>
          <rev.body>
            <division id="a000001" level="1">
              <para>
                <paratext>
                  To reflect the recent revision to LRPG 19 which now indicates in new paragraph 3.8 that it is possible to make an alteration application to change the name and address of the restrictioner where the right or interest protected has been assigned, we have added new 
                  <internal.reference refid="a590351">clause 3.3(a)(i)</internal.reference>
                   and revised 
                  <internal.reference refid="a362258">Drafting note, Buyer's obligations in relation to the Existing Restriction following an assignment</internal.reference>
                   accordingly.
                </paratext>
              </para>
            </division>
          </rev.body>
        </rev.item>
        <rev.item>
          <rev.title>Change to definition of Disposal and other minor changes (December 2023)</rev.title>
          <rev.date>20231027</rev.date>
          <rev.author>PL Property</rev.author>
          <rev.body>
            <division id="a000002" level="1">
              <para>
                <paratext>We have changed the definition of Disposal to add the words "which is required to be completed by registration as set out in" and changed the reference in that definition from "section 205" to "section 205(1)(ii)". We have also added the words "of the whole or any part or parts of the Property" on three occasions throughout the definition of Permitted Disposal and made consequential and other minor stylistic changes throughout the document.</paratext>
              </para>
            </division>
          </rev.body>
        </rev.item>
        <rev.item>
          <rev.title>New drafting assumption, definitions, new clause 3 and new clause 6 (September 2023)</rev.title>
          <rev.date>20230926</rev.date>
          <rev.author>PL Property</rev.author>
          <rev.body>
            <division id="a000003" level="1">
              <para>
                <paratext>
                  We have added a new drafting assumption to make it clear that the parties have agreed that the trigger for the overage payment is, for each 
                  <bold>express</bold>
                   planning permission granted for a particular type of development during the agreed overage period, the earlier of implementation of that planning permission and the disposal of the property with the benefit of that planning permission. We have added new definitions of Assignee, Assignee Deed of Covenant, Assignment and Existing Restriction. Those new definitions are used in new 
                  <internal.reference refid="a326933">clause 3</internal.reference>
                  . We have also added a new definition of Determining Authority and a new 
                  <internal.reference refid="a688628">clause 6</internal.reference>
                  . Each of the new definitions and new clauses include accompanying drafting notes. We have also added the words "except for any entry or withdrawal of any restriction pursuant to 
                  <internal.reference refid="a167605">clause 3.3</internal.reference>
                  " into 
                  <internal.reference refid="a402322">clause 8(b)</internal.reference>
                   and other minor consequential changes throughout the document to reflect these additions.
                </paratext>
              </para>
            </division>
          </rev.body>
        </rev.item>
        <rev.item>
          <rev.title>New definition of Overage Period Expiry Date and optional wording in clause 5(d) (August 2023)</rev.title>
          <rev.date>20230818</rev.date>
          <rev.author>PL Property</rev.author>
          <rev.body>
            <division id="a000004" level="1">
              <para>
                <paratext>
                  We have added a new definition of Overage Period Expiry Date (with accompanying drafting note, 
                  <internal.reference refid="a149606">Drafting note, Overage Period Expiry Date</internal.reference>
                  ) and new optional wording in 
                  <internal.reference refid="a834221">clause 7(d)</internal.reference>
                   to make the seller's obligation to withdraw the restriction at the end of the overage period conditional upon the payment of any sums that were due from the buyer at the end of the overage period. We have expanded 
                  <internal.reference refid="a277930">Drafting note, Withdrawal of restriction</internal.reference>
                   to explain the reasoning for the new optional wording in light of the decision in 
                  <link href="https://uk.practicallaw.thomsonreuters.com/D-108-8131?originationContext=document&amp;amp;transitionType=PLDocumentLink&amp;amp;contextData=(sc.Default)&amp;amp;ppcid=4f9a07fef75649a6b80614eb7450f91d&amp;amp;comp=pluk" style="ACTLinkURL">
                    <ital>Carlton Vale Ltd v Gapper [2023] UKUT 141</ital>
                  </link>
                  .
                </paratext>
              </para>
            </division>
          </rev.body>
        </rev.item>
        <rev.item>
          <rev.title>Technical Details Consent (January 2023)</rev.title>
          <rev.date>20230117</rev.date>
          <rev.author>PL Property</rev.author>
          <rev.body>
            <division id="a000005" level="1">
              <para>
                <paratext>
                  We have revised the definition of Planning Permission to include an optional reference to Technical Details Consent where the Property is in England and have added new drafting note, 
                  <internal.reference refid="a309664">Drafting note, Technical Details Consent</internal.reference>
                  .
                </paratext>
              </para>
            </division>
          </rev.body>
        </rev.item>
        <rev.item>
          <rev.title>New definition of TCPA 1990 (December 2022)</rev.title>
          <rev.date>20221201</rev.date>
          <rev.author>PL Property</rev.author>
          <rev.body>
            <division id="a000006" level="1">
              <para>
                <paratext>We have added a new definition of TCPA 1990 and made consequential changes throughout the document to reflect that new definition.</paratext>
              </para>
            </division>
          </rev.body>
        </rev.item>
      </rev.history>
    </standard.doc>
  </n-docbody>
</n-document>
</file>

<file path=customXml/item3.xml><?xml version="1.0" encoding="utf-8"?>
<cdm:cachedDataManifest xmlns:cdm="http://schemas.microsoft.com/2004/VisualStudio/Tools/Applications/CachedDataManifest.xsd" cdm:revision="1"/>
</file>

<file path=customXml/item4.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Description="Create a new document." ma:contentTypeID="0x0101002CCE60FFEDCF0149A50B4F8B14435EF6" ma:contentTypeName="Document" ma:contentTypeScope="" ma:contentTypeVersion="18" ma:versionID="ea1c371628356d932b772fda286fd103">
  <xsd:schema xmlns:xsd="http://www.w3.org/2001/XMLSchema" xmlns:ns1="http://schemas.microsoft.com/sharepoint/v3" xmlns:ns2="66011a44-90e2-45f9-a00b-a1f79ab7a0de" xmlns:ns3="fb7e04ed-61af-49fa-ab42-7f685faa5075" xmlns:p="http://schemas.microsoft.com/office/2006/metadata/properties" xmlns:xs="http://www.w3.org/2001/XMLSchema" ma:fieldsID="5e918241c90e9f1b96fce49d922f00e3" ma:root="true" ns1:_="" ns2:_="" ns3:_="" targetNamespace="http://schemas.microsoft.com/office/2006/metadata/properties">
    <xsd:import namespace="http://schemas.microsoft.com/sharepoint/v3"/>
    <xsd:import namespace="66011a44-90e2-45f9-a00b-a1f79ab7a0de"/>
    <xsd:import namespace="fb7e04ed-61af-49fa-ab42-7f685faa5075"/>
    <xsd:element name="properties">
      <xsd:complexType>
        <xsd:sequence>
          <xsd:element name="documentManagement">
            <xsd:complexType>
              <xsd:all>
                <xsd:element minOccurs="0" ref="ns2:MediaServiceMetadata"/>
                <xsd:element minOccurs="0" ref="ns2:MediaServiceFastMetadata"/>
                <xsd:element minOccurs="0" ref="ns2:MediaServiceAutoTags"/>
                <xsd:element minOccurs="0" ref="ns2:MediaServiceOCR"/>
                <xsd:element minOccurs="0" ref="ns2:MediaServiceGenerationTime"/>
                <xsd:element minOccurs="0" ref="ns2:MediaServiceEventHashCode"/>
                <xsd:element minOccurs="0" ref="ns2:MediaServiceAutoKeyPoints"/>
                <xsd:element minOccurs="0" ref="ns2:MediaServiceKeyPoints"/>
                <xsd:element minOccurs="0" ref="ns2:MediaServiceDateTaken"/>
                <xsd:element minOccurs="0" ref="ns3:SharedWithUsers"/>
                <xsd:element minOccurs="0" ref="ns3:SharedWithDetails"/>
                <xsd:element minOccurs="0" ref="ns2:MediaLengthInSeconds"/>
                <xsd:element minOccurs="0" ref="ns2:lcf76f155ced4ddcb4097134ff3c332f"/>
                <xsd:element minOccurs="0" ref="ns3:TaxCatchAll"/>
                <xsd:element minOccurs="0" ref="ns1:_ip_UnifiedCompliancePolicyProperties"/>
                <xsd:element minOccurs="0" ref="ns1:_ip_UnifiedCompliancePolicyUIAction"/>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http://schemas.microsoft.com/sharepoint/v3">
    <xsd:import namespace="http://schemas.microsoft.com/office/2006/documentManagement/types"/>
    <xsd:import namespace="http://schemas.microsoft.com/office/infopath/2007/PartnerControls"/>
    <xsd:element ma:displayName="Unified Compliance Policy Properties" ma:hidden="true" ma:index="23" ma:internalName="_ip_UnifiedCompliancePolicyProperties" name="_ip_UnifiedCompliancePolicyProperties" nillable="true">
      <xsd:simpleType>
        <xsd:restriction base="dms:Note"/>
      </xsd:simpleType>
    </xsd:element>
    <xsd:element ma:displayName="Unified Compliance Policy UI Action" ma:hidden="true" ma:index="24" ma:internalName="_ip_UnifiedCompliancePolicyUIAction" name="_ip_UnifiedCompliancePolicyUIAction"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66011a44-90e2-45f9-a00b-a1f79ab7a0de">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Tags" ma:index="10" ma:internalName="MediaServiceAutoTags" ma:readOnly="true" name="MediaServiceAutoTags" nillable="true">
      <xsd:simpleType>
        <xsd:restriction base="dms:Text"/>
      </xsd:simpleType>
    </xsd:element>
    <xsd:element ma:displayName="Extracted Text" ma:index="11" ma:internalName="MediaServiceOCR" ma:readOnly="true" name="MediaServiceOCR" nillable="true">
      <xsd:simpleType>
        <xsd:restriction base="dms:Note">
          <xsd:maxLength value="255"/>
        </xsd:restriction>
      </xsd:simpleType>
    </xsd:element>
    <xsd:element ma:displayName="MediaServiceGenerationTime" ma:hidden="true" ma:index="12" ma:internalName="MediaServiceGenerationTime" ma:readOnly="true" name="MediaServiceGenerationTime" nillable="true">
      <xsd:simpleType>
        <xsd:restriction base="dms:Text"/>
      </xsd:simpleType>
    </xsd:element>
    <xsd:element ma:displayName="MediaServiceEventHashCode" ma:hidden="true" ma:index="13" ma:internalName="MediaServiceEventHashCode" ma:readOnly="true" name="MediaServiceEventHashCode" nillable="true">
      <xsd:simpleType>
        <xsd:restriction base="dms:Text"/>
      </xsd:simpleType>
    </xsd:element>
    <xsd:element ma:displayName="MediaServiceAutoKeyPoints" ma:hidden="true" ma:index="14" ma:internalName="MediaServiceAutoKeyPoints" ma:readOnly="true" name="MediaServiceAutoKeyPoints" nillable="true">
      <xsd:simpleType>
        <xsd:restriction base="dms:Note"/>
      </xsd:simpleType>
    </xsd:element>
    <xsd:element ma:displayName="KeyPoints" ma:index="15" ma:internalName="MediaServiceKeyPoints" ma:readOnly="true" name="MediaServiceKeyPoints" nillable="true">
      <xsd:simpleType>
        <xsd:restriction base="dms:Note">
          <xsd:maxLength value="255"/>
        </xsd:restriction>
      </xsd:simpleType>
    </xsd:element>
    <xsd:element ma:displayName="MediaServiceDateTaken" ma:hidden="true" ma:index="16" ma:internalName="MediaServiceDateTaken" ma:readOnly="true" name="MediaServiceDateTaken" nillable="true">
      <xsd:simpleType>
        <xsd:restriction base="dms:Text"/>
      </xsd:simpleType>
    </xsd:element>
    <xsd:element ma:displayName="MediaLengthInSeconds" ma:hidden="true" ma:index="19" ma:internalName="MediaLengthInSeconds" ma:readOnly="true" name="MediaLengthInSeconds" nillable="true">
      <xsd:simpleType>
        <xsd:restriction base="dms:Unknown"/>
      </xsd:simpleType>
    </xsd:element>
    <xsd:element ma:anchorId="fba54fb3-c3e1-fe81-a776-ca4b69148c4d" ma:displayName="Image Tags" ma:fieldId="{5cf76f15-5ced-4ddc-b409-7134ff3c332f}" ma:index="21" ma:internalName="lcf76f155ced4ddcb4097134ff3c332f" ma:isKeyword="false" ma:open="true" ma:readOnly="false" ma:sspId="53a93e6a-eb94-4f22-847d-80c377548ab0"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ObjectDetectorVersions" ma:hidden="true" ma:index="25"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fb7e04ed-61af-49fa-ab42-7f685faa5075">
    <xsd:import namespace="http://schemas.microsoft.com/office/2006/documentManagement/types"/>
    <xsd:import namespace="http://schemas.microsoft.com/office/infopath/2007/PartnerControls"/>
    <xsd:element ma:displayName="Shared With" ma:index="17"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8" ma:internalName="SharedWithDetails" ma:readOnly="true" name="SharedWithDetails" nillable="true">
      <xsd:simpleType>
        <xsd:restriction base="dms:Note">
          <xsd:maxLength value="255"/>
        </xsd:restriction>
      </xsd:simpleType>
    </xsd:element>
    <xsd:element ma:displayName="Taxonomy Catch All Column" ma:hidden="true" ma:index="22" ma:internalName="TaxCatchAll" ma:list="{842f5877-3308-43b5-9f9b-e75d0f42a138}" ma:showField="CatchAllData" ma:web="fb7e04ed-61af-49fa-ab42-7f685faa5075"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b7e04ed-61af-49fa-ab42-7f685faa5075"/>
    <lcf76f155ced4ddcb4097134ff3c332f xmlns="66011a44-90e2-45f9-a00b-a1f79ab7a0d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CE0D92C4-9C13-469A-97D2-66613ADA04F7}">
  <ds:schemaRefs>
    <ds:schemaRef ds:uri="http://www.w3.org/2001/XMLSchema"/>
  </ds:schemaRefs>
</ds:datastoreItem>
</file>

<file path=customXml/itemProps3.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0E92A91B-A39C-429F-920E-161E66CB8F77}">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47FE7209-6C00-4F36-95EA-EC72742B3A9D}">
  <ds:schemaRefs>
    <ds:schemaRef ds:uri="http://schemas.microsoft.com/sharepoint/v3/contenttype/forms"/>
  </ds:schemaRefs>
</ds:datastoreItem>
</file>

<file path=customXml/itemProps6.xml><?xml version="1.0" encoding="utf-8"?>
<ds:datastoreItem xmlns:ds="http://schemas.openxmlformats.org/officeDocument/2006/customXml" ds:itemID="{52007147-4E38-4BDB-8394-0B8A5A7EC347}">
  <ds:schemaRefs>
    <ds:schemaRef ds:uri="http://schemas.microsoft.com/office/2006/metadata/contentType"/>
    <ds:schemaRef ds:uri="http://schemas.microsoft.com/office/2006/metadata/properties/metaAttributes"/>
    <ds:schemaRef ds:uri="http://www.w3.org/2001/XMLSchema"/>
    <ds:schemaRef ds:uri="http://schemas.microsoft.com/sharepoint/v3"/>
    <ds:schemaRef ds:uri="66011a44-90e2-45f9-a00b-a1f79ab7a0de"/>
    <ds:schemaRef ds:uri="fb7e04ed-61af-49fa-ab42-7f685faa507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4259CFE-FFEA-44A7-9251-A2CE8C547075}">
  <ds:schemaRefs>
    <ds:schemaRef ds:uri="http://schemas.microsoft.com/office/2006/metadata/properties"/>
    <ds:schemaRef ds:uri="http://schemas.microsoft.com/office/infopath/2007/PartnerControls"/>
    <ds:schemaRef ds:uri="http://schemas.microsoft.com/sharepoint/v3"/>
    <ds:schemaRef ds:uri="fb7e04ed-61af-49fa-ab42-7f685faa5075"/>
    <ds:schemaRef ds:uri="66011a44-90e2-45f9-a00b-a1f79ab7a0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4445</Words>
  <Characters>25340</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Western, John</dc:creator>
  <cp:lastModifiedBy>Thompson, Mark</cp:lastModifiedBy>
  <cp:revision>2</cp:revision>
  <cp:lastPrinted>2024-02-09T16:47:00Z</cp:lastPrinted>
  <dcterms:created xsi:type="dcterms:W3CDTF">2024-02-28T10:43:00Z</dcterms:created>
  <dcterms:modified xsi:type="dcterms:W3CDTF">2024-02-28T10:43:00Z</dcterms:modified>
</cp:coreProperties>
</file>